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B7DE" w14:textId="77777777" w:rsidR="00161811" w:rsidRPr="004A792A" w:rsidRDefault="00161811" w:rsidP="00161811">
      <w:pPr>
        <w:spacing w:before="0" w:after="160" w:line="259" w:lineRule="auto"/>
        <w:jc w:val="both"/>
        <w:rPr>
          <w:lang w:val="en-US"/>
        </w:rPr>
      </w:pPr>
      <w:bookmarkStart w:id="0" w:name="_Hlk515869383"/>
      <w:bookmarkEnd w:id="0"/>
    </w:p>
    <w:p w14:paraId="231A98D1" w14:textId="77777777" w:rsidR="00161811" w:rsidRPr="004A792A" w:rsidRDefault="00161811" w:rsidP="00161811">
      <w:pPr>
        <w:spacing w:before="0" w:after="160" w:line="259" w:lineRule="auto"/>
        <w:jc w:val="both"/>
        <w:rPr>
          <w:lang w:val="en-US"/>
        </w:rPr>
      </w:pPr>
    </w:p>
    <w:p w14:paraId="4E65433F" w14:textId="77777777" w:rsidR="00161811" w:rsidRPr="004A792A" w:rsidRDefault="00161811" w:rsidP="00161811">
      <w:pPr>
        <w:spacing w:before="0" w:after="160" w:line="259" w:lineRule="auto"/>
        <w:jc w:val="both"/>
        <w:rPr>
          <w:lang w:val="en-US"/>
        </w:rPr>
      </w:pPr>
    </w:p>
    <w:p w14:paraId="1DD1A001" w14:textId="77777777" w:rsidR="0061098D" w:rsidRPr="004A792A" w:rsidRDefault="0061098D" w:rsidP="00161811">
      <w:pPr>
        <w:spacing w:before="0" w:after="160" w:line="259" w:lineRule="auto"/>
        <w:jc w:val="both"/>
        <w:rPr>
          <w:lang w:val="en-US"/>
        </w:rPr>
      </w:pPr>
    </w:p>
    <w:p w14:paraId="0DF41138" w14:textId="77777777" w:rsidR="0061098D" w:rsidRPr="004A792A" w:rsidRDefault="0061098D" w:rsidP="00161811">
      <w:pPr>
        <w:spacing w:before="0" w:after="160" w:line="259" w:lineRule="auto"/>
        <w:jc w:val="both"/>
        <w:rPr>
          <w:lang w:val="en-US"/>
        </w:rPr>
      </w:pPr>
    </w:p>
    <w:p w14:paraId="6745566D" w14:textId="77777777" w:rsidR="0061098D" w:rsidRPr="004A792A" w:rsidRDefault="0061098D" w:rsidP="00161811">
      <w:pPr>
        <w:spacing w:before="0" w:after="160" w:line="259" w:lineRule="auto"/>
        <w:jc w:val="both"/>
        <w:rPr>
          <w:lang w:val="en-US"/>
        </w:rPr>
      </w:pPr>
    </w:p>
    <w:p w14:paraId="6A117F91" w14:textId="77777777" w:rsidR="0061098D" w:rsidRPr="004A792A" w:rsidRDefault="0061098D" w:rsidP="00161811">
      <w:pPr>
        <w:spacing w:before="0" w:after="160" w:line="259" w:lineRule="auto"/>
        <w:jc w:val="both"/>
        <w:rPr>
          <w:lang w:val="en-US"/>
        </w:rPr>
      </w:pPr>
    </w:p>
    <w:p w14:paraId="3C57D410" w14:textId="77777777" w:rsidR="00C21C13" w:rsidRPr="004A792A" w:rsidRDefault="00161811" w:rsidP="0003498F">
      <w:pPr>
        <w:pStyle w:val="a4"/>
        <w:rPr>
          <w:color w:val="0070C0"/>
          <w:lang w:val="en-US"/>
        </w:rPr>
      </w:pPr>
      <w:r w:rsidRPr="00996864">
        <w:rPr>
          <w:color w:val="0070C0"/>
          <w:lang w:val="en-US"/>
        </w:rPr>
        <w:t>G</w:t>
      </w:r>
      <w:bookmarkStart w:id="1" w:name="bookmark0"/>
      <w:r w:rsidRPr="00996864">
        <w:rPr>
          <w:color w:val="0070C0"/>
          <w:lang w:val="en-US"/>
        </w:rPr>
        <w:t xml:space="preserve">ender </w:t>
      </w:r>
      <w:r w:rsidR="00CB6D48" w:rsidRPr="00996864">
        <w:rPr>
          <w:color w:val="0070C0"/>
          <w:lang w:val="en-US"/>
        </w:rPr>
        <w:t>Inequalit</w:t>
      </w:r>
      <w:r w:rsidR="00CB6D48">
        <w:rPr>
          <w:color w:val="0070C0"/>
          <w:lang w:val="en-US"/>
        </w:rPr>
        <w:t>ies</w:t>
      </w:r>
      <w:r w:rsidR="00CB6D48" w:rsidRPr="00996864">
        <w:rPr>
          <w:color w:val="0070C0"/>
          <w:lang w:val="en-US"/>
        </w:rPr>
        <w:t xml:space="preserve"> </w:t>
      </w:r>
      <w:r w:rsidRPr="00996864">
        <w:rPr>
          <w:color w:val="0070C0"/>
          <w:lang w:val="en-US"/>
        </w:rPr>
        <w:t>in Moldova</w:t>
      </w:r>
      <w:r w:rsidR="00317BC8">
        <w:rPr>
          <w:color w:val="0070C0"/>
          <w:lang w:val="en-US"/>
        </w:rPr>
        <w:t>’</w:t>
      </w:r>
      <w:r w:rsidR="00B2574B" w:rsidRPr="00996864">
        <w:rPr>
          <w:color w:val="0070C0"/>
          <w:lang w:val="en-US"/>
        </w:rPr>
        <w:t>s</w:t>
      </w:r>
      <w:r w:rsidRPr="00996864">
        <w:rPr>
          <w:color w:val="0070C0"/>
          <w:lang w:val="en-US"/>
        </w:rPr>
        <w:t xml:space="preserve"> </w:t>
      </w:r>
      <w:r w:rsidR="00B2574B" w:rsidRPr="00996864">
        <w:rPr>
          <w:color w:val="0070C0"/>
          <w:lang w:val="en-US"/>
        </w:rPr>
        <w:t>L</w:t>
      </w:r>
      <w:r w:rsidRPr="00996864">
        <w:rPr>
          <w:color w:val="0070C0"/>
          <w:lang w:val="en-US"/>
        </w:rPr>
        <w:t xml:space="preserve">abor </w:t>
      </w:r>
      <w:r w:rsidR="00B2574B" w:rsidRPr="00996864">
        <w:rPr>
          <w:color w:val="0070C0"/>
          <w:lang w:val="en-US"/>
        </w:rPr>
        <w:t>M</w:t>
      </w:r>
      <w:r w:rsidRPr="00996864">
        <w:rPr>
          <w:color w:val="0070C0"/>
          <w:lang w:val="en-US"/>
        </w:rPr>
        <w:t>arket</w:t>
      </w:r>
      <w:bookmarkEnd w:id="1"/>
    </w:p>
    <w:p w14:paraId="106F435B" w14:textId="77777777" w:rsidR="00B52147" w:rsidRPr="004A792A" w:rsidRDefault="00B52147" w:rsidP="00D44BBB">
      <w:pPr>
        <w:jc w:val="both"/>
        <w:rPr>
          <w:lang w:val="en-US"/>
        </w:rPr>
      </w:pPr>
    </w:p>
    <w:p w14:paraId="1777AFDC" w14:textId="77777777" w:rsidR="00D87039" w:rsidRPr="004A792A" w:rsidRDefault="00D87039" w:rsidP="00D44BBB">
      <w:pPr>
        <w:spacing w:before="0" w:after="160" w:line="259" w:lineRule="auto"/>
        <w:jc w:val="both"/>
        <w:rPr>
          <w:lang w:val="en-US"/>
        </w:rPr>
      </w:pPr>
    </w:p>
    <w:p w14:paraId="65A24E6E" w14:textId="266F7F72" w:rsidR="00057ADF" w:rsidRPr="004A792A" w:rsidRDefault="005E713E" w:rsidP="00057ADF">
      <w:pPr>
        <w:jc w:val="both"/>
        <w:rPr>
          <w:lang w:val="en-US"/>
        </w:rPr>
      </w:pPr>
      <w:r>
        <w:rPr>
          <w:lang w:val="en-US"/>
        </w:rPr>
        <w:t xml:space="preserve">This draft: </w:t>
      </w:r>
      <w:r w:rsidR="0003498F">
        <w:rPr>
          <w:lang w:val="en-US"/>
        </w:rPr>
        <w:t>December</w:t>
      </w:r>
      <w:r w:rsidR="00057ADF" w:rsidRPr="004A792A">
        <w:rPr>
          <w:lang w:val="en-US"/>
        </w:rPr>
        <w:t>, 2018</w:t>
      </w:r>
    </w:p>
    <w:p w14:paraId="1EA7C50E" w14:textId="77777777" w:rsidR="00B52147" w:rsidRPr="004A792A" w:rsidRDefault="00B52147" w:rsidP="00D44BBB">
      <w:pPr>
        <w:spacing w:before="0" w:after="160" w:line="259" w:lineRule="auto"/>
        <w:jc w:val="both"/>
        <w:rPr>
          <w:lang w:val="en-US"/>
        </w:rPr>
      </w:pPr>
    </w:p>
    <w:p w14:paraId="253F5D90" w14:textId="77777777" w:rsidR="00B52147" w:rsidRPr="004A792A" w:rsidRDefault="00B52147" w:rsidP="00D44BBB">
      <w:pPr>
        <w:spacing w:before="0" w:after="160" w:line="259" w:lineRule="auto"/>
        <w:jc w:val="both"/>
        <w:rPr>
          <w:lang w:val="en-US"/>
        </w:rPr>
      </w:pPr>
    </w:p>
    <w:p w14:paraId="0AF52EFD" w14:textId="77777777" w:rsidR="00B52147" w:rsidRPr="004A792A" w:rsidRDefault="00B52147" w:rsidP="00D44BBB">
      <w:pPr>
        <w:spacing w:before="0" w:after="160" w:line="259" w:lineRule="auto"/>
        <w:jc w:val="both"/>
        <w:rPr>
          <w:lang w:val="en-US"/>
        </w:rPr>
      </w:pPr>
    </w:p>
    <w:tbl>
      <w:tblPr>
        <w:tblW w:w="1013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0130"/>
      </w:tblGrid>
      <w:tr w:rsidR="00B52147" w:rsidRPr="004E1A13" w14:paraId="7615E67F" w14:textId="77777777" w:rsidTr="00B52147">
        <w:tc>
          <w:tcPr>
            <w:tcW w:w="10130" w:type="dxa"/>
            <w:tcBorders>
              <w:top w:val="nil"/>
              <w:left w:val="nil"/>
              <w:bottom w:val="nil"/>
              <w:right w:val="nil"/>
            </w:tcBorders>
            <w:shd w:val="clear" w:color="auto" w:fill="FFFFFF"/>
            <w:tcMar>
              <w:top w:w="50" w:type="dxa"/>
              <w:left w:w="50" w:type="dxa"/>
              <w:bottom w:w="50" w:type="dxa"/>
              <w:right w:w="50" w:type="dxa"/>
            </w:tcMar>
            <w:vAlign w:val="center"/>
          </w:tcPr>
          <w:p w14:paraId="7B1852EF" w14:textId="77777777" w:rsidR="00B52147" w:rsidRPr="004A792A" w:rsidRDefault="00B52147" w:rsidP="00D44BBB">
            <w:pPr>
              <w:ind w:left="486"/>
              <w:jc w:val="both"/>
              <w:rPr>
                <w:rFonts w:eastAsia="Calibri" w:cstheme="minorHAnsi"/>
                <w:lang w:val="en-US"/>
              </w:rPr>
            </w:pPr>
          </w:p>
          <w:p w14:paraId="6F328F69" w14:textId="77777777" w:rsidR="00B52147" w:rsidRPr="004A792A" w:rsidRDefault="00B52147" w:rsidP="00D44BBB">
            <w:pPr>
              <w:ind w:left="486"/>
              <w:jc w:val="both"/>
              <w:rPr>
                <w:rFonts w:eastAsia="Calibri" w:cstheme="minorHAnsi"/>
                <w:lang w:val="en-US"/>
              </w:rPr>
            </w:pPr>
          </w:p>
          <w:p w14:paraId="01B4A144" w14:textId="77777777" w:rsidR="00B52147" w:rsidRPr="004A792A" w:rsidRDefault="00B52147" w:rsidP="00D44BBB">
            <w:pPr>
              <w:ind w:left="486"/>
              <w:jc w:val="both"/>
              <w:rPr>
                <w:rFonts w:eastAsia="Calibri" w:cstheme="minorHAnsi"/>
                <w:lang w:val="en-US"/>
              </w:rPr>
            </w:pPr>
          </w:p>
          <w:p w14:paraId="099B5365" w14:textId="77777777" w:rsidR="00B52147" w:rsidRPr="004A792A" w:rsidRDefault="00B52147" w:rsidP="00D44BBB">
            <w:pPr>
              <w:ind w:left="486"/>
              <w:jc w:val="both"/>
              <w:rPr>
                <w:rFonts w:eastAsia="Calibri" w:cstheme="minorHAnsi"/>
                <w:lang w:val="en-US"/>
              </w:rPr>
            </w:pPr>
          </w:p>
          <w:p w14:paraId="26DB0B2F" w14:textId="77777777" w:rsidR="00B52147" w:rsidRPr="004A792A" w:rsidRDefault="00B52147" w:rsidP="00D44BBB">
            <w:pPr>
              <w:ind w:left="486"/>
              <w:jc w:val="both"/>
              <w:rPr>
                <w:rFonts w:eastAsia="Calibri" w:cstheme="minorHAnsi"/>
                <w:lang w:val="en-US"/>
              </w:rPr>
            </w:pPr>
          </w:p>
          <w:p w14:paraId="3C48CB1A" w14:textId="77777777" w:rsidR="00B52147" w:rsidRPr="004A792A" w:rsidRDefault="00B52147" w:rsidP="00D44BBB">
            <w:pPr>
              <w:ind w:left="486"/>
              <w:jc w:val="both"/>
              <w:rPr>
                <w:rFonts w:eastAsia="Calibri" w:cstheme="minorHAnsi"/>
                <w:lang w:val="en-US"/>
              </w:rPr>
            </w:pPr>
            <w:r w:rsidRPr="004A792A">
              <w:rPr>
                <w:rFonts w:eastAsia="Calibri" w:cstheme="minorHAnsi"/>
                <w:lang w:val="en-US"/>
              </w:rPr>
              <w:t>Social Protection and Jobs Global Practice</w:t>
            </w:r>
          </w:p>
          <w:p w14:paraId="4FA48883" w14:textId="77777777" w:rsidR="00B52147" w:rsidRPr="004A792A" w:rsidRDefault="00B52147" w:rsidP="00D44BBB">
            <w:pPr>
              <w:ind w:left="486"/>
              <w:jc w:val="both"/>
              <w:rPr>
                <w:rFonts w:ascii="Times" w:eastAsia="Calibri" w:hAnsi="Times" w:cs="Times"/>
                <w:lang w:val="en-US"/>
              </w:rPr>
            </w:pPr>
            <w:r w:rsidRPr="004A792A">
              <w:rPr>
                <w:rFonts w:eastAsia="Calibri" w:cstheme="minorHAnsi"/>
                <w:lang w:val="en-US"/>
              </w:rPr>
              <w:t>Europe and Central Asia Region</w:t>
            </w:r>
          </w:p>
        </w:tc>
      </w:tr>
    </w:tbl>
    <w:p w14:paraId="41389F55" w14:textId="77777777" w:rsidR="00B52147" w:rsidRPr="004A792A" w:rsidRDefault="00B52147" w:rsidP="00D44BBB">
      <w:pPr>
        <w:spacing w:before="0" w:after="160" w:line="259" w:lineRule="auto"/>
        <w:jc w:val="both"/>
        <w:rPr>
          <w:lang w:val="en-US"/>
        </w:rPr>
      </w:pPr>
    </w:p>
    <w:p w14:paraId="344549D6" w14:textId="77777777" w:rsidR="00B52147" w:rsidRPr="004A792A" w:rsidRDefault="00B52147" w:rsidP="00D44BBB">
      <w:pPr>
        <w:spacing w:before="0" w:after="160" w:line="259" w:lineRule="auto"/>
        <w:jc w:val="both"/>
        <w:rPr>
          <w:lang w:val="en-US"/>
        </w:rPr>
      </w:pPr>
    </w:p>
    <w:p w14:paraId="612E54EE" w14:textId="77777777" w:rsidR="00B52147" w:rsidRPr="004A792A" w:rsidRDefault="00B52147" w:rsidP="00D44BBB">
      <w:pPr>
        <w:spacing w:before="0" w:after="160" w:line="259" w:lineRule="auto"/>
        <w:jc w:val="both"/>
        <w:rPr>
          <w:lang w:val="en-US"/>
        </w:rPr>
      </w:pPr>
    </w:p>
    <w:p w14:paraId="497D2586" w14:textId="77777777" w:rsidR="00B52147" w:rsidRPr="004A792A" w:rsidRDefault="00B52147" w:rsidP="00D44BBB">
      <w:pPr>
        <w:spacing w:before="0" w:after="160" w:line="259" w:lineRule="auto"/>
        <w:jc w:val="both"/>
        <w:rPr>
          <w:lang w:val="en-US"/>
        </w:rPr>
      </w:pPr>
    </w:p>
    <w:p w14:paraId="61155135" w14:textId="77777777" w:rsidR="00B52147" w:rsidRPr="004A792A" w:rsidRDefault="00B52147" w:rsidP="00D44BBB">
      <w:pPr>
        <w:spacing w:before="0" w:after="160" w:line="259" w:lineRule="auto"/>
        <w:jc w:val="both"/>
        <w:rPr>
          <w:lang w:val="en-US"/>
        </w:rPr>
      </w:pPr>
      <w:r w:rsidRPr="004A792A">
        <w:rPr>
          <w:rFonts w:ascii="Times New Roman" w:eastAsia="Calibri" w:hAnsi="Times New Roman"/>
          <w:noProof/>
          <w:lang w:val="ru-RU" w:eastAsia="ru-RU"/>
        </w:rPr>
        <w:drawing>
          <wp:inline distT="0" distB="0" distL="0" distR="0" wp14:anchorId="2DAC6531" wp14:editId="49B2CDBC">
            <wp:extent cx="2083981" cy="944085"/>
            <wp:effectExtent l="0" t="0" r="0" b="8890"/>
            <wp:docPr id="2230" name="Picture 2230" descr="C:\Users\wb264206\Box Sync\World Bank Box\Arbeit\GSP03\WBG_Vertical-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64206\Box Sync\World Bank Box\Arbeit\GSP03\WBG_Vertical-RGB.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6351" cy="945159"/>
                    </a:xfrm>
                    <a:prstGeom prst="rect">
                      <a:avLst/>
                    </a:prstGeom>
                    <a:noFill/>
                    <a:ln>
                      <a:noFill/>
                    </a:ln>
                  </pic:spPr>
                </pic:pic>
              </a:graphicData>
            </a:graphic>
          </wp:inline>
        </w:drawing>
      </w:r>
    </w:p>
    <w:sdt>
      <w:sdtPr>
        <w:rPr>
          <w:rFonts w:asciiTheme="minorHAnsi" w:eastAsiaTheme="minorHAnsi" w:hAnsiTheme="minorHAnsi" w:cstheme="minorBidi"/>
          <w:smallCaps w:val="0"/>
          <w:sz w:val="22"/>
          <w:szCs w:val="22"/>
          <w:lang w:val="en-GB"/>
        </w:rPr>
        <w:id w:val="-405140237"/>
        <w:docPartObj>
          <w:docPartGallery w:val="Table of Contents"/>
          <w:docPartUnique/>
        </w:docPartObj>
      </w:sdtPr>
      <w:sdtEndPr>
        <w:rPr>
          <w:b/>
          <w:bCs/>
          <w:noProof/>
        </w:rPr>
      </w:sdtEndPr>
      <w:sdtContent>
        <w:p w14:paraId="09D93BB1" w14:textId="77777777" w:rsidR="00D202DA" w:rsidRPr="004A792A" w:rsidRDefault="00161811" w:rsidP="00D44BBB">
          <w:pPr>
            <w:pStyle w:val="afa"/>
            <w:ind w:left="432" w:hanging="432"/>
            <w:jc w:val="both"/>
            <w:rPr>
              <w:b/>
              <w:color w:val="0070C0"/>
            </w:rPr>
          </w:pPr>
          <w:r w:rsidRPr="004A792A">
            <w:rPr>
              <w:b/>
              <w:color w:val="0070C0"/>
            </w:rPr>
            <w:t>Table of C</w:t>
          </w:r>
          <w:r w:rsidR="00D202DA" w:rsidRPr="004A792A">
            <w:rPr>
              <w:b/>
              <w:color w:val="0070C0"/>
            </w:rPr>
            <w:t>ontents</w:t>
          </w:r>
        </w:p>
        <w:p w14:paraId="6594669E" w14:textId="77777777" w:rsidR="00DD51BE" w:rsidRDefault="00D202DA" w:rsidP="00CD5F0B">
          <w:pPr>
            <w:pStyle w:val="11"/>
            <w:rPr>
              <w:rFonts w:eastAsiaTheme="minorEastAsia"/>
              <w:noProof/>
              <w:lang w:val="ru-RU" w:eastAsia="ru-RU"/>
            </w:rPr>
          </w:pPr>
          <w:r w:rsidRPr="004A792A">
            <w:rPr>
              <w:lang w:val="en-US"/>
            </w:rPr>
            <w:fldChar w:fldCharType="begin"/>
          </w:r>
          <w:r w:rsidRPr="004A792A">
            <w:rPr>
              <w:lang w:val="en-US"/>
            </w:rPr>
            <w:instrText xml:space="preserve"> TOC \o "1-3" \h \z \u </w:instrText>
          </w:r>
          <w:r w:rsidRPr="004A792A">
            <w:rPr>
              <w:lang w:val="en-US"/>
            </w:rPr>
            <w:fldChar w:fldCharType="separate"/>
          </w:r>
          <w:hyperlink w:anchor="_Toc533211726" w:history="1">
            <w:r w:rsidR="00DD51BE" w:rsidRPr="00B81544">
              <w:rPr>
                <w:rStyle w:val="afb"/>
                <w:noProof/>
              </w:rPr>
              <w:t>Acknowledgements</w:t>
            </w:r>
            <w:r w:rsidR="00DD51BE">
              <w:rPr>
                <w:noProof/>
                <w:webHidden/>
              </w:rPr>
              <w:tab/>
            </w:r>
            <w:r w:rsidR="00DD51BE">
              <w:rPr>
                <w:noProof/>
                <w:webHidden/>
              </w:rPr>
              <w:fldChar w:fldCharType="begin"/>
            </w:r>
            <w:r w:rsidR="00DD51BE">
              <w:rPr>
                <w:noProof/>
                <w:webHidden/>
              </w:rPr>
              <w:instrText xml:space="preserve"> PAGEREF _Toc533211726 \h </w:instrText>
            </w:r>
            <w:r w:rsidR="00DD51BE">
              <w:rPr>
                <w:noProof/>
                <w:webHidden/>
              </w:rPr>
            </w:r>
            <w:r w:rsidR="00DD51BE">
              <w:rPr>
                <w:noProof/>
                <w:webHidden/>
              </w:rPr>
              <w:fldChar w:fldCharType="separate"/>
            </w:r>
            <w:r w:rsidR="00DD51BE">
              <w:rPr>
                <w:noProof/>
                <w:webHidden/>
              </w:rPr>
              <w:t>vi</w:t>
            </w:r>
            <w:r w:rsidR="00DD51BE">
              <w:rPr>
                <w:noProof/>
                <w:webHidden/>
              </w:rPr>
              <w:fldChar w:fldCharType="end"/>
            </w:r>
          </w:hyperlink>
        </w:p>
        <w:p w14:paraId="0931BA1B" w14:textId="77777777" w:rsidR="00DD51BE" w:rsidRDefault="00993835" w:rsidP="00CD5F0B">
          <w:pPr>
            <w:pStyle w:val="11"/>
            <w:rPr>
              <w:rFonts w:eastAsiaTheme="minorEastAsia"/>
              <w:noProof/>
              <w:lang w:val="ru-RU" w:eastAsia="ru-RU"/>
            </w:rPr>
          </w:pPr>
          <w:hyperlink w:anchor="_Toc533211727" w:history="1">
            <w:r w:rsidR="00DD51BE" w:rsidRPr="00B81544">
              <w:rPr>
                <w:rStyle w:val="afb"/>
                <w:noProof/>
              </w:rPr>
              <w:t>List of acronyms and abbreviations</w:t>
            </w:r>
            <w:r w:rsidR="00DD51BE">
              <w:rPr>
                <w:noProof/>
                <w:webHidden/>
              </w:rPr>
              <w:tab/>
            </w:r>
            <w:r w:rsidR="00DD51BE">
              <w:rPr>
                <w:noProof/>
                <w:webHidden/>
              </w:rPr>
              <w:fldChar w:fldCharType="begin"/>
            </w:r>
            <w:r w:rsidR="00DD51BE">
              <w:rPr>
                <w:noProof/>
                <w:webHidden/>
              </w:rPr>
              <w:instrText xml:space="preserve"> PAGEREF _Toc533211727 \h </w:instrText>
            </w:r>
            <w:r w:rsidR="00DD51BE">
              <w:rPr>
                <w:noProof/>
                <w:webHidden/>
              </w:rPr>
            </w:r>
            <w:r w:rsidR="00DD51BE">
              <w:rPr>
                <w:noProof/>
                <w:webHidden/>
              </w:rPr>
              <w:fldChar w:fldCharType="separate"/>
            </w:r>
            <w:r w:rsidR="00DD51BE">
              <w:rPr>
                <w:noProof/>
                <w:webHidden/>
              </w:rPr>
              <w:t>vii</w:t>
            </w:r>
            <w:r w:rsidR="00DD51BE">
              <w:rPr>
                <w:noProof/>
                <w:webHidden/>
              </w:rPr>
              <w:fldChar w:fldCharType="end"/>
            </w:r>
          </w:hyperlink>
        </w:p>
        <w:p w14:paraId="53BD5734" w14:textId="77777777" w:rsidR="00DD51BE" w:rsidRDefault="00993835" w:rsidP="00CD5F0B">
          <w:pPr>
            <w:pStyle w:val="11"/>
            <w:rPr>
              <w:rFonts w:eastAsiaTheme="minorEastAsia"/>
              <w:noProof/>
              <w:lang w:val="ru-RU" w:eastAsia="ru-RU"/>
            </w:rPr>
          </w:pPr>
          <w:hyperlink w:anchor="_Toc533211728" w:history="1">
            <w:r w:rsidR="00DD51BE" w:rsidRPr="00B81544">
              <w:rPr>
                <w:rStyle w:val="afb"/>
                <w:noProof/>
              </w:rPr>
              <w:t>Executive summary</w:t>
            </w:r>
            <w:r w:rsidR="00DD51BE">
              <w:rPr>
                <w:noProof/>
                <w:webHidden/>
              </w:rPr>
              <w:tab/>
            </w:r>
            <w:r w:rsidR="00DD51BE">
              <w:rPr>
                <w:noProof/>
                <w:webHidden/>
              </w:rPr>
              <w:fldChar w:fldCharType="begin"/>
            </w:r>
            <w:r w:rsidR="00DD51BE">
              <w:rPr>
                <w:noProof/>
                <w:webHidden/>
              </w:rPr>
              <w:instrText xml:space="preserve"> PAGEREF _Toc533211728 \h </w:instrText>
            </w:r>
            <w:r w:rsidR="00DD51BE">
              <w:rPr>
                <w:noProof/>
                <w:webHidden/>
              </w:rPr>
            </w:r>
            <w:r w:rsidR="00DD51BE">
              <w:rPr>
                <w:noProof/>
                <w:webHidden/>
              </w:rPr>
              <w:fldChar w:fldCharType="separate"/>
            </w:r>
            <w:r w:rsidR="00DD51BE">
              <w:rPr>
                <w:noProof/>
                <w:webHidden/>
              </w:rPr>
              <w:t>viii</w:t>
            </w:r>
            <w:r w:rsidR="00DD51BE">
              <w:rPr>
                <w:noProof/>
                <w:webHidden/>
              </w:rPr>
              <w:fldChar w:fldCharType="end"/>
            </w:r>
          </w:hyperlink>
        </w:p>
        <w:p w14:paraId="21C744FA" w14:textId="77777777" w:rsidR="00DD51BE" w:rsidRDefault="00993835" w:rsidP="00CD5F0B">
          <w:pPr>
            <w:pStyle w:val="11"/>
            <w:rPr>
              <w:rFonts w:eastAsiaTheme="minorEastAsia"/>
              <w:noProof/>
              <w:lang w:val="ru-RU" w:eastAsia="ru-RU"/>
            </w:rPr>
          </w:pPr>
          <w:hyperlink w:anchor="_Toc533211729" w:history="1">
            <w:r w:rsidR="00DD51BE" w:rsidRPr="00B81544">
              <w:rPr>
                <w:rStyle w:val="afb"/>
                <w:noProof/>
              </w:rPr>
              <w:t>1. Introduction</w:t>
            </w:r>
            <w:r w:rsidR="00DD51BE">
              <w:rPr>
                <w:noProof/>
                <w:webHidden/>
              </w:rPr>
              <w:tab/>
            </w:r>
            <w:r w:rsidR="00DD51BE">
              <w:rPr>
                <w:noProof/>
                <w:webHidden/>
              </w:rPr>
              <w:fldChar w:fldCharType="begin"/>
            </w:r>
            <w:r w:rsidR="00DD51BE">
              <w:rPr>
                <w:noProof/>
                <w:webHidden/>
              </w:rPr>
              <w:instrText xml:space="preserve"> PAGEREF _Toc533211729 \h </w:instrText>
            </w:r>
            <w:r w:rsidR="00DD51BE">
              <w:rPr>
                <w:noProof/>
                <w:webHidden/>
              </w:rPr>
            </w:r>
            <w:r w:rsidR="00DD51BE">
              <w:rPr>
                <w:noProof/>
                <w:webHidden/>
              </w:rPr>
              <w:fldChar w:fldCharType="separate"/>
            </w:r>
            <w:r w:rsidR="00DD51BE">
              <w:rPr>
                <w:noProof/>
                <w:webHidden/>
              </w:rPr>
              <w:t>1</w:t>
            </w:r>
            <w:r w:rsidR="00DD51BE">
              <w:rPr>
                <w:noProof/>
                <w:webHidden/>
              </w:rPr>
              <w:fldChar w:fldCharType="end"/>
            </w:r>
          </w:hyperlink>
        </w:p>
        <w:p w14:paraId="74ADF18D" w14:textId="77777777" w:rsidR="00DD51BE" w:rsidRDefault="00993835" w:rsidP="00CD5F0B">
          <w:pPr>
            <w:pStyle w:val="11"/>
            <w:rPr>
              <w:rFonts w:eastAsiaTheme="minorEastAsia"/>
              <w:noProof/>
              <w:lang w:val="ru-RU" w:eastAsia="ru-RU"/>
            </w:rPr>
          </w:pPr>
          <w:hyperlink w:anchor="_Toc533211730" w:history="1">
            <w:r w:rsidR="00DD51BE" w:rsidRPr="00B81544">
              <w:rPr>
                <w:rStyle w:val="afb"/>
                <w:noProof/>
              </w:rPr>
              <w:t xml:space="preserve">2. Gender </w:t>
            </w:r>
            <w:r w:rsidR="00DD51BE" w:rsidRPr="00B81544">
              <w:rPr>
                <w:rStyle w:val="afb"/>
                <w:bCs/>
                <w:noProof/>
              </w:rPr>
              <w:t xml:space="preserve">segregation </w:t>
            </w:r>
            <w:r w:rsidR="00DD51BE" w:rsidRPr="00B81544">
              <w:rPr>
                <w:rStyle w:val="afb"/>
                <w:noProof/>
              </w:rPr>
              <w:t>of current occupations and educational specializations</w:t>
            </w:r>
            <w:r w:rsidR="00DD51BE">
              <w:rPr>
                <w:noProof/>
                <w:webHidden/>
              </w:rPr>
              <w:tab/>
            </w:r>
            <w:r w:rsidR="00DD51BE">
              <w:rPr>
                <w:noProof/>
                <w:webHidden/>
              </w:rPr>
              <w:fldChar w:fldCharType="begin"/>
            </w:r>
            <w:r w:rsidR="00DD51BE">
              <w:rPr>
                <w:noProof/>
                <w:webHidden/>
              </w:rPr>
              <w:instrText xml:space="preserve"> PAGEREF _Toc533211730 \h </w:instrText>
            </w:r>
            <w:r w:rsidR="00DD51BE">
              <w:rPr>
                <w:noProof/>
                <w:webHidden/>
              </w:rPr>
            </w:r>
            <w:r w:rsidR="00DD51BE">
              <w:rPr>
                <w:noProof/>
                <w:webHidden/>
              </w:rPr>
              <w:fldChar w:fldCharType="separate"/>
            </w:r>
            <w:r w:rsidR="00DD51BE">
              <w:rPr>
                <w:noProof/>
                <w:webHidden/>
              </w:rPr>
              <w:t>6</w:t>
            </w:r>
            <w:r w:rsidR="00DD51BE">
              <w:rPr>
                <w:noProof/>
                <w:webHidden/>
              </w:rPr>
              <w:fldChar w:fldCharType="end"/>
            </w:r>
          </w:hyperlink>
        </w:p>
        <w:p w14:paraId="50189A0B" w14:textId="77777777" w:rsidR="00DD51BE" w:rsidRDefault="00993835" w:rsidP="00CD5F0B">
          <w:pPr>
            <w:pStyle w:val="21"/>
            <w:rPr>
              <w:rFonts w:eastAsiaTheme="minorEastAsia"/>
              <w:noProof/>
              <w:lang w:val="ru-RU" w:eastAsia="ru-RU"/>
            </w:rPr>
          </w:pPr>
          <w:hyperlink w:anchor="_Toc533211731" w:history="1">
            <w:r w:rsidR="00DD51BE" w:rsidRPr="00B81544">
              <w:rPr>
                <w:rStyle w:val="afb"/>
                <w:noProof/>
              </w:rPr>
              <w:t>2.1. Trends in the gender composition of occupations</w:t>
            </w:r>
            <w:r w:rsidR="00DD51BE">
              <w:rPr>
                <w:noProof/>
                <w:webHidden/>
              </w:rPr>
              <w:tab/>
            </w:r>
            <w:r w:rsidR="00DD51BE">
              <w:rPr>
                <w:noProof/>
                <w:webHidden/>
              </w:rPr>
              <w:fldChar w:fldCharType="begin"/>
            </w:r>
            <w:r w:rsidR="00DD51BE">
              <w:rPr>
                <w:noProof/>
                <w:webHidden/>
              </w:rPr>
              <w:instrText xml:space="preserve"> PAGEREF _Toc533211731 \h </w:instrText>
            </w:r>
            <w:r w:rsidR="00DD51BE">
              <w:rPr>
                <w:noProof/>
                <w:webHidden/>
              </w:rPr>
            </w:r>
            <w:r w:rsidR="00DD51BE">
              <w:rPr>
                <w:noProof/>
                <w:webHidden/>
              </w:rPr>
              <w:fldChar w:fldCharType="separate"/>
            </w:r>
            <w:r w:rsidR="00DD51BE">
              <w:rPr>
                <w:noProof/>
                <w:webHidden/>
              </w:rPr>
              <w:t>6</w:t>
            </w:r>
            <w:r w:rsidR="00DD51BE">
              <w:rPr>
                <w:noProof/>
                <w:webHidden/>
              </w:rPr>
              <w:fldChar w:fldCharType="end"/>
            </w:r>
          </w:hyperlink>
        </w:p>
        <w:p w14:paraId="5ADA8085" w14:textId="77777777" w:rsidR="00DD51BE" w:rsidRDefault="00993835" w:rsidP="00CD5F0B">
          <w:pPr>
            <w:pStyle w:val="21"/>
            <w:rPr>
              <w:rFonts w:eastAsiaTheme="minorEastAsia"/>
              <w:noProof/>
              <w:lang w:val="ru-RU" w:eastAsia="ru-RU"/>
            </w:rPr>
          </w:pPr>
          <w:hyperlink w:anchor="_Toc533211732" w:history="1">
            <w:r w:rsidR="00DD51BE" w:rsidRPr="00B81544">
              <w:rPr>
                <w:rStyle w:val="afb"/>
                <w:noProof/>
              </w:rPr>
              <w:t>2.2. Trends in the index of occupational dissimilarity</w:t>
            </w:r>
            <w:r w:rsidR="00DD51BE">
              <w:rPr>
                <w:noProof/>
                <w:webHidden/>
              </w:rPr>
              <w:tab/>
            </w:r>
            <w:r w:rsidR="00DD51BE">
              <w:rPr>
                <w:noProof/>
                <w:webHidden/>
              </w:rPr>
              <w:fldChar w:fldCharType="begin"/>
            </w:r>
            <w:r w:rsidR="00DD51BE">
              <w:rPr>
                <w:noProof/>
                <w:webHidden/>
              </w:rPr>
              <w:instrText xml:space="preserve"> PAGEREF _Toc533211732 \h </w:instrText>
            </w:r>
            <w:r w:rsidR="00DD51BE">
              <w:rPr>
                <w:noProof/>
                <w:webHidden/>
              </w:rPr>
            </w:r>
            <w:r w:rsidR="00DD51BE">
              <w:rPr>
                <w:noProof/>
                <w:webHidden/>
              </w:rPr>
              <w:fldChar w:fldCharType="separate"/>
            </w:r>
            <w:r w:rsidR="00DD51BE">
              <w:rPr>
                <w:noProof/>
                <w:webHidden/>
              </w:rPr>
              <w:t>12</w:t>
            </w:r>
            <w:r w:rsidR="00DD51BE">
              <w:rPr>
                <w:noProof/>
                <w:webHidden/>
              </w:rPr>
              <w:fldChar w:fldCharType="end"/>
            </w:r>
          </w:hyperlink>
        </w:p>
        <w:p w14:paraId="0B815712" w14:textId="77777777" w:rsidR="00DD51BE" w:rsidRDefault="00993835" w:rsidP="00CD5F0B">
          <w:pPr>
            <w:pStyle w:val="21"/>
            <w:rPr>
              <w:rFonts w:eastAsiaTheme="minorEastAsia"/>
              <w:noProof/>
              <w:lang w:val="ru-RU" w:eastAsia="ru-RU"/>
            </w:rPr>
          </w:pPr>
          <w:hyperlink w:anchor="_Toc533211733" w:history="1">
            <w:r w:rsidR="00DD51BE" w:rsidRPr="00B81544">
              <w:rPr>
                <w:rStyle w:val="afb"/>
                <w:noProof/>
              </w:rPr>
              <w:t>2.3. Comparison of occupational segregation in Moldova and EU countries</w:t>
            </w:r>
            <w:r w:rsidR="00DD51BE">
              <w:rPr>
                <w:noProof/>
                <w:webHidden/>
              </w:rPr>
              <w:tab/>
            </w:r>
            <w:r w:rsidR="00DD51BE">
              <w:rPr>
                <w:noProof/>
                <w:webHidden/>
              </w:rPr>
              <w:fldChar w:fldCharType="begin"/>
            </w:r>
            <w:r w:rsidR="00DD51BE">
              <w:rPr>
                <w:noProof/>
                <w:webHidden/>
              </w:rPr>
              <w:instrText xml:space="preserve"> PAGEREF _Toc533211733 \h </w:instrText>
            </w:r>
            <w:r w:rsidR="00DD51BE">
              <w:rPr>
                <w:noProof/>
                <w:webHidden/>
              </w:rPr>
            </w:r>
            <w:r w:rsidR="00DD51BE">
              <w:rPr>
                <w:noProof/>
                <w:webHidden/>
              </w:rPr>
              <w:fldChar w:fldCharType="separate"/>
            </w:r>
            <w:r w:rsidR="00DD51BE">
              <w:rPr>
                <w:noProof/>
                <w:webHidden/>
              </w:rPr>
              <w:t>16</w:t>
            </w:r>
            <w:r w:rsidR="00DD51BE">
              <w:rPr>
                <w:noProof/>
                <w:webHidden/>
              </w:rPr>
              <w:fldChar w:fldCharType="end"/>
            </w:r>
          </w:hyperlink>
        </w:p>
        <w:p w14:paraId="7BF5FE77" w14:textId="77777777" w:rsidR="00DD51BE" w:rsidRDefault="00993835" w:rsidP="00CD5F0B">
          <w:pPr>
            <w:pStyle w:val="21"/>
            <w:rPr>
              <w:rFonts w:eastAsiaTheme="minorEastAsia"/>
              <w:noProof/>
              <w:lang w:val="ru-RU" w:eastAsia="ru-RU"/>
            </w:rPr>
          </w:pPr>
          <w:hyperlink w:anchor="_Toc533211734" w:history="1">
            <w:r w:rsidR="00DD51BE" w:rsidRPr="00B81544">
              <w:rPr>
                <w:rStyle w:val="afb"/>
                <w:noProof/>
              </w:rPr>
              <w:t>2.4. Educational segregation</w:t>
            </w:r>
            <w:r w:rsidR="00DD51BE">
              <w:rPr>
                <w:noProof/>
                <w:webHidden/>
              </w:rPr>
              <w:tab/>
            </w:r>
            <w:r w:rsidR="00DD51BE">
              <w:rPr>
                <w:noProof/>
                <w:webHidden/>
              </w:rPr>
              <w:fldChar w:fldCharType="begin"/>
            </w:r>
            <w:r w:rsidR="00DD51BE">
              <w:rPr>
                <w:noProof/>
                <w:webHidden/>
              </w:rPr>
              <w:instrText xml:space="preserve"> PAGEREF _Toc533211734 \h </w:instrText>
            </w:r>
            <w:r w:rsidR="00DD51BE">
              <w:rPr>
                <w:noProof/>
                <w:webHidden/>
              </w:rPr>
            </w:r>
            <w:r w:rsidR="00DD51BE">
              <w:rPr>
                <w:noProof/>
                <w:webHidden/>
              </w:rPr>
              <w:fldChar w:fldCharType="separate"/>
            </w:r>
            <w:r w:rsidR="00DD51BE">
              <w:rPr>
                <w:noProof/>
                <w:webHidden/>
              </w:rPr>
              <w:t>17</w:t>
            </w:r>
            <w:r w:rsidR="00DD51BE">
              <w:rPr>
                <w:noProof/>
                <w:webHidden/>
              </w:rPr>
              <w:fldChar w:fldCharType="end"/>
            </w:r>
          </w:hyperlink>
        </w:p>
        <w:p w14:paraId="27300C86" w14:textId="77777777" w:rsidR="00DD51BE" w:rsidRDefault="00993835" w:rsidP="00CD5F0B">
          <w:pPr>
            <w:pStyle w:val="11"/>
            <w:rPr>
              <w:rFonts w:eastAsiaTheme="minorEastAsia"/>
              <w:noProof/>
              <w:lang w:val="ru-RU" w:eastAsia="ru-RU"/>
            </w:rPr>
          </w:pPr>
          <w:hyperlink w:anchor="_Toc533211735" w:history="1">
            <w:r w:rsidR="00DD51BE" w:rsidRPr="00B81544">
              <w:rPr>
                <w:rStyle w:val="afb"/>
                <w:noProof/>
              </w:rPr>
              <w:t>3. The impact of children on labor force participation and employment of women and men</w:t>
            </w:r>
            <w:r w:rsidR="00DD51BE">
              <w:rPr>
                <w:noProof/>
                <w:webHidden/>
              </w:rPr>
              <w:tab/>
            </w:r>
            <w:r w:rsidR="00DD51BE">
              <w:rPr>
                <w:noProof/>
                <w:webHidden/>
              </w:rPr>
              <w:fldChar w:fldCharType="begin"/>
            </w:r>
            <w:r w:rsidR="00DD51BE">
              <w:rPr>
                <w:noProof/>
                <w:webHidden/>
              </w:rPr>
              <w:instrText xml:space="preserve"> PAGEREF _Toc533211735 \h </w:instrText>
            </w:r>
            <w:r w:rsidR="00DD51BE">
              <w:rPr>
                <w:noProof/>
                <w:webHidden/>
              </w:rPr>
            </w:r>
            <w:r w:rsidR="00DD51BE">
              <w:rPr>
                <w:noProof/>
                <w:webHidden/>
              </w:rPr>
              <w:fldChar w:fldCharType="separate"/>
            </w:r>
            <w:r w:rsidR="00DD51BE">
              <w:rPr>
                <w:noProof/>
                <w:webHidden/>
              </w:rPr>
              <w:t>21</w:t>
            </w:r>
            <w:r w:rsidR="00DD51BE">
              <w:rPr>
                <w:noProof/>
                <w:webHidden/>
              </w:rPr>
              <w:fldChar w:fldCharType="end"/>
            </w:r>
          </w:hyperlink>
        </w:p>
        <w:p w14:paraId="795D3CBB" w14:textId="77777777" w:rsidR="00DD51BE" w:rsidRDefault="00993835" w:rsidP="00CD5F0B">
          <w:pPr>
            <w:pStyle w:val="21"/>
            <w:rPr>
              <w:rFonts w:eastAsiaTheme="minorEastAsia"/>
              <w:noProof/>
              <w:lang w:val="ru-RU" w:eastAsia="ru-RU"/>
            </w:rPr>
          </w:pPr>
          <w:hyperlink w:anchor="_Toc533211736" w:history="1">
            <w:r w:rsidR="00DD51BE" w:rsidRPr="00B81544">
              <w:rPr>
                <w:rStyle w:val="afb"/>
                <w:noProof/>
              </w:rPr>
              <w:t>3.1. Gender inequalities in the amount of time spent on unpaid care activities</w:t>
            </w:r>
            <w:r w:rsidR="00DD51BE">
              <w:rPr>
                <w:noProof/>
                <w:webHidden/>
              </w:rPr>
              <w:tab/>
            </w:r>
            <w:r w:rsidR="00DD51BE">
              <w:rPr>
                <w:noProof/>
                <w:webHidden/>
              </w:rPr>
              <w:fldChar w:fldCharType="begin"/>
            </w:r>
            <w:r w:rsidR="00DD51BE">
              <w:rPr>
                <w:noProof/>
                <w:webHidden/>
              </w:rPr>
              <w:instrText xml:space="preserve"> PAGEREF _Toc533211736 \h </w:instrText>
            </w:r>
            <w:r w:rsidR="00DD51BE">
              <w:rPr>
                <w:noProof/>
                <w:webHidden/>
              </w:rPr>
            </w:r>
            <w:r w:rsidR="00DD51BE">
              <w:rPr>
                <w:noProof/>
                <w:webHidden/>
              </w:rPr>
              <w:fldChar w:fldCharType="separate"/>
            </w:r>
            <w:r w:rsidR="00DD51BE">
              <w:rPr>
                <w:noProof/>
                <w:webHidden/>
              </w:rPr>
              <w:t>21</w:t>
            </w:r>
            <w:r w:rsidR="00DD51BE">
              <w:rPr>
                <w:noProof/>
                <w:webHidden/>
              </w:rPr>
              <w:fldChar w:fldCharType="end"/>
            </w:r>
          </w:hyperlink>
        </w:p>
        <w:p w14:paraId="08EFB9CA" w14:textId="77777777" w:rsidR="00DD51BE" w:rsidRDefault="00993835" w:rsidP="00CD5F0B">
          <w:pPr>
            <w:pStyle w:val="21"/>
            <w:rPr>
              <w:rFonts w:eastAsiaTheme="minorEastAsia"/>
              <w:noProof/>
              <w:lang w:val="ru-RU" w:eastAsia="ru-RU"/>
            </w:rPr>
          </w:pPr>
          <w:hyperlink w:anchor="_Toc533211737" w:history="1">
            <w:r w:rsidR="00DD51BE" w:rsidRPr="00B81544">
              <w:rPr>
                <w:rStyle w:val="afb"/>
                <w:noProof/>
              </w:rPr>
              <w:t>3.2. Labor force and employment rates of mothers and fathers</w:t>
            </w:r>
            <w:r w:rsidR="00DD51BE">
              <w:rPr>
                <w:noProof/>
                <w:webHidden/>
              </w:rPr>
              <w:tab/>
            </w:r>
            <w:r w:rsidR="00DD51BE">
              <w:rPr>
                <w:noProof/>
                <w:webHidden/>
              </w:rPr>
              <w:fldChar w:fldCharType="begin"/>
            </w:r>
            <w:r w:rsidR="00DD51BE">
              <w:rPr>
                <w:noProof/>
                <w:webHidden/>
              </w:rPr>
              <w:instrText xml:space="preserve"> PAGEREF _Toc533211737 \h </w:instrText>
            </w:r>
            <w:r w:rsidR="00DD51BE">
              <w:rPr>
                <w:noProof/>
                <w:webHidden/>
              </w:rPr>
            </w:r>
            <w:r w:rsidR="00DD51BE">
              <w:rPr>
                <w:noProof/>
                <w:webHidden/>
              </w:rPr>
              <w:fldChar w:fldCharType="separate"/>
            </w:r>
            <w:r w:rsidR="00DD51BE">
              <w:rPr>
                <w:noProof/>
                <w:webHidden/>
              </w:rPr>
              <w:t>21</w:t>
            </w:r>
            <w:r w:rsidR="00DD51BE">
              <w:rPr>
                <w:noProof/>
                <w:webHidden/>
              </w:rPr>
              <w:fldChar w:fldCharType="end"/>
            </w:r>
          </w:hyperlink>
        </w:p>
        <w:p w14:paraId="6FB72491" w14:textId="77777777" w:rsidR="00DD51BE" w:rsidRDefault="00993835" w:rsidP="00CD5F0B">
          <w:pPr>
            <w:pStyle w:val="21"/>
            <w:rPr>
              <w:rFonts w:eastAsiaTheme="minorEastAsia"/>
              <w:noProof/>
              <w:lang w:val="ru-RU" w:eastAsia="ru-RU"/>
            </w:rPr>
          </w:pPr>
          <w:hyperlink w:anchor="_Toc533211738" w:history="1">
            <w:r w:rsidR="00DD51BE" w:rsidRPr="00B81544">
              <w:rPr>
                <w:rStyle w:val="afb"/>
                <w:noProof/>
              </w:rPr>
              <w:t>3.3. Employment characteristics of mothers and fathers</w:t>
            </w:r>
            <w:r w:rsidR="00DD51BE">
              <w:rPr>
                <w:noProof/>
                <w:webHidden/>
              </w:rPr>
              <w:tab/>
            </w:r>
            <w:r w:rsidR="00DD51BE">
              <w:rPr>
                <w:noProof/>
                <w:webHidden/>
              </w:rPr>
              <w:fldChar w:fldCharType="begin"/>
            </w:r>
            <w:r w:rsidR="00DD51BE">
              <w:rPr>
                <w:noProof/>
                <w:webHidden/>
              </w:rPr>
              <w:instrText xml:space="preserve"> PAGEREF _Toc533211738 \h </w:instrText>
            </w:r>
            <w:r w:rsidR="00DD51BE">
              <w:rPr>
                <w:noProof/>
                <w:webHidden/>
              </w:rPr>
            </w:r>
            <w:r w:rsidR="00DD51BE">
              <w:rPr>
                <w:noProof/>
                <w:webHidden/>
              </w:rPr>
              <w:fldChar w:fldCharType="separate"/>
            </w:r>
            <w:r w:rsidR="00DD51BE">
              <w:rPr>
                <w:noProof/>
                <w:webHidden/>
              </w:rPr>
              <w:t>26</w:t>
            </w:r>
            <w:r w:rsidR="00DD51BE">
              <w:rPr>
                <w:noProof/>
                <w:webHidden/>
              </w:rPr>
              <w:fldChar w:fldCharType="end"/>
            </w:r>
          </w:hyperlink>
        </w:p>
        <w:p w14:paraId="6002B2A1" w14:textId="77777777" w:rsidR="00DD51BE" w:rsidRDefault="00993835" w:rsidP="00CD5F0B">
          <w:pPr>
            <w:pStyle w:val="11"/>
            <w:rPr>
              <w:rFonts w:eastAsiaTheme="minorEastAsia"/>
              <w:noProof/>
              <w:lang w:val="ru-RU" w:eastAsia="ru-RU"/>
            </w:rPr>
          </w:pPr>
          <w:hyperlink w:anchor="_Toc533211739" w:history="1">
            <w:r w:rsidR="00DD51BE" w:rsidRPr="00B81544">
              <w:rPr>
                <w:rStyle w:val="afb"/>
                <w:noProof/>
              </w:rPr>
              <w:t>4. Gender pay gap and parenthood wage penalty</w:t>
            </w:r>
            <w:r w:rsidR="00DD51BE">
              <w:rPr>
                <w:noProof/>
                <w:webHidden/>
              </w:rPr>
              <w:tab/>
            </w:r>
            <w:r w:rsidR="00DD51BE">
              <w:rPr>
                <w:noProof/>
                <w:webHidden/>
              </w:rPr>
              <w:fldChar w:fldCharType="begin"/>
            </w:r>
            <w:r w:rsidR="00DD51BE">
              <w:rPr>
                <w:noProof/>
                <w:webHidden/>
              </w:rPr>
              <w:instrText xml:space="preserve"> PAGEREF _Toc533211739 \h </w:instrText>
            </w:r>
            <w:r w:rsidR="00DD51BE">
              <w:rPr>
                <w:noProof/>
                <w:webHidden/>
              </w:rPr>
            </w:r>
            <w:r w:rsidR="00DD51BE">
              <w:rPr>
                <w:noProof/>
                <w:webHidden/>
              </w:rPr>
              <w:fldChar w:fldCharType="separate"/>
            </w:r>
            <w:r w:rsidR="00DD51BE">
              <w:rPr>
                <w:noProof/>
                <w:webHidden/>
              </w:rPr>
              <w:t>31</w:t>
            </w:r>
            <w:r w:rsidR="00DD51BE">
              <w:rPr>
                <w:noProof/>
                <w:webHidden/>
              </w:rPr>
              <w:fldChar w:fldCharType="end"/>
            </w:r>
          </w:hyperlink>
        </w:p>
        <w:p w14:paraId="628BB050" w14:textId="77777777" w:rsidR="00DD51BE" w:rsidRDefault="00993835" w:rsidP="00CD5F0B">
          <w:pPr>
            <w:pStyle w:val="21"/>
            <w:rPr>
              <w:rFonts w:eastAsiaTheme="minorEastAsia"/>
              <w:noProof/>
              <w:lang w:val="ru-RU" w:eastAsia="ru-RU"/>
            </w:rPr>
          </w:pPr>
          <w:hyperlink w:anchor="_Toc533211740" w:history="1">
            <w:r w:rsidR="00DD51BE" w:rsidRPr="00B81544">
              <w:rPr>
                <w:rStyle w:val="afb"/>
                <w:noProof/>
              </w:rPr>
              <w:t>4.1. Levels and trends in the unadjusted gender pay gap</w:t>
            </w:r>
            <w:r w:rsidR="00DD51BE">
              <w:rPr>
                <w:noProof/>
                <w:webHidden/>
              </w:rPr>
              <w:tab/>
            </w:r>
            <w:r w:rsidR="00DD51BE">
              <w:rPr>
                <w:noProof/>
                <w:webHidden/>
              </w:rPr>
              <w:fldChar w:fldCharType="begin"/>
            </w:r>
            <w:r w:rsidR="00DD51BE">
              <w:rPr>
                <w:noProof/>
                <w:webHidden/>
              </w:rPr>
              <w:instrText xml:space="preserve"> PAGEREF _Toc533211740 \h </w:instrText>
            </w:r>
            <w:r w:rsidR="00DD51BE">
              <w:rPr>
                <w:noProof/>
                <w:webHidden/>
              </w:rPr>
            </w:r>
            <w:r w:rsidR="00DD51BE">
              <w:rPr>
                <w:noProof/>
                <w:webHidden/>
              </w:rPr>
              <w:fldChar w:fldCharType="separate"/>
            </w:r>
            <w:r w:rsidR="00DD51BE">
              <w:rPr>
                <w:noProof/>
                <w:webHidden/>
              </w:rPr>
              <w:t>31</w:t>
            </w:r>
            <w:r w:rsidR="00DD51BE">
              <w:rPr>
                <w:noProof/>
                <w:webHidden/>
              </w:rPr>
              <w:fldChar w:fldCharType="end"/>
            </w:r>
          </w:hyperlink>
        </w:p>
        <w:p w14:paraId="23F7E77F" w14:textId="77777777" w:rsidR="00DD51BE" w:rsidRDefault="00993835" w:rsidP="00CD5F0B">
          <w:pPr>
            <w:pStyle w:val="21"/>
            <w:rPr>
              <w:rFonts w:eastAsiaTheme="minorEastAsia"/>
              <w:noProof/>
              <w:lang w:val="ru-RU" w:eastAsia="ru-RU"/>
            </w:rPr>
          </w:pPr>
          <w:hyperlink w:anchor="_Toc533211741" w:history="1">
            <w:r w:rsidR="00DD51BE" w:rsidRPr="00B81544">
              <w:rPr>
                <w:rStyle w:val="afb"/>
                <w:noProof/>
              </w:rPr>
              <w:t>4.2. Adjusted gender pay gap and its decomposition</w:t>
            </w:r>
            <w:r w:rsidR="00DD51BE">
              <w:rPr>
                <w:noProof/>
                <w:webHidden/>
              </w:rPr>
              <w:tab/>
            </w:r>
            <w:r w:rsidR="00DD51BE">
              <w:rPr>
                <w:noProof/>
                <w:webHidden/>
              </w:rPr>
              <w:fldChar w:fldCharType="begin"/>
            </w:r>
            <w:r w:rsidR="00DD51BE">
              <w:rPr>
                <w:noProof/>
                <w:webHidden/>
              </w:rPr>
              <w:instrText xml:space="preserve"> PAGEREF _Toc533211741 \h </w:instrText>
            </w:r>
            <w:r w:rsidR="00DD51BE">
              <w:rPr>
                <w:noProof/>
                <w:webHidden/>
              </w:rPr>
            </w:r>
            <w:r w:rsidR="00DD51BE">
              <w:rPr>
                <w:noProof/>
                <w:webHidden/>
              </w:rPr>
              <w:fldChar w:fldCharType="separate"/>
            </w:r>
            <w:r w:rsidR="00DD51BE">
              <w:rPr>
                <w:noProof/>
                <w:webHidden/>
              </w:rPr>
              <w:t>33</w:t>
            </w:r>
            <w:r w:rsidR="00DD51BE">
              <w:rPr>
                <w:noProof/>
                <w:webHidden/>
              </w:rPr>
              <w:fldChar w:fldCharType="end"/>
            </w:r>
          </w:hyperlink>
        </w:p>
        <w:p w14:paraId="7878C554" w14:textId="77777777" w:rsidR="00DD51BE" w:rsidRDefault="00993835" w:rsidP="00CD5F0B">
          <w:pPr>
            <w:pStyle w:val="21"/>
            <w:rPr>
              <w:rFonts w:eastAsiaTheme="minorEastAsia"/>
              <w:noProof/>
              <w:lang w:val="ru-RU" w:eastAsia="ru-RU"/>
            </w:rPr>
          </w:pPr>
          <w:hyperlink w:anchor="_Toc533211742" w:history="1">
            <w:r w:rsidR="00DD51BE" w:rsidRPr="00B81544">
              <w:rPr>
                <w:rStyle w:val="afb"/>
                <w:noProof/>
              </w:rPr>
              <w:t>4.3. Parenthood wage penalty</w:t>
            </w:r>
            <w:r w:rsidR="00DD51BE">
              <w:rPr>
                <w:noProof/>
                <w:webHidden/>
              </w:rPr>
              <w:tab/>
            </w:r>
            <w:r w:rsidR="00DD51BE">
              <w:rPr>
                <w:noProof/>
                <w:webHidden/>
              </w:rPr>
              <w:fldChar w:fldCharType="begin"/>
            </w:r>
            <w:r w:rsidR="00DD51BE">
              <w:rPr>
                <w:noProof/>
                <w:webHidden/>
              </w:rPr>
              <w:instrText xml:space="preserve"> PAGEREF _Toc533211742 \h </w:instrText>
            </w:r>
            <w:r w:rsidR="00DD51BE">
              <w:rPr>
                <w:noProof/>
                <w:webHidden/>
              </w:rPr>
            </w:r>
            <w:r w:rsidR="00DD51BE">
              <w:rPr>
                <w:noProof/>
                <w:webHidden/>
              </w:rPr>
              <w:fldChar w:fldCharType="separate"/>
            </w:r>
            <w:r w:rsidR="00DD51BE">
              <w:rPr>
                <w:noProof/>
                <w:webHidden/>
              </w:rPr>
              <w:t>35</w:t>
            </w:r>
            <w:r w:rsidR="00DD51BE">
              <w:rPr>
                <w:noProof/>
                <w:webHidden/>
              </w:rPr>
              <w:fldChar w:fldCharType="end"/>
            </w:r>
          </w:hyperlink>
        </w:p>
        <w:p w14:paraId="4C3731AF" w14:textId="77777777" w:rsidR="00DD51BE" w:rsidRDefault="00993835" w:rsidP="00CD5F0B">
          <w:pPr>
            <w:pStyle w:val="11"/>
            <w:rPr>
              <w:rFonts w:eastAsiaTheme="minorEastAsia"/>
              <w:noProof/>
              <w:lang w:val="ru-RU" w:eastAsia="ru-RU"/>
            </w:rPr>
          </w:pPr>
          <w:hyperlink w:anchor="_Toc533211743" w:history="1">
            <w:r w:rsidR="00DD51BE" w:rsidRPr="00B81544">
              <w:rPr>
                <w:rStyle w:val="afb"/>
                <w:noProof/>
              </w:rPr>
              <w:t>5. Gender differences in desired job characteristics and salary expectations: Analysis of scraped job seeker profiles</w:t>
            </w:r>
            <w:r w:rsidR="00DD51BE">
              <w:rPr>
                <w:noProof/>
                <w:webHidden/>
              </w:rPr>
              <w:tab/>
            </w:r>
            <w:r w:rsidR="00DD51BE">
              <w:rPr>
                <w:noProof/>
                <w:webHidden/>
              </w:rPr>
              <w:fldChar w:fldCharType="begin"/>
            </w:r>
            <w:r w:rsidR="00DD51BE">
              <w:rPr>
                <w:noProof/>
                <w:webHidden/>
              </w:rPr>
              <w:instrText xml:space="preserve"> PAGEREF _Toc533211743 \h </w:instrText>
            </w:r>
            <w:r w:rsidR="00DD51BE">
              <w:rPr>
                <w:noProof/>
                <w:webHidden/>
              </w:rPr>
            </w:r>
            <w:r w:rsidR="00DD51BE">
              <w:rPr>
                <w:noProof/>
                <w:webHidden/>
              </w:rPr>
              <w:fldChar w:fldCharType="separate"/>
            </w:r>
            <w:r w:rsidR="00DD51BE">
              <w:rPr>
                <w:noProof/>
                <w:webHidden/>
              </w:rPr>
              <w:t>37</w:t>
            </w:r>
            <w:r w:rsidR="00DD51BE">
              <w:rPr>
                <w:noProof/>
                <w:webHidden/>
              </w:rPr>
              <w:fldChar w:fldCharType="end"/>
            </w:r>
          </w:hyperlink>
        </w:p>
        <w:p w14:paraId="7C79DE50" w14:textId="77777777" w:rsidR="00DD51BE" w:rsidRDefault="00993835" w:rsidP="00CD5F0B">
          <w:pPr>
            <w:pStyle w:val="21"/>
            <w:rPr>
              <w:rFonts w:eastAsiaTheme="minorEastAsia"/>
              <w:noProof/>
              <w:lang w:val="ru-RU" w:eastAsia="ru-RU"/>
            </w:rPr>
          </w:pPr>
          <w:hyperlink w:anchor="_Toc533211744" w:history="1">
            <w:r w:rsidR="00DD51BE" w:rsidRPr="00B81544">
              <w:rPr>
                <w:rStyle w:val="afb"/>
                <w:noProof/>
              </w:rPr>
              <w:t>5.1. Socio-demographic characteristics of online job seekers</w:t>
            </w:r>
            <w:r w:rsidR="00DD51BE">
              <w:rPr>
                <w:noProof/>
                <w:webHidden/>
              </w:rPr>
              <w:tab/>
            </w:r>
            <w:r w:rsidR="00DD51BE">
              <w:rPr>
                <w:noProof/>
                <w:webHidden/>
              </w:rPr>
              <w:fldChar w:fldCharType="begin"/>
            </w:r>
            <w:r w:rsidR="00DD51BE">
              <w:rPr>
                <w:noProof/>
                <w:webHidden/>
              </w:rPr>
              <w:instrText xml:space="preserve"> PAGEREF _Toc533211744 \h </w:instrText>
            </w:r>
            <w:r w:rsidR="00DD51BE">
              <w:rPr>
                <w:noProof/>
                <w:webHidden/>
              </w:rPr>
            </w:r>
            <w:r w:rsidR="00DD51BE">
              <w:rPr>
                <w:noProof/>
                <w:webHidden/>
              </w:rPr>
              <w:fldChar w:fldCharType="separate"/>
            </w:r>
            <w:r w:rsidR="00DD51BE">
              <w:rPr>
                <w:noProof/>
                <w:webHidden/>
              </w:rPr>
              <w:t>37</w:t>
            </w:r>
            <w:r w:rsidR="00DD51BE">
              <w:rPr>
                <w:noProof/>
                <w:webHidden/>
              </w:rPr>
              <w:fldChar w:fldCharType="end"/>
            </w:r>
          </w:hyperlink>
        </w:p>
        <w:p w14:paraId="6A5297CC" w14:textId="77777777" w:rsidR="00DD51BE" w:rsidRDefault="00993835" w:rsidP="00CD5F0B">
          <w:pPr>
            <w:pStyle w:val="21"/>
            <w:rPr>
              <w:rFonts w:eastAsiaTheme="minorEastAsia"/>
              <w:noProof/>
              <w:lang w:val="ru-RU" w:eastAsia="ru-RU"/>
            </w:rPr>
          </w:pPr>
          <w:hyperlink w:anchor="_Toc533211745" w:history="1">
            <w:r w:rsidR="00DD51BE" w:rsidRPr="00B81544">
              <w:rPr>
                <w:rStyle w:val="afb"/>
                <w:noProof/>
              </w:rPr>
              <w:t>5.2. Human capital characteristics of online job seekers</w:t>
            </w:r>
            <w:r w:rsidR="00DD51BE">
              <w:rPr>
                <w:noProof/>
                <w:webHidden/>
              </w:rPr>
              <w:tab/>
            </w:r>
            <w:r w:rsidR="00DD51BE">
              <w:rPr>
                <w:noProof/>
                <w:webHidden/>
              </w:rPr>
              <w:fldChar w:fldCharType="begin"/>
            </w:r>
            <w:r w:rsidR="00DD51BE">
              <w:rPr>
                <w:noProof/>
                <w:webHidden/>
              </w:rPr>
              <w:instrText xml:space="preserve"> PAGEREF _Toc533211745 \h </w:instrText>
            </w:r>
            <w:r w:rsidR="00DD51BE">
              <w:rPr>
                <w:noProof/>
                <w:webHidden/>
              </w:rPr>
            </w:r>
            <w:r w:rsidR="00DD51BE">
              <w:rPr>
                <w:noProof/>
                <w:webHidden/>
              </w:rPr>
              <w:fldChar w:fldCharType="separate"/>
            </w:r>
            <w:r w:rsidR="00DD51BE">
              <w:rPr>
                <w:noProof/>
                <w:webHidden/>
              </w:rPr>
              <w:t>38</w:t>
            </w:r>
            <w:r w:rsidR="00DD51BE">
              <w:rPr>
                <w:noProof/>
                <w:webHidden/>
              </w:rPr>
              <w:fldChar w:fldCharType="end"/>
            </w:r>
          </w:hyperlink>
        </w:p>
        <w:p w14:paraId="7D966D4F" w14:textId="77777777" w:rsidR="00DD51BE" w:rsidRDefault="00993835" w:rsidP="00CD5F0B">
          <w:pPr>
            <w:pStyle w:val="21"/>
            <w:rPr>
              <w:rFonts w:eastAsiaTheme="minorEastAsia"/>
              <w:noProof/>
              <w:lang w:val="ru-RU" w:eastAsia="ru-RU"/>
            </w:rPr>
          </w:pPr>
          <w:hyperlink w:anchor="_Toc533211746" w:history="1">
            <w:r w:rsidR="00DD51BE" w:rsidRPr="00B81544">
              <w:rPr>
                <w:rStyle w:val="afb"/>
                <w:noProof/>
              </w:rPr>
              <w:t>5.3. Desired sector, occupation, and job characteristics of female and male job seekers</w:t>
            </w:r>
            <w:r w:rsidR="00DD51BE">
              <w:rPr>
                <w:noProof/>
                <w:webHidden/>
              </w:rPr>
              <w:tab/>
            </w:r>
            <w:r w:rsidR="00DD51BE">
              <w:rPr>
                <w:noProof/>
                <w:webHidden/>
              </w:rPr>
              <w:fldChar w:fldCharType="begin"/>
            </w:r>
            <w:r w:rsidR="00DD51BE">
              <w:rPr>
                <w:noProof/>
                <w:webHidden/>
              </w:rPr>
              <w:instrText xml:space="preserve"> PAGEREF _Toc533211746 \h </w:instrText>
            </w:r>
            <w:r w:rsidR="00DD51BE">
              <w:rPr>
                <w:noProof/>
                <w:webHidden/>
              </w:rPr>
            </w:r>
            <w:r w:rsidR="00DD51BE">
              <w:rPr>
                <w:noProof/>
                <w:webHidden/>
              </w:rPr>
              <w:fldChar w:fldCharType="separate"/>
            </w:r>
            <w:r w:rsidR="00DD51BE">
              <w:rPr>
                <w:noProof/>
                <w:webHidden/>
              </w:rPr>
              <w:t>41</w:t>
            </w:r>
            <w:r w:rsidR="00DD51BE">
              <w:rPr>
                <w:noProof/>
                <w:webHidden/>
              </w:rPr>
              <w:fldChar w:fldCharType="end"/>
            </w:r>
          </w:hyperlink>
        </w:p>
        <w:p w14:paraId="0EEC67BD" w14:textId="77777777" w:rsidR="00DD51BE" w:rsidRDefault="00993835" w:rsidP="00CD5F0B">
          <w:pPr>
            <w:pStyle w:val="21"/>
            <w:rPr>
              <w:rFonts w:eastAsiaTheme="minorEastAsia"/>
              <w:noProof/>
              <w:lang w:val="ru-RU" w:eastAsia="ru-RU"/>
            </w:rPr>
          </w:pPr>
          <w:hyperlink w:anchor="_Toc533211747" w:history="1">
            <w:r w:rsidR="00DD51BE" w:rsidRPr="00B81544">
              <w:rPr>
                <w:rStyle w:val="afb"/>
                <w:noProof/>
              </w:rPr>
              <w:t>5.3. Salary expectations of job seekers</w:t>
            </w:r>
            <w:r w:rsidR="00DD51BE">
              <w:rPr>
                <w:noProof/>
                <w:webHidden/>
              </w:rPr>
              <w:tab/>
            </w:r>
            <w:r w:rsidR="00DD51BE">
              <w:rPr>
                <w:noProof/>
                <w:webHidden/>
              </w:rPr>
              <w:fldChar w:fldCharType="begin"/>
            </w:r>
            <w:r w:rsidR="00DD51BE">
              <w:rPr>
                <w:noProof/>
                <w:webHidden/>
              </w:rPr>
              <w:instrText xml:space="preserve"> PAGEREF _Toc533211747 \h </w:instrText>
            </w:r>
            <w:r w:rsidR="00DD51BE">
              <w:rPr>
                <w:noProof/>
                <w:webHidden/>
              </w:rPr>
            </w:r>
            <w:r w:rsidR="00DD51BE">
              <w:rPr>
                <w:noProof/>
                <w:webHidden/>
              </w:rPr>
              <w:fldChar w:fldCharType="separate"/>
            </w:r>
            <w:r w:rsidR="00DD51BE">
              <w:rPr>
                <w:noProof/>
                <w:webHidden/>
              </w:rPr>
              <w:t>46</w:t>
            </w:r>
            <w:r w:rsidR="00DD51BE">
              <w:rPr>
                <w:noProof/>
                <w:webHidden/>
              </w:rPr>
              <w:fldChar w:fldCharType="end"/>
            </w:r>
          </w:hyperlink>
        </w:p>
        <w:p w14:paraId="1E5470D7" w14:textId="77777777" w:rsidR="00DD51BE" w:rsidRDefault="00993835" w:rsidP="00CD5F0B">
          <w:pPr>
            <w:pStyle w:val="11"/>
            <w:rPr>
              <w:rFonts w:eastAsiaTheme="minorEastAsia"/>
              <w:noProof/>
              <w:lang w:val="ru-RU" w:eastAsia="ru-RU"/>
            </w:rPr>
          </w:pPr>
          <w:hyperlink w:anchor="_Toc533211748" w:history="1">
            <w:r w:rsidR="00DD51BE" w:rsidRPr="00B81544">
              <w:rPr>
                <w:rStyle w:val="afb"/>
                <w:noProof/>
              </w:rPr>
              <w:t>6. Policy recommendations</w:t>
            </w:r>
            <w:r w:rsidR="00DD51BE">
              <w:rPr>
                <w:noProof/>
                <w:webHidden/>
              </w:rPr>
              <w:tab/>
            </w:r>
            <w:r w:rsidR="00DD51BE">
              <w:rPr>
                <w:noProof/>
                <w:webHidden/>
              </w:rPr>
              <w:fldChar w:fldCharType="begin"/>
            </w:r>
            <w:r w:rsidR="00DD51BE">
              <w:rPr>
                <w:noProof/>
                <w:webHidden/>
              </w:rPr>
              <w:instrText xml:space="preserve"> PAGEREF _Toc533211748 \h </w:instrText>
            </w:r>
            <w:r w:rsidR="00DD51BE">
              <w:rPr>
                <w:noProof/>
                <w:webHidden/>
              </w:rPr>
            </w:r>
            <w:r w:rsidR="00DD51BE">
              <w:rPr>
                <w:noProof/>
                <w:webHidden/>
              </w:rPr>
              <w:fldChar w:fldCharType="separate"/>
            </w:r>
            <w:r w:rsidR="00DD51BE">
              <w:rPr>
                <w:noProof/>
                <w:webHidden/>
              </w:rPr>
              <w:t>50</w:t>
            </w:r>
            <w:r w:rsidR="00DD51BE">
              <w:rPr>
                <w:noProof/>
                <w:webHidden/>
              </w:rPr>
              <w:fldChar w:fldCharType="end"/>
            </w:r>
          </w:hyperlink>
        </w:p>
        <w:p w14:paraId="28799DE8" w14:textId="77777777" w:rsidR="00DD51BE" w:rsidRDefault="00993835" w:rsidP="00CD5F0B">
          <w:pPr>
            <w:pStyle w:val="11"/>
            <w:rPr>
              <w:rFonts w:eastAsiaTheme="minorEastAsia"/>
              <w:noProof/>
              <w:lang w:val="ru-RU" w:eastAsia="ru-RU"/>
            </w:rPr>
          </w:pPr>
          <w:hyperlink w:anchor="_Toc533211749" w:history="1">
            <w:r w:rsidR="00DD51BE" w:rsidRPr="00B81544">
              <w:rPr>
                <w:rStyle w:val="afb"/>
                <w:noProof/>
              </w:rPr>
              <w:t>References</w:t>
            </w:r>
            <w:r w:rsidR="00DD51BE">
              <w:rPr>
                <w:noProof/>
                <w:webHidden/>
              </w:rPr>
              <w:tab/>
            </w:r>
            <w:r w:rsidR="00DD51BE">
              <w:rPr>
                <w:noProof/>
                <w:webHidden/>
              </w:rPr>
              <w:fldChar w:fldCharType="begin"/>
            </w:r>
            <w:r w:rsidR="00DD51BE">
              <w:rPr>
                <w:noProof/>
                <w:webHidden/>
              </w:rPr>
              <w:instrText xml:space="preserve"> PAGEREF _Toc533211749 \h </w:instrText>
            </w:r>
            <w:r w:rsidR="00DD51BE">
              <w:rPr>
                <w:noProof/>
                <w:webHidden/>
              </w:rPr>
            </w:r>
            <w:r w:rsidR="00DD51BE">
              <w:rPr>
                <w:noProof/>
                <w:webHidden/>
              </w:rPr>
              <w:fldChar w:fldCharType="separate"/>
            </w:r>
            <w:r w:rsidR="00DD51BE">
              <w:rPr>
                <w:noProof/>
                <w:webHidden/>
              </w:rPr>
              <w:t>53</w:t>
            </w:r>
            <w:r w:rsidR="00DD51BE">
              <w:rPr>
                <w:noProof/>
                <w:webHidden/>
              </w:rPr>
              <w:fldChar w:fldCharType="end"/>
            </w:r>
          </w:hyperlink>
        </w:p>
        <w:p w14:paraId="5CAB90CA" w14:textId="77777777" w:rsidR="00DD51BE" w:rsidRDefault="00993835" w:rsidP="00CD5F0B">
          <w:pPr>
            <w:pStyle w:val="11"/>
            <w:rPr>
              <w:rFonts w:eastAsiaTheme="minorEastAsia"/>
              <w:noProof/>
              <w:lang w:val="ru-RU" w:eastAsia="ru-RU"/>
            </w:rPr>
          </w:pPr>
          <w:hyperlink w:anchor="_Toc533211750" w:history="1">
            <w:r w:rsidR="00DD51BE" w:rsidRPr="00B81544">
              <w:rPr>
                <w:rStyle w:val="afb"/>
                <w:noProof/>
              </w:rPr>
              <w:t>Annex I. Methodological issues</w:t>
            </w:r>
            <w:r w:rsidR="00DD51BE">
              <w:rPr>
                <w:noProof/>
                <w:webHidden/>
              </w:rPr>
              <w:tab/>
            </w:r>
            <w:r w:rsidR="00DD51BE">
              <w:rPr>
                <w:noProof/>
                <w:webHidden/>
              </w:rPr>
              <w:fldChar w:fldCharType="begin"/>
            </w:r>
            <w:r w:rsidR="00DD51BE">
              <w:rPr>
                <w:noProof/>
                <w:webHidden/>
              </w:rPr>
              <w:instrText xml:space="preserve"> PAGEREF _Toc533211750 \h </w:instrText>
            </w:r>
            <w:r w:rsidR="00DD51BE">
              <w:rPr>
                <w:noProof/>
                <w:webHidden/>
              </w:rPr>
            </w:r>
            <w:r w:rsidR="00DD51BE">
              <w:rPr>
                <w:noProof/>
                <w:webHidden/>
              </w:rPr>
              <w:fldChar w:fldCharType="separate"/>
            </w:r>
            <w:r w:rsidR="00DD51BE">
              <w:rPr>
                <w:noProof/>
                <w:webHidden/>
              </w:rPr>
              <w:t>56</w:t>
            </w:r>
            <w:r w:rsidR="00DD51BE">
              <w:rPr>
                <w:noProof/>
                <w:webHidden/>
              </w:rPr>
              <w:fldChar w:fldCharType="end"/>
            </w:r>
          </w:hyperlink>
        </w:p>
        <w:p w14:paraId="3CDE8879" w14:textId="77777777" w:rsidR="00DD51BE" w:rsidRDefault="00993835" w:rsidP="00CD5F0B">
          <w:pPr>
            <w:pStyle w:val="21"/>
            <w:rPr>
              <w:rFonts w:eastAsiaTheme="minorEastAsia"/>
              <w:noProof/>
              <w:lang w:val="ru-RU" w:eastAsia="ru-RU"/>
            </w:rPr>
          </w:pPr>
          <w:hyperlink w:anchor="_Toc533211751" w:history="1">
            <w:r w:rsidR="00DD51BE" w:rsidRPr="00B81544">
              <w:rPr>
                <w:rStyle w:val="afb"/>
                <w:noProof/>
              </w:rPr>
              <w:t>Measures of occupational segregation</w:t>
            </w:r>
            <w:r w:rsidR="00DD51BE">
              <w:rPr>
                <w:noProof/>
                <w:webHidden/>
              </w:rPr>
              <w:tab/>
            </w:r>
            <w:r w:rsidR="00DD51BE">
              <w:rPr>
                <w:noProof/>
                <w:webHidden/>
              </w:rPr>
              <w:fldChar w:fldCharType="begin"/>
            </w:r>
            <w:r w:rsidR="00DD51BE">
              <w:rPr>
                <w:noProof/>
                <w:webHidden/>
              </w:rPr>
              <w:instrText xml:space="preserve"> PAGEREF _Toc533211751 \h </w:instrText>
            </w:r>
            <w:r w:rsidR="00DD51BE">
              <w:rPr>
                <w:noProof/>
                <w:webHidden/>
              </w:rPr>
            </w:r>
            <w:r w:rsidR="00DD51BE">
              <w:rPr>
                <w:noProof/>
                <w:webHidden/>
              </w:rPr>
              <w:fldChar w:fldCharType="separate"/>
            </w:r>
            <w:r w:rsidR="00DD51BE">
              <w:rPr>
                <w:noProof/>
                <w:webHidden/>
              </w:rPr>
              <w:t>56</w:t>
            </w:r>
            <w:r w:rsidR="00DD51BE">
              <w:rPr>
                <w:noProof/>
                <w:webHidden/>
              </w:rPr>
              <w:fldChar w:fldCharType="end"/>
            </w:r>
          </w:hyperlink>
        </w:p>
        <w:p w14:paraId="402663CC" w14:textId="77777777" w:rsidR="00DD51BE" w:rsidRDefault="00993835" w:rsidP="00CD5F0B">
          <w:pPr>
            <w:pStyle w:val="21"/>
            <w:rPr>
              <w:rFonts w:eastAsiaTheme="minorEastAsia"/>
              <w:noProof/>
              <w:lang w:val="ru-RU" w:eastAsia="ru-RU"/>
            </w:rPr>
          </w:pPr>
          <w:hyperlink w:anchor="_Toc533211752" w:history="1">
            <w:r w:rsidR="00DD51BE" w:rsidRPr="00B81544">
              <w:rPr>
                <w:rStyle w:val="afb"/>
                <w:noProof/>
              </w:rPr>
              <w:t>Construction of children-related variables based on the LFS data</w:t>
            </w:r>
            <w:r w:rsidR="00DD51BE">
              <w:rPr>
                <w:noProof/>
                <w:webHidden/>
              </w:rPr>
              <w:tab/>
            </w:r>
            <w:r w:rsidR="00DD51BE">
              <w:rPr>
                <w:noProof/>
                <w:webHidden/>
              </w:rPr>
              <w:fldChar w:fldCharType="begin"/>
            </w:r>
            <w:r w:rsidR="00DD51BE">
              <w:rPr>
                <w:noProof/>
                <w:webHidden/>
              </w:rPr>
              <w:instrText xml:space="preserve"> PAGEREF _Toc533211752 \h </w:instrText>
            </w:r>
            <w:r w:rsidR="00DD51BE">
              <w:rPr>
                <w:noProof/>
                <w:webHidden/>
              </w:rPr>
            </w:r>
            <w:r w:rsidR="00DD51BE">
              <w:rPr>
                <w:noProof/>
                <w:webHidden/>
              </w:rPr>
              <w:fldChar w:fldCharType="separate"/>
            </w:r>
            <w:r w:rsidR="00DD51BE">
              <w:rPr>
                <w:noProof/>
                <w:webHidden/>
              </w:rPr>
              <w:t>57</w:t>
            </w:r>
            <w:r w:rsidR="00DD51BE">
              <w:rPr>
                <w:noProof/>
                <w:webHidden/>
              </w:rPr>
              <w:fldChar w:fldCharType="end"/>
            </w:r>
          </w:hyperlink>
        </w:p>
        <w:p w14:paraId="1BCF5AC9" w14:textId="77777777" w:rsidR="00DD51BE" w:rsidRDefault="00993835" w:rsidP="00CD5F0B">
          <w:pPr>
            <w:pStyle w:val="21"/>
            <w:rPr>
              <w:rFonts w:eastAsiaTheme="minorEastAsia"/>
              <w:noProof/>
              <w:lang w:val="ru-RU" w:eastAsia="ru-RU"/>
            </w:rPr>
          </w:pPr>
          <w:hyperlink w:anchor="_Toc533211753" w:history="1">
            <w:r w:rsidR="00DD51BE" w:rsidRPr="00B81544">
              <w:rPr>
                <w:rStyle w:val="afb"/>
                <w:noProof/>
              </w:rPr>
              <w:t>Labor force participation and employment rates: with and without international migrants</w:t>
            </w:r>
            <w:r w:rsidR="00DD51BE">
              <w:rPr>
                <w:noProof/>
                <w:webHidden/>
              </w:rPr>
              <w:tab/>
            </w:r>
            <w:r w:rsidR="00DD51BE">
              <w:rPr>
                <w:noProof/>
                <w:webHidden/>
              </w:rPr>
              <w:fldChar w:fldCharType="begin"/>
            </w:r>
            <w:r w:rsidR="00DD51BE">
              <w:rPr>
                <w:noProof/>
                <w:webHidden/>
              </w:rPr>
              <w:instrText xml:space="preserve"> PAGEREF _Toc533211753 \h </w:instrText>
            </w:r>
            <w:r w:rsidR="00DD51BE">
              <w:rPr>
                <w:noProof/>
                <w:webHidden/>
              </w:rPr>
            </w:r>
            <w:r w:rsidR="00DD51BE">
              <w:rPr>
                <w:noProof/>
                <w:webHidden/>
              </w:rPr>
              <w:fldChar w:fldCharType="separate"/>
            </w:r>
            <w:r w:rsidR="00DD51BE">
              <w:rPr>
                <w:noProof/>
                <w:webHidden/>
              </w:rPr>
              <w:t>57</w:t>
            </w:r>
            <w:r w:rsidR="00DD51BE">
              <w:rPr>
                <w:noProof/>
                <w:webHidden/>
              </w:rPr>
              <w:fldChar w:fldCharType="end"/>
            </w:r>
          </w:hyperlink>
        </w:p>
        <w:p w14:paraId="7CDA840B" w14:textId="77777777" w:rsidR="00DD51BE" w:rsidRDefault="00993835" w:rsidP="00CD5F0B">
          <w:pPr>
            <w:pStyle w:val="21"/>
            <w:rPr>
              <w:rFonts w:eastAsiaTheme="minorEastAsia"/>
              <w:noProof/>
              <w:lang w:val="ru-RU" w:eastAsia="ru-RU"/>
            </w:rPr>
          </w:pPr>
          <w:hyperlink w:anchor="_Toc533211754" w:history="1">
            <w:r w:rsidR="00DD51BE" w:rsidRPr="00B81544">
              <w:rPr>
                <w:rStyle w:val="afb"/>
                <w:noProof/>
              </w:rPr>
              <w:t>Analysis of gender pay gap: data and methodology</w:t>
            </w:r>
            <w:r w:rsidR="00DD51BE">
              <w:rPr>
                <w:noProof/>
                <w:webHidden/>
              </w:rPr>
              <w:tab/>
            </w:r>
            <w:r w:rsidR="00DD51BE">
              <w:rPr>
                <w:noProof/>
                <w:webHidden/>
              </w:rPr>
              <w:fldChar w:fldCharType="begin"/>
            </w:r>
            <w:r w:rsidR="00DD51BE">
              <w:rPr>
                <w:noProof/>
                <w:webHidden/>
              </w:rPr>
              <w:instrText xml:space="preserve"> PAGEREF _Toc533211754 \h </w:instrText>
            </w:r>
            <w:r w:rsidR="00DD51BE">
              <w:rPr>
                <w:noProof/>
                <w:webHidden/>
              </w:rPr>
            </w:r>
            <w:r w:rsidR="00DD51BE">
              <w:rPr>
                <w:noProof/>
                <w:webHidden/>
              </w:rPr>
              <w:fldChar w:fldCharType="separate"/>
            </w:r>
            <w:r w:rsidR="00DD51BE">
              <w:rPr>
                <w:noProof/>
                <w:webHidden/>
              </w:rPr>
              <w:t>58</w:t>
            </w:r>
            <w:r w:rsidR="00DD51BE">
              <w:rPr>
                <w:noProof/>
                <w:webHidden/>
              </w:rPr>
              <w:fldChar w:fldCharType="end"/>
            </w:r>
          </w:hyperlink>
        </w:p>
        <w:p w14:paraId="66088E95" w14:textId="77777777" w:rsidR="00DD51BE" w:rsidRDefault="00993835" w:rsidP="00CD5F0B">
          <w:pPr>
            <w:pStyle w:val="21"/>
            <w:rPr>
              <w:rFonts w:eastAsiaTheme="minorEastAsia"/>
              <w:noProof/>
              <w:lang w:val="ru-RU" w:eastAsia="ru-RU"/>
            </w:rPr>
          </w:pPr>
          <w:hyperlink w:anchor="_Toc533211755" w:history="1">
            <w:r w:rsidR="00DD51BE" w:rsidRPr="00B81544">
              <w:rPr>
                <w:rStyle w:val="afb"/>
                <w:noProof/>
              </w:rPr>
              <w:t>Construction of the dataset for the analysis of job seeker profiles</w:t>
            </w:r>
            <w:r w:rsidR="00DD51BE">
              <w:rPr>
                <w:noProof/>
                <w:webHidden/>
              </w:rPr>
              <w:tab/>
            </w:r>
            <w:r w:rsidR="00DD51BE">
              <w:rPr>
                <w:noProof/>
                <w:webHidden/>
              </w:rPr>
              <w:fldChar w:fldCharType="begin"/>
            </w:r>
            <w:r w:rsidR="00DD51BE">
              <w:rPr>
                <w:noProof/>
                <w:webHidden/>
              </w:rPr>
              <w:instrText xml:space="preserve"> PAGEREF _Toc533211755 \h </w:instrText>
            </w:r>
            <w:r w:rsidR="00DD51BE">
              <w:rPr>
                <w:noProof/>
                <w:webHidden/>
              </w:rPr>
            </w:r>
            <w:r w:rsidR="00DD51BE">
              <w:rPr>
                <w:noProof/>
                <w:webHidden/>
              </w:rPr>
              <w:fldChar w:fldCharType="separate"/>
            </w:r>
            <w:r w:rsidR="00DD51BE">
              <w:rPr>
                <w:noProof/>
                <w:webHidden/>
              </w:rPr>
              <w:t>59</w:t>
            </w:r>
            <w:r w:rsidR="00DD51BE">
              <w:rPr>
                <w:noProof/>
                <w:webHidden/>
              </w:rPr>
              <w:fldChar w:fldCharType="end"/>
            </w:r>
          </w:hyperlink>
        </w:p>
        <w:p w14:paraId="7152DC3E" w14:textId="77777777" w:rsidR="00DD51BE" w:rsidRDefault="00993835" w:rsidP="00CD5F0B">
          <w:pPr>
            <w:pStyle w:val="11"/>
            <w:rPr>
              <w:rFonts w:eastAsiaTheme="minorEastAsia"/>
              <w:noProof/>
              <w:lang w:val="ru-RU" w:eastAsia="ru-RU"/>
            </w:rPr>
          </w:pPr>
          <w:hyperlink w:anchor="_Toc533211756" w:history="1">
            <w:r w:rsidR="00DD51BE" w:rsidRPr="00B81544">
              <w:rPr>
                <w:rStyle w:val="afb"/>
                <w:noProof/>
              </w:rPr>
              <w:t>Annex II. Additional tables</w:t>
            </w:r>
            <w:r w:rsidR="00DD51BE">
              <w:rPr>
                <w:noProof/>
                <w:webHidden/>
              </w:rPr>
              <w:tab/>
            </w:r>
            <w:r w:rsidR="00DD51BE">
              <w:rPr>
                <w:noProof/>
                <w:webHidden/>
              </w:rPr>
              <w:fldChar w:fldCharType="begin"/>
            </w:r>
            <w:r w:rsidR="00DD51BE">
              <w:rPr>
                <w:noProof/>
                <w:webHidden/>
              </w:rPr>
              <w:instrText xml:space="preserve"> PAGEREF _Toc533211756 \h </w:instrText>
            </w:r>
            <w:r w:rsidR="00DD51BE">
              <w:rPr>
                <w:noProof/>
                <w:webHidden/>
              </w:rPr>
            </w:r>
            <w:r w:rsidR="00DD51BE">
              <w:rPr>
                <w:noProof/>
                <w:webHidden/>
              </w:rPr>
              <w:fldChar w:fldCharType="separate"/>
            </w:r>
            <w:r w:rsidR="00DD51BE">
              <w:rPr>
                <w:noProof/>
                <w:webHidden/>
              </w:rPr>
              <w:t>61</w:t>
            </w:r>
            <w:r w:rsidR="00DD51BE">
              <w:rPr>
                <w:noProof/>
                <w:webHidden/>
              </w:rPr>
              <w:fldChar w:fldCharType="end"/>
            </w:r>
          </w:hyperlink>
        </w:p>
        <w:p w14:paraId="1397F06B" w14:textId="77777777" w:rsidR="00D202DA" w:rsidRPr="004A792A" w:rsidRDefault="00D202DA" w:rsidP="00D44BBB">
          <w:pPr>
            <w:spacing w:before="0"/>
            <w:jc w:val="both"/>
            <w:rPr>
              <w:lang w:val="en-US"/>
            </w:rPr>
          </w:pPr>
          <w:r w:rsidRPr="004A792A">
            <w:rPr>
              <w:b/>
              <w:bCs/>
              <w:noProof/>
              <w:lang w:val="en-US"/>
            </w:rPr>
            <w:fldChar w:fldCharType="end"/>
          </w:r>
        </w:p>
      </w:sdtContent>
    </w:sdt>
    <w:p w14:paraId="46EEE887" w14:textId="77777777" w:rsidR="00C97344" w:rsidRPr="004A792A" w:rsidRDefault="00C97344" w:rsidP="00D44BBB">
      <w:pPr>
        <w:spacing w:before="0" w:after="160" w:line="259" w:lineRule="auto"/>
        <w:jc w:val="both"/>
        <w:rPr>
          <w:b/>
          <w:lang w:val="en-US"/>
        </w:rPr>
      </w:pPr>
      <w:r w:rsidRPr="004A792A">
        <w:rPr>
          <w:b/>
          <w:lang w:val="en-US"/>
        </w:rPr>
        <w:br w:type="page"/>
      </w:r>
    </w:p>
    <w:p w14:paraId="565B4A99" w14:textId="77777777" w:rsidR="00C97344" w:rsidRPr="004A792A" w:rsidRDefault="00C97344" w:rsidP="00D44BBB">
      <w:pPr>
        <w:spacing w:before="0" w:after="160" w:line="259" w:lineRule="auto"/>
        <w:jc w:val="both"/>
        <w:rPr>
          <w:b/>
          <w:lang w:val="en-US"/>
        </w:rPr>
      </w:pPr>
    </w:p>
    <w:p w14:paraId="0749BB55" w14:textId="77777777" w:rsidR="00C97344" w:rsidRPr="004A792A" w:rsidRDefault="00161811" w:rsidP="00D44BBB">
      <w:pPr>
        <w:spacing w:before="0" w:after="160" w:line="259" w:lineRule="auto"/>
        <w:jc w:val="both"/>
        <w:rPr>
          <w:rFonts w:asciiTheme="majorHAnsi" w:hAnsiTheme="majorHAnsi" w:cstheme="majorHAnsi"/>
          <w:b/>
          <w:smallCaps/>
          <w:color w:val="0070C0"/>
          <w:sz w:val="40"/>
          <w:szCs w:val="40"/>
          <w:lang w:val="en-US"/>
        </w:rPr>
      </w:pPr>
      <w:r w:rsidRPr="004A792A">
        <w:rPr>
          <w:rFonts w:asciiTheme="majorHAnsi" w:hAnsiTheme="majorHAnsi" w:cstheme="majorHAnsi"/>
          <w:b/>
          <w:smallCaps/>
          <w:color w:val="0070C0"/>
          <w:sz w:val="40"/>
          <w:szCs w:val="40"/>
          <w:lang w:val="en-US"/>
        </w:rPr>
        <w:t xml:space="preserve">List of </w:t>
      </w:r>
      <w:r w:rsidR="000D15B2" w:rsidRPr="004A792A">
        <w:rPr>
          <w:rFonts w:asciiTheme="majorHAnsi" w:hAnsiTheme="majorHAnsi" w:cstheme="majorHAnsi"/>
          <w:b/>
          <w:smallCaps/>
          <w:color w:val="0070C0"/>
          <w:sz w:val="40"/>
          <w:szCs w:val="40"/>
          <w:lang w:val="en-US"/>
        </w:rPr>
        <w:t>f</w:t>
      </w:r>
      <w:r w:rsidR="00C97344" w:rsidRPr="004A792A">
        <w:rPr>
          <w:rFonts w:asciiTheme="majorHAnsi" w:hAnsiTheme="majorHAnsi" w:cstheme="majorHAnsi"/>
          <w:b/>
          <w:smallCaps/>
          <w:color w:val="0070C0"/>
          <w:sz w:val="40"/>
          <w:szCs w:val="40"/>
          <w:lang w:val="en-US"/>
        </w:rPr>
        <w:t>igures</w:t>
      </w:r>
    </w:p>
    <w:p w14:paraId="20F64CB3" w14:textId="77777777" w:rsidR="00DD51BE" w:rsidRDefault="00C97344">
      <w:pPr>
        <w:pStyle w:val="afe"/>
        <w:tabs>
          <w:tab w:val="right" w:leader="dot" w:pos="9019"/>
        </w:tabs>
        <w:rPr>
          <w:rFonts w:eastAsiaTheme="minorEastAsia"/>
          <w:noProof/>
          <w:lang w:val="ru-RU" w:eastAsia="ru-RU"/>
        </w:rPr>
      </w:pPr>
      <w:r w:rsidRPr="004A792A">
        <w:rPr>
          <w:lang w:val="en-US"/>
        </w:rPr>
        <w:fldChar w:fldCharType="begin"/>
      </w:r>
      <w:r w:rsidRPr="004A792A">
        <w:rPr>
          <w:lang w:val="en-US"/>
        </w:rPr>
        <w:instrText xml:space="preserve"> TOC \h \z \c "Figure" </w:instrText>
      </w:r>
      <w:r w:rsidRPr="004A792A">
        <w:rPr>
          <w:lang w:val="en-US"/>
        </w:rPr>
        <w:fldChar w:fldCharType="separate"/>
      </w:r>
      <w:hyperlink w:anchor="_Toc533211757" w:history="1">
        <w:r w:rsidR="00DD51BE" w:rsidRPr="00E97829">
          <w:rPr>
            <w:rStyle w:val="afb"/>
            <w:noProof/>
            <w:lang w:val="en-US"/>
          </w:rPr>
          <w:t>Figure 1: Labor force participation rate and gender gap in Moldova and ECA countries, 2017</w:t>
        </w:r>
        <w:r w:rsidR="00DD51BE">
          <w:rPr>
            <w:noProof/>
            <w:webHidden/>
          </w:rPr>
          <w:tab/>
        </w:r>
        <w:r w:rsidR="00DD51BE">
          <w:rPr>
            <w:noProof/>
            <w:webHidden/>
          </w:rPr>
          <w:fldChar w:fldCharType="begin"/>
        </w:r>
        <w:r w:rsidR="00DD51BE">
          <w:rPr>
            <w:noProof/>
            <w:webHidden/>
          </w:rPr>
          <w:instrText xml:space="preserve"> PAGEREF _Toc533211757 \h </w:instrText>
        </w:r>
        <w:r w:rsidR="00DD51BE">
          <w:rPr>
            <w:noProof/>
            <w:webHidden/>
          </w:rPr>
        </w:r>
        <w:r w:rsidR="00DD51BE">
          <w:rPr>
            <w:noProof/>
            <w:webHidden/>
          </w:rPr>
          <w:fldChar w:fldCharType="separate"/>
        </w:r>
        <w:r w:rsidR="00DD51BE">
          <w:rPr>
            <w:noProof/>
            <w:webHidden/>
          </w:rPr>
          <w:t>1</w:t>
        </w:r>
        <w:r w:rsidR="00DD51BE">
          <w:rPr>
            <w:noProof/>
            <w:webHidden/>
          </w:rPr>
          <w:fldChar w:fldCharType="end"/>
        </w:r>
      </w:hyperlink>
    </w:p>
    <w:p w14:paraId="23E92906" w14:textId="77777777" w:rsidR="00DD51BE" w:rsidRDefault="00993835">
      <w:pPr>
        <w:pStyle w:val="afe"/>
        <w:tabs>
          <w:tab w:val="right" w:leader="dot" w:pos="9019"/>
        </w:tabs>
        <w:rPr>
          <w:rFonts w:eastAsiaTheme="minorEastAsia"/>
          <w:noProof/>
          <w:lang w:val="ru-RU" w:eastAsia="ru-RU"/>
        </w:rPr>
      </w:pPr>
      <w:hyperlink w:anchor="_Toc533211758" w:history="1">
        <w:r w:rsidR="00DD51BE" w:rsidRPr="00E97829">
          <w:rPr>
            <w:rStyle w:val="afb"/>
            <w:noProof/>
            <w:lang w:val="en-US"/>
          </w:rPr>
          <w:t>Figure 2: Labor force participation and employment rates by gender, 2000-2017</w:t>
        </w:r>
        <w:r w:rsidR="00DD51BE">
          <w:rPr>
            <w:noProof/>
            <w:webHidden/>
          </w:rPr>
          <w:tab/>
        </w:r>
        <w:r w:rsidR="00DD51BE">
          <w:rPr>
            <w:noProof/>
            <w:webHidden/>
          </w:rPr>
          <w:fldChar w:fldCharType="begin"/>
        </w:r>
        <w:r w:rsidR="00DD51BE">
          <w:rPr>
            <w:noProof/>
            <w:webHidden/>
          </w:rPr>
          <w:instrText xml:space="preserve"> PAGEREF _Toc533211758 \h </w:instrText>
        </w:r>
        <w:r w:rsidR="00DD51BE">
          <w:rPr>
            <w:noProof/>
            <w:webHidden/>
          </w:rPr>
        </w:r>
        <w:r w:rsidR="00DD51BE">
          <w:rPr>
            <w:noProof/>
            <w:webHidden/>
          </w:rPr>
          <w:fldChar w:fldCharType="separate"/>
        </w:r>
        <w:r w:rsidR="00DD51BE">
          <w:rPr>
            <w:noProof/>
            <w:webHidden/>
          </w:rPr>
          <w:t>2</w:t>
        </w:r>
        <w:r w:rsidR="00DD51BE">
          <w:rPr>
            <w:noProof/>
            <w:webHidden/>
          </w:rPr>
          <w:fldChar w:fldCharType="end"/>
        </w:r>
      </w:hyperlink>
    </w:p>
    <w:p w14:paraId="42D79549" w14:textId="77777777" w:rsidR="00DD51BE" w:rsidRDefault="00993835">
      <w:pPr>
        <w:pStyle w:val="afe"/>
        <w:tabs>
          <w:tab w:val="right" w:leader="dot" w:pos="9019"/>
        </w:tabs>
        <w:rPr>
          <w:rFonts w:eastAsiaTheme="minorEastAsia"/>
          <w:noProof/>
          <w:lang w:val="ru-RU" w:eastAsia="ru-RU"/>
        </w:rPr>
      </w:pPr>
      <w:hyperlink w:anchor="_Toc533211759" w:history="1">
        <w:r w:rsidR="00DD51BE" w:rsidRPr="00E97829">
          <w:rPr>
            <w:rStyle w:val="afb"/>
            <w:noProof/>
            <w:lang w:val="en-US"/>
          </w:rPr>
          <w:t>Figure 3: Inactive population by sex, age and main reason, 2017</w:t>
        </w:r>
        <w:r w:rsidR="00DD51BE">
          <w:rPr>
            <w:noProof/>
            <w:webHidden/>
          </w:rPr>
          <w:tab/>
        </w:r>
        <w:r w:rsidR="00DD51BE">
          <w:rPr>
            <w:noProof/>
            <w:webHidden/>
          </w:rPr>
          <w:fldChar w:fldCharType="begin"/>
        </w:r>
        <w:r w:rsidR="00DD51BE">
          <w:rPr>
            <w:noProof/>
            <w:webHidden/>
          </w:rPr>
          <w:instrText xml:space="preserve"> PAGEREF _Toc533211759 \h </w:instrText>
        </w:r>
        <w:r w:rsidR="00DD51BE">
          <w:rPr>
            <w:noProof/>
            <w:webHidden/>
          </w:rPr>
        </w:r>
        <w:r w:rsidR="00DD51BE">
          <w:rPr>
            <w:noProof/>
            <w:webHidden/>
          </w:rPr>
          <w:fldChar w:fldCharType="separate"/>
        </w:r>
        <w:r w:rsidR="00DD51BE">
          <w:rPr>
            <w:noProof/>
            <w:webHidden/>
          </w:rPr>
          <w:t>2</w:t>
        </w:r>
        <w:r w:rsidR="00DD51BE">
          <w:rPr>
            <w:noProof/>
            <w:webHidden/>
          </w:rPr>
          <w:fldChar w:fldCharType="end"/>
        </w:r>
      </w:hyperlink>
    </w:p>
    <w:p w14:paraId="6386DDA5" w14:textId="77777777" w:rsidR="00DD51BE" w:rsidRDefault="00993835">
      <w:pPr>
        <w:pStyle w:val="afe"/>
        <w:tabs>
          <w:tab w:val="right" w:leader="dot" w:pos="9019"/>
        </w:tabs>
        <w:rPr>
          <w:rFonts w:eastAsiaTheme="minorEastAsia"/>
          <w:noProof/>
          <w:lang w:val="ru-RU" w:eastAsia="ru-RU"/>
        </w:rPr>
      </w:pPr>
      <w:hyperlink w:anchor="_Toc533211760" w:history="1">
        <w:r w:rsidR="00DD51BE" w:rsidRPr="00E97829">
          <w:rPr>
            <w:rStyle w:val="afb"/>
            <w:noProof/>
          </w:rPr>
          <w:t>Figure 4</w:t>
        </w:r>
        <w:r w:rsidR="00DD51BE" w:rsidRPr="00E97829">
          <w:rPr>
            <w:rStyle w:val="afb"/>
            <w:noProof/>
            <w:lang w:val="en-US"/>
          </w:rPr>
          <w:t>: Labor force projections (thousand people aged 15 years and above), 2000-2030</w:t>
        </w:r>
        <w:r w:rsidR="00DD51BE">
          <w:rPr>
            <w:noProof/>
            <w:webHidden/>
          </w:rPr>
          <w:tab/>
        </w:r>
        <w:r w:rsidR="00DD51BE">
          <w:rPr>
            <w:noProof/>
            <w:webHidden/>
          </w:rPr>
          <w:fldChar w:fldCharType="begin"/>
        </w:r>
        <w:r w:rsidR="00DD51BE">
          <w:rPr>
            <w:noProof/>
            <w:webHidden/>
          </w:rPr>
          <w:instrText xml:space="preserve"> PAGEREF _Toc533211760 \h </w:instrText>
        </w:r>
        <w:r w:rsidR="00DD51BE">
          <w:rPr>
            <w:noProof/>
            <w:webHidden/>
          </w:rPr>
        </w:r>
        <w:r w:rsidR="00DD51BE">
          <w:rPr>
            <w:noProof/>
            <w:webHidden/>
          </w:rPr>
          <w:fldChar w:fldCharType="separate"/>
        </w:r>
        <w:r w:rsidR="00DD51BE">
          <w:rPr>
            <w:noProof/>
            <w:webHidden/>
          </w:rPr>
          <w:t>3</w:t>
        </w:r>
        <w:r w:rsidR="00DD51BE">
          <w:rPr>
            <w:noProof/>
            <w:webHidden/>
          </w:rPr>
          <w:fldChar w:fldCharType="end"/>
        </w:r>
      </w:hyperlink>
    </w:p>
    <w:p w14:paraId="47F1F1C3" w14:textId="77777777" w:rsidR="00DD51BE" w:rsidRDefault="00993835">
      <w:pPr>
        <w:pStyle w:val="afe"/>
        <w:tabs>
          <w:tab w:val="right" w:leader="dot" w:pos="9019"/>
        </w:tabs>
        <w:rPr>
          <w:rFonts w:eastAsiaTheme="minorEastAsia"/>
          <w:noProof/>
          <w:lang w:val="ru-RU" w:eastAsia="ru-RU"/>
        </w:rPr>
      </w:pPr>
      <w:hyperlink w:anchor="_Toc533211761" w:history="1">
        <w:r w:rsidR="00DD51BE" w:rsidRPr="00E97829">
          <w:rPr>
            <w:rStyle w:val="afb"/>
            <w:noProof/>
            <w:lang w:val="en-US"/>
          </w:rPr>
          <w:t>Figure 5: Female share in STEM 2-digit occupations (%), 2006-2016</w:t>
        </w:r>
        <w:r w:rsidR="00DD51BE">
          <w:rPr>
            <w:noProof/>
            <w:webHidden/>
          </w:rPr>
          <w:tab/>
        </w:r>
        <w:r w:rsidR="00DD51BE">
          <w:rPr>
            <w:noProof/>
            <w:webHidden/>
          </w:rPr>
          <w:fldChar w:fldCharType="begin"/>
        </w:r>
        <w:r w:rsidR="00DD51BE">
          <w:rPr>
            <w:noProof/>
            <w:webHidden/>
          </w:rPr>
          <w:instrText xml:space="preserve"> PAGEREF _Toc533211761 \h </w:instrText>
        </w:r>
        <w:r w:rsidR="00DD51BE">
          <w:rPr>
            <w:noProof/>
            <w:webHidden/>
          </w:rPr>
        </w:r>
        <w:r w:rsidR="00DD51BE">
          <w:rPr>
            <w:noProof/>
            <w:webHidden/>
          </w:rPr>
          <w:fldChar w:fldCharType="separate"/>
        </w:r>
        <w:r w:rsidR="00DD51BE">
          <w:rPr>
            <w:noProof/>
            <w:webHidden/>
          </w:rPr>
          <w:t>9</w:t>
        </w:r>
        <w:r w:rsidR="00DD51BE">
          <w:rPr>
            <w:noProof/>
            <w:webHidden/>
          </w:rPr>
          <w:fldChar w:fldCharType="end"/>
        </w:r>
      </w:hyperlink>
    </w:p>
    <w:p w14:paraId="27D4921E" w14:textId="77777777" w:rsidR="00DD51BE" w:rsidRDefault="00993835">
      <w:pPr>
        <w:pStyle w:val="afe"/>
        <w:tabs>
          <w:tab w:val="right" w:leader="dot" w:pos="9019"/>
        </w:tabs>
        <w:rPr>
          <w:rFonts w:eastAsiaTheme="minorEastAsia"/>
          <w:noProof/>
          <w:lang w:val="ru-RU" w:eastAsia="ru-RU"/>
        </w:rPr>
      </w:pPr>
      <w:hyperlink w:anchor="_Toc533211762" w:history="1">
        <w:r w:rsidR="00DD51BE" w:rsidRPr="00E97829">
          <w:rPr>
            <w:rStyle w:val="afb"/>
            <w:noProof/>
            <w:lang w:val="en-US"/>
          </w:rPr>
          <w:t>Figure 6: Occupations with the largest changes in female share from 2006 to 2016</w:t>
        </w:r>
        <w:r w:rsidR="00DD51BE">
          <w:rPr>
            <w:noProof/>
            <w:webHidden/>
          </w:rPr>
          <w:tab/>
        </w:r>
        <w:r w:rsidR="00DD51BE">
          <w:rPr>
            <w:noProof/>
            <w:webHidden/>
          </w:rPr>
          <w:fldChar w:fldCharType="begin"/>
        </w:r>
        <w:r w:rsidR="00DD51BE">
          <w:rPr>
            <w:noProof/>
            <w:webHidden/>
          </w:rPr>
          <w:instrText xml:space="preserve"> PAGEREF _Toc533211762 \h </w:instrText>
        </w:r>
        <w:r w:rsidR="00DD51BE">
          <w:rPr>
            <w:noProof/>
            <w:webHidden/>
          </w:rPr>
        </w:r>
        <w:r w:rsidR="00DD51BE">
          <w:rPr>
            <w:noProof/>
            <w:webHidden/>
          </w:rPr>
          <w:fldChar w:fldCharType="separate"/>
        </w:r>
        <w:r w:rsidR="00DD51BE">
          <w:rPr>
            <w:noProof/>
            <w:webHidden/>
          </w:rPr>
          <w:t>9</w:t>
        </w:r>
        <w:r w:rsidR="00DD51BE">
          <w:rPr>
            <w:noProof/>
            <w:webHidden/>
          </w:rPr>
          <w:fldChar w:fldCharType="end"/>
        </w:r>
      </w:hyperlink>
    </w:p>
    <w:p w14:paraId="20F65F4B" w14:textId="77777777" w:rsidR="00DD51BE" w:rsidRDefault="00993835">
      <w:pPr>
        <w:pStyle w:val="afe"/>
        <w:tabs>
          <w:tab w:val="right" w:leader="dot" w:pos="9019"/>
        </w:tabs>
        <w:rPr>
          <w:rFonts w:eastAsiaTheme="minorEastAsia"/>
          <w:noProof/>
          <w:lang w:val="ru-RU" w:eastAsia="ru-RU"/>
        </w:rPr>
      </w:pPr>
      <w:hyperlink w:anchor="_Toc533211763" w:history="1">
        <w:r w:rsidR="00DD51BE" w:rsidRPr="00E97829">
          <w:rPr>
            <w:rStyle w:val="afb"/>
            <w:noProof/>
          </w:rPr>
          <w:t xml:space="preserve">Figure 7: </w:t>
        </w:r>
        <w:r w:rsidR="00DD51BE" w:rsidRPr="00E97829">
          <w:rPr>
            <w:rStyle w:val="afb"/>
            <w:noProof/>
            <w:lang w:val="en-US"/>
          </w:rPr>
          <w:t>Employment in female/male-dominated and mixed occupations in Moldova (2016) and EU countries (2010)</w:t>
        </w:r>
        <w:r w:rsidR="00DD51BE">
          <w:rPr>
            <w:noProof/>
            <w:webHidden/>
          </w:rPr>
          <w:tab/>
        </w:r>
        <w:r w:rsidR="00DD51BE">
          <w:rPr>
            <w:noProof/>
            <w:webHidden/>
          </w:rPr>
          <w:fldChar w:fldCharType="begin"/>
        </w:r>
        <w:r w:rsidR="00DD51BE">
          <w:rPr>
            <w:noProof/>
            <w:webHidden/>
          </w:rPr>
          <w:instrText xml:space="preserve"> PAGEREF _Toc533211763 \h </w:instrText>
        </w:r>
        <w:r w:rsidR="00DD51BE">
          <w:rPr>
            <w:noProof/>
            <w:webHidden/>
          </w:rPr>
        </w:r>
        <w:r w:rsidR="00DD51BE">
          <w:rPr>
            <w:noProof/>
            <w:webHidden/>
          </w:rPr>
          <w:fldChar w:fldCharType="separate"/>
        </w:r>
        <w:r w:rsidR="00DD51BE">
          <w:rPr>
            <w:noProof/>
            <w:webHidden/>
          </w:rPr>
          <w:t>11</w:t>
        </w:r>
        <w:r w:rsidR="00DD51BE">
          <w:rPr>
            <w:noProof/>
            <w:webHidden/>
          </w:rPr>
          <w:fldChar w:fldCharType="end"/>
        </w:r>
      </w:hyperlink>
    </w:p>
    <w:p w14:paraId="26B28448" w14:textId="77777777" w:rsidR="00DD51BE" w:rsidRDefault="00993835">
      <w:pPr>
        <w:pStyle w:val="afe"/>
        <w:tabs>
          <w:tab w:val="right" w:leader="dot" w:pos="9019"/>
        </w:tabs>
        <w:rPr>
          <w:rFonts w:eastAsiaTheme="minorEastAsia"/>
          <w:noProof/>
          <w:lang w:val="ru-RU" w:eastAsia="ru-RU"/>
        </w:rPr>
      </w:pPr>
      <w:hyperlink w:anchor="_Toc533211764" w:history="1">
        <w:r w:rsidR="00DD51BE" w:rsidRPr="00E97829">
          <w:rPr>
            <w:rStyle w:val="afb"/>
            <w:noProof/>
            <w:lang w:val="en-US"/>
          </w:rPr>
          <w:t>Figure 8: Employment of full-time and part-time employees by gender and type of occupation (%), 2016</w:t>
        </w:r>
        <w:r w:rsidR="00DD51BE">
          <w:rPr>
            <w:noProof/>
            <w:webHidden/>
          </w:rPr>
          <w:tab/>
        </w:r>
        <w:r w:rsidR="00DD51BE">
          <w:rPr>
            <w:noProof/>
            <w:webHidden/>
          </w:rPr>
          <w:fldChar w:fldCharType="begin"/>
        </w:r>
        <w:r w:rsidR="00DD51BE">
          <w:rPr>
            <w:noProof/>
            <w:webHidden/>
          </w:rPr>
          <w:instrText xml:space="preserve"> PAGEREF _Toc533211764 \h </w:instrText>
        </w:r>
        <w:r w:rsidR="00DD51BE">
          <w:rPr>
            <w:noProof/>
            <w:webHidden/>
          </w:rPr>
        </w:r>
        <w:r w:rsidR="00DD51BE">
          <w:rPr>
            <w:noProof/>
            <w:webHidden/>
          </w:rPr>
          <w:fldChar w:fldCharType="separate"/>
        </w:r>
        <w:r w:rsidR="00DD51BE">
          <w:rPr>
            <w:noProof/>
            <w:webHidden/>
          </w:rPr>
          <w:t>12</w:t>
        </w:r>
        <w:r w:rsidR="00DD51BE">
          <w:rPr>
            <w:noProof/>
            <w:webHidden/>
          </w:rPr>
          <w:fldChar w:fldCharType="end"/>
        </w:r>
      </w:hyperlink>
    </w:p>
    <w:p w14:paraId="2989954D" w14:textId="77777777" w:rsidR="00DD51BE" w:rsidRDefault="00993835">
      <w:pPr>
        <w:pStyle w:val="afe"/>
        <w:tabs>
          <w:tab w:val="right" w:leader="dot" w:pos="9019"/>
        </w:tabs>
        <w:rPr>
          <w:rFonts w:eastAsiaTheme="minorEastAsia"/>
          <w:noProof/>
          <w:lang w:val="ru-RU" w:eastAsia="ru-RU"/>
        </w:rPr>
      </w:pPr>
      <w:hyperlink w:anchor="_Toc533211765" w:history="1">
        <w:r w:rsidR="00DD51BE" w:rsidRPr="00E97829">
          <w:rPr>
            <w:rStyle w:val="afb"/>
            <w:noProof/>
            <w:lang w:val="en-US"/>
          </w:rPr>
          <w:t>Figure 9: Duncan index of occupational dissimilarity, 2006-2016</w:t>
        </w:r>
        <w:r w:rsidR="00DD51BE">
          <w:rPr>
            <w:noProof/>
            <w:webHidden/>
          </w:rPr>
          <w:tab/>
        </w:r>
        <w:r w:rsidR="00DD51BE">
          <w:rPr>
            <w:noProof/>
            <w:webHidden/>
          </w:rPr>
          <w:fldChar w:fldCharType="begin"/>
        </w:r>
        <w:r w:rsidR="00DD51BE">
          <w:rPr>
            <w:noProof/>
            <w:webHidden/>
          </w:rPr>
          <w:instrText xml:space="preserve"> PAGEREF _Toc533211765 \h </w:instrText>
        </w:r>
        <w:r w:rsidR="00DD51BE">
          <w:rPr>
            <w:noProof/>
            <w:webHidden/>
          </w:rPr>
        </w:r>
        <w:r w:rsidR="00DD51BE">
          <w:rPr>
            <w:noProof/>
            <w:webHidden/>
          </w:rPr>
          <w:fldChar w:fldCharType="separate"/>
        </w:r>
        <w:r w:rsidR="00DD51BE">
          <w:rPr>
            <w:noProof/>
            <w:webHidden/>
          </w:rPr>
          <w:t>13</w:t>
        </w:r>
        <w:r w:rsidR="00DD51BE">
          <w:rPr>
            <w:noProof/>
            <w:webHidden/>
          </w:rPr>
          <w:fldChar w:fldCharType="end"/>
        </w:r>
      </w:hyperlink>
    </w:p>
    <w:p w14:paraId="1E3167F7" w14:textId="77777777" w:rsidR="00DD51BE" w:rsidRDefault="00993835">
      <w:pPr>
        <w:pStyle w:val="afe"/>
        <w:tabs>
          <w:tab w:val="right" w:leader="dot" w:pos="9019"/>
        </w:tabs>
        <w:rPr>
          <w:rFonts w:eastAsiaTheme="minorEastAsia"/>
          <w:noProof/>
          <w:lang w:val="ru-RU" w:eastAsia="ru-RU"/>
        </w:rPr>
      </w:pPr>
      <w:hyperlink w:anchor="_Toc533211766" w:history="1">
        <w:r w:rsidR="00DD51BE" w:rsidRPr="00E97829">
          <w:rPr>
            <w:rStyle w:val="afb"/>
            <w:noProof/>
          </w:rPr>
          <w:t xml:space="preserve">Figure 10: </w:t>
        </w:r>
        <w:r w:rsidR="00DD51BE" w:rsidRPr="00E97829">
          <w:rPr>
            <w:rStyle w:val="afb"/>
            <w:noProof/>
            <w:lang w:val="en-US"/>
          </w:rPr>
          <w:t>Duncan index of occupational dissimilarity in Moldova and country groups</w:t>
        </w:r>
        <w:r w:rsidR="00DD51BE">
          <w:rPr>
            <w:noProof/>
            <w:webHidden/>
          </w:rPr>
          <w:tab/>
        </w:r>
        <w:r w:rsidR="00DD51BE">
          <w:rPr>
            <w:noProof/>
            <w:webHidden/>
          </w:rPr>
          <w:fldChar w:fldCharType="begin"/>
        </w:r>
        <w:r w:rsidR="00DD51BE">
          <w:rPr>
            <w:noProof/>
            <w:webHidden/>
          </w:rPr>
          <w:instrText xml:space="preserve"> PAGEREF _Toc533211766 \h </w:instrText>
        </w:r>
        <w:r w:rsidR="00DD51BE">
          <w:rPr>
            <w:noProof/>
            <w:webHidden/>
          </w:rPr>
        </w:r>
        <w:r w:rsidR="00DD51BE">
          <w:rPr>
            <w:noProof/>
            <w:webHidden/>
          </w:rPr>
          <w:fldChar w:fldCharType="separate"/>
        </w:r>
        <w:r w:rsidR="00DD51BE">
          <w:rPr>
            <w:noProof/>
            <w:webHidden/>
          </w:rPr>
          <w:t>14</w:t>
        </w:r>
        <w:r w:rsidR="00DD51BE">
          <w:rPr>
            <w:noProof/>
            <w:webHidden/>
          </w:rPr>
          <w:fldChar w:fldCharType="end"/>
        </w:r>
      </w:hyperlink>
    </w:p>
    <w:p w14:paraId="686E4306" w14:textId="77777777" w:rsidR="00DD51BE" w:rsidRDefault="00993835">
      <w:pPr>
        <w:pStyle w:val="afe"/>
        <w:tabs>
          <w:tab w:val="right" w:leader="dot" w:pos="9019"/>
        </w:tabs>
        <w:rPr>
          <w:rFonts w:eastAsiaTheme="minorEastAsia"/>
          <w:noProof/>
          <w:lang w:val="ru-RU" w:eastAsia="ru-RU"/>
        </w:rPr>
      </w:pPr>
      <w:hyperlink w:anchor="_Toc533211767" w:history="1">
        <w:r w:rsidR="00DD51BE" w:rsidRPr="00E97829">
          <w:rPr>
            <w:rStyle w:val="afb"/>
            <w:noProof/>
            <w:lang w:val="en-US"/>
          </w:rPr>
          <w:t>Figure 11: Duncan index of occupational dissimilarity by education, 2006-2016</w:t>
        </w:r>
        <w:r w:rsidR="00DD51BE">
          <w:rPr>
            <w:noProof/>
            <w:webHidden/>
          </w:rPr>
          <w:tab/>
        </w:r>
        <w:r w:rsidR="00DD51BE">
          <w:rPr>
            <w:noProof/>
            <w:webHidden/>
          </w:rPr>
          <w:fldChar w:fldCharType="begin"/>
        </w:r>
        <w:r w:rsidR="00DD51BE">
          <w:rPr>
            <w:noProof/>
            <w:webHidden/>
          </w:rPr>
          <w:instrText xml:space="preserve"> PAGEREF _Toc533211767 \h </w:instrText>
        </w:r>
        <w:r w:rsidR="00DD51BE">
          <w:rPr>
            <w:noProof/>
            <w:webHidden/>
          </w:rPr>
        </w:r>
        <w:r w:rsidR="00DD51BE">
          <w:rPr>
            <w:noProof/>
            <w:webHidden/>
          </w:rPr>
          <w:fldChar w:fldCharType="separate"/>
        </w:r>
        <w:r w:rsidR="00DD51BE">
          <w:rPr>
            <w:noProof/>
            <w:webHidden/>
          </w:rPr>
          <w:t>15</w:t>
        </w:r>
        <w:r w:rsidR="00DD51BE">
          <w:rPr>
            <w:noProof/>
            <w:webHidden/>
          </w:rPr>
          <w:fldChar w:fldCharType="end"/>
        </w:r>
      </w:hyperlink>
    </w:p>
    <w:p w14:paraId="690E2447" w14:textId="77777777" w:rsidR="00DD51BE" w:rsidRDefault="00993835">
      <w:pPr>
        <w:pStyle w:val="afe"/>
        <w:tabs>
          <w:tab w:val="right" w:leader="dot" w:pos="9019"/>
        </w:tabs>
        <w:rPr>
          <w:rFonts w:eastAsiaTheme="minorEastAsia"/>
          <w:noProof/>
          <w:lang w:val="ru-RU" w:eastAsia="ru-RU"/>
        </w:rPr>
      </w:pPr>
      <w:hyperlink w:anchor="_Toc533211768" w:history="1">
        <w:r w:rsidR="00DD51BE" w:rsidRPr="00E97829">
          <w:rPr>
            <w:rStyle w:val="afb"/>
            <w:noProof/>
          </w:rPr>
          <w:t xml:space="preserve">Figure 12: </w:t>
        </w:r>
        <w:r w:rsidR="00DD51BE" w:rsidRPr="00E97829">
          <w:rPr>
            <w:rStyle w:val="afb"/>
            <w:noProof/>
            <w:lang w:val="en-US"/>
          </w:rPr>
          <w:t>Duncan index of occupational dissimilarity in Ukraine, 2006-2013</w:t>
        </w:r>
        <w:r w:rsidR="00DD51BE">
          <w:rPr>
            <w:noProof/>
            <w:webHidden/>
          </w:rPr>
          <w:tab/>
        </w:r>
        <w:r w:rsidR="00DD51BE">
          <w:rPr>
            <w:noProof/>
            <w:webHidden/>
          </w:rPr>
          <w:fldChar w:fldCharType="begin"/>
        </w:r>
        <w:r w:rsidR="00DD51BE">
          <w:rPr>
            <w:noProof/>
            <w:webHidden/>
          </w:rPr>
          <w:instrText xml:space="preserve"> PAGEREF _Toc533211768 \h </w:instrText>
        </w:r>
        <w:r w:rsidR="00DD51BE">
          <w:rPr>
            <w:noProof/>
            <w:webHidden/>
          </w:rPr>
        </w:r>
        <w:r w:rsidR="00DD51BE">
          <w:rPr>
            <w:noProof/>
            <w:webHidden/>
          </w:rPr>
          <w:fldChar w:fldCharType="separate"/>
        </w:r>
        <w:r w:rsidR="00DD51BE">
          <w:rPr>
            <w:noProof/>
            <w:webHidden/>
          </w:rPr>
          <w:t>15</w:t>
        </w:r>
        <w:r w:rsidR="00DD51BE">
          <w:rPr>
            <w:noProof/>
            <w:webHidden/>
          </w:rPr>
          <w:fldChar w:fldCharType="end"/>
        </w:r>
      </w:hyperlink>
    </w:p>
    <w:p w14:paraId="5E92B599" w14:textId="77777777" w:rsidR="00DD51BE" w:rsidRDefault="00993835">
      <w:pPr>
        <w:pStyle w:val="afe"/>
        <w:tabs>
          <w:tab w:val="right" w:leader="dot" w:pos="9019"/>
        </w:tabs>
        <w:rPr>
          <w:rFonts w:eastAsiaTheme="minorEastAsia"/>
          <w:noProof/>
          <w:lang w:val="ru-RU" w:eastAsia="ru-RU"/>
        </w:rPr>
      </w:pPr>
      <w:hyperlink w:anchor="_Toc533211769" w:history="1">
        <w:r w:rsidR="00DD51BE" w:rsidRPr="00E97829">
          <w:rPr>
            <w:rStyle w:val="afb"/>
            <w:noProof/>
            <w:lang w:val="en-US"/>
          </w:rPr>
          <w:t>Figure 13: Duncan index of occupational dissimilarity by type of employment, 2006-2016</w:t>
        </w:r>
        <w:r w:rsidR="00DD51BE">
          <w:rPr>
            <w:noProof/>
            <w:webHidden/>
          </w:rPr>
          <w:tab/>
        </w:r>
        <w:r w:rsidR="00DD51BE">
          <w:rPr>
            <w:noProof/>
            <w:webHidden/>
          </w:rPr>
          <w:fldChar w:fldCharType="begin"/>
        </w:r>
        <w:r w:rsidR="00DD51BE">
          <w:rPr>
            <w:noProof/>
            <w:webHidden/>
          </w:rPr>
          <w:instrText xml:space="preserve"> PAGEREF _Toc533211769 \h </w:instrText>
        </w:r>
        <w:r w:rsidR="00DD51BE">
          <w:rPr>
            <w:noProof/>
            <w:webHidden/>
          </w:rPr>
        </w:r>
        <w:r w:rsidR="00DD51BE">
          <w:rPr>
            <w:noProof/>
            <w:webHidden/>
          </w:rPr>
          <w:fldChar w:fldCharType="separate"/>
        </w:r>
        <w:r w:rsidR="00DD51BE">
          <w:rPr>
            <w:noProof/>
            <w:webHidden/>
          </w:rPr>
          <w:t>16</w:t>
        </w:r>
        <w:r w:rsidR="00DD51BE">
          <w:rPr>
            <w:noProof/>
            <w:webHidden/>
          </w:rPr>
          <w:fldChar w:fldCharType="end"/>
        </w:r>
      </w:hyperlink>
    </w:p>
    <w:p w14:paraId="3D4D8773" w14:textId="77777777" w:rsidR="00DD51BE" w:rsidRDefault="00993835">
      <w:pPr>
        <w:pStyle w:val="afe"/>
        <w:tabs>
          <w:tab w:val="right" w:leader="dot" w:pos="9019"/>
        </w:tabs>
        <w:rPr>
          <w:rFonts w:eastAsiaTheme="minorEastAsia"/>
          <w:noProof/>
          <w:lang w:val="ru-RU" w:eastAsia="ru-RU"/>
        </w:rPr>
      </w:pPr>
      <w:hyperlink w:anchor="_Toc533211770" w:history="1">
        <w:r w:rsidR="00DD51BE" w:rsidRPr="00E97829">
          <w:rPr>
            <w:rStyle w:val="afb"/>
            <w:noProof/>
            <w:lang w:val="en-US"/>
          </w:rPr>
          <w:t>Figure 14: Duncan index of occupational dissimilarity by cohorts, 2006-2016</w:t>
        </w:r>
        <w:r w:rsidR="00DD51BE">
          <w:rPr>
            <w:noProof/>
            <w:webHidden/>
          </w:rPr>
          <w:tab/>
        </w:r>
        <w:r w:rsidR="00DD51BE">
          <w:rPr>
            <w:noProof/>
            <w:webHidden/>
          </w:rPr>
          <w:fldChar w:fldCharType="begin"/>
        </w:r>
        <w:r w:rsidR="00DD51BE">
          <w:rPr>
            <w:noProof/>
            <w:webHidden/>
          </w:rPr>
          <w:instrText xml:space="preserve"> PAGEREF _Toc533211770 \h </w:instrText>
        </w:r>
        <w:r w:rsidR="00DD51BE">
          <w:rPr>
            <w:noProof/>
            <w:webHidden/>
          </w:rPr>
        </w:r>
        <w:r w:rsidR="00DD51BE">
          <w:rPr>
            <w:noProof/>
            <w:webHidden/>
          </w:rPr>
          <w:fldChar w:fldCharType="separate"/>
        </w:r>
        <w:r w:rsidR="00DD51BE">
          <w:rPr>
            <w:noProof/>
            <w:webHidden/>
          </w:rPr>
          <w:t>17</w:t>
        </w:r>
        <w:r w:rsidR="00DD51BE">
          <w:rPr>
            <w:noProof/>
            <w:webHidden/>
          </w:rPr>
          <w:fldChar w:fldCharType="end"/>
        </w:r>
      </w:hyperlink>
    </w:p>
    <w:p w14:paraId="62520A96" w14:textId="77777777" w:rsidR="00DD51BE" w:rsidRDefault="00993835">
      <w:pPr>
        <w:pStyle w:val="afe"/>
        <w:tabs>
          <w:tab w:val="right" w:leader="dot" w:pos="9019"/>
        </w:tabs>
        <w:rPr>
          <w:rFonts w:eastAsiaTheme="minorEastAsia"/>
          <w:noProof/>
          <w:lang w:val="ru-RU" w:eastAsia="ru-RU"/>
        </w:rPr>
      </w:pPr>
      <w:hyperlink w:anchor="_Toc533211771" w:history="1">
        <w:r w:rsidR="00DD51BE" w:rsidRPr="00E97829">
          <w:rPr>
            <w:rStyle w:val="afb"/>
            <w:noProof/>
            <w:lang w:val="en-US"/>
          </w:rPr>
          <w:t xml:space="preserve">Figure 15: Gender segregation in occupations in Moldova and EU countries: </w:t>
        </w:r>
        <w:r w:rsidR="00DD51BE" w:rsidRPr="00E97829">
          <w:rPr>
            <w:rStyle w:val="afb"/>
            <w:noProof/>
          </w:rPr>
          <w:t xml:space="preserve">Karmel and MacLachlan </w:t>
        </w:r>
        <w:r w:rsidR="00DD51BE" w:rsidRPr="00E97829">
          <w:rPr>
            <w:rStyle w:val="afb"/>
            <w:noProof/>
            <w:lang w:val="en-US"/>
          </w:rPr>
          <w:t>index (%), 2016</w:t>
        </w:r>
        <w:r w:rsidR="00DD51BE">
          <w:rPr>
            <w:noProof/>
            <w:webHidden/>
          </w:rPr>
          <w:tab/>
        </w:r>
        <w:r w:rsidR="00DD51BE">
          <w:rPr>
            <w:noProof/>
            <w:webHidden/>
          </w:rPr>
          <w:fldChar w:fldCharType="begin"/>
        </w:r>
        <w:r w:rsidR="00DD51BE">
          <w:rPr>
            <w:noProof/>
            <w:webHidden/>
          </w:rPr>
          <w:instrText xml:space="preserve"> PAGEREF _Toc533211771 \h </w:instrText>
        </w:r>
        <w:r w:rsidR="00DD51BE">
          <w:rPr>
            <w:noProof/>
            <w:webHidden/>
          </w:rPr>
        </w:r>
        <w:r w:rsidR="00DD51BE">
          <w:rPr>
            <w:noProof/>
            <w:webHidden/>
          </w:rPr>
          <w:fldChar w:fldCharType="separate"/>
        </w:r>
        <w:r w:rsidR="00DD51BE">
          <w:rPr>
            <w:noProof/>
            <w:webHidden/>
          </w:rPr>
          <w:t>17</w:t>
        </w:r>
        <w:r w:rsidR="00DD51BE">
          <w:rPr>
            <w:noProof/>
            <w:webHidden/>
          </w:rPr>
          <w:fldChar w:fldCharType="end"/>
        </w:r>
      </w:hyperlink>
    </w:p>
    <w:p w14:paraId="006D0519" w14:textId="77777777" w:rsidR="00DD51BE" w:rsidRDefault="00993835">
      <w:pPr>
        <w:pStyle w:val="afe"/>
        <w:tabs>
          <w:tab w:val="right" w:leader="dot" w:pos="9019"/>
        </w:tabs>
        <w:rPr>
          <w:rFonts w:eastAsiaTheme="minorEastAsia"/>
          <w:noProof/>
          <w:lang w:val="ru-RU" w:eastAsia="ru-RU"/>
        </w:rPr>
      </w:pPr>
      <w:hyperlink w:anchor="_Toc533211772" w:history="1">
        <w:r w:rsidR="00DD51BE" w:rsidRPr="00E97829">
          <w:rPr>
            <w:rStyle w:val="afb"/>
            <w:noProof/>
            <w:lang w:val="en-US"/>
          </w:rPr>
          <w:t>Figure 16: Women and men by education and age (%), 2016</w:t>
        </w:r>
        <w:r w:rsidR="00DD51BE">
          <w:rPr>
            <w:noProof/>
            <w:webHidden/>
          </w:rPr>
          <w:tab/>
        </w:r>
        <w:r w:rsidR="00DD51BE">
          <w:rPr>
            <w:noProof/>
            <w:webHidden/>
          </w:rPr>
          <w:fldChar w:fldCharType="begin"/>
        </w:r>
        <w:r w:rsidR="00DD51BE">
          <w:rPr>
            <w:noProof/>
            <w:webHidden/>
          </w:rPr>
          <w:instrText xml:space="preserve"> PAGEREF _Toc533211772 \h </w:instrText>
        </w:r>
        <w:r w:rsidR="00DD51BE">
          <w:rPr>
            <w:noProof/>
            <w:webHidden/>
          </w:rPr>
        </w:r>
        <w:r w:rsidR="00DD51BE">
          <w:rPr>
            <w:noProof/>
            <w:webHidden/>
          </w:rPr>
          <w:fldChar w:fldCharType="separate"/>
        </w:r>
        <w:r w:rsidR="00DD51BE">
          <w:rPr>
            <w:noProof/>
            <w:webHidden/>
          </w:rPr>
          <w:t>18</w:t>
        </w:r>
        <w:r w:rsidR="00DD51BE">
          <w:rPr>
            <w:noProof/>
            <w:webHidden/>
          </w:rPr>
          <w:fldChar w:fldCharType="end"/>
        </w:r>
      </w:hyperlink>
    </w:p>
    <w:p w14:paraId="71693312" w14:textId="77777777" w:rsidR="00DD51BE" w:rsidRDefault="00993835">
      <w:pPr>
        <w:pStyle w:val="afe"/>
        <w:tabs>
          <w:tab w:val="right" w:leader="dot" w:pos="9019"/>
        </w:tabs>
        <w:rPr>
          <w:rFonts w:eastAsiaTheme="minorEastAsia"/>
          <w:noProof/>
          <w:lang w:val="ru-RU" w:eastAsia="ru-RU"/>
        </w:rPr>
      </w:pPr>
      <w:hyperlink w:anchor="_Toc533211773" w:history="1">
        <w:r w:rsidR="00DD51BE" w:rsidRPr="00E97829">
          <w:rPr>
            <w:rStyle w:val="afb"/>
            <w:noProof/>
            <w:lang w:val="en-US"/>
          </w:rPr>
          <w:t>Figure 17: Labor force participation rate of women and men (15-64 years) by age of the youngest child (%), 2016</w:t>
        </w:r>
        <w:r w:rsidR="00DD51BE">
          <w:rPr>
            <w:noProof/>
            <w:webHidden/>
          </w:rPr>
          <w:tab/>
        </w:r>
        <w:r w:rsidR="00DD51BE">
          <w:rPr>
            <w:noProof/>
            <w:webHidden/>
          </w:rPr>
          <w:fldChar w:fldCharType="begin"/>
        </w:r>
        <w:r w:rsidR="00DD51BE">
          <w:rPr>
            <w:noProof/>
            <w:webHidden/>
          </w:rPr>
          <w:instrText xml:space="preserve"> PAGEREF _Toc533211773 \h </w:instrText>
        </w:r>
        <w:r w:rsidR="00DD51BE">
          <w:rPr>
            <w:noProof/>
            <w:webHidden/>
          </w:rPr>
        </w:r>
        <w:r w:rsidR="00DD51BE">
          <w:rPr>
            <w:noProof/>
            <w:webHidden/>
          </w:rPr>
          <w:fldChar w:fldCharType="separate"/>
        </w:r>
        <w:r w:rsidR="00DD51BE">
          <w:rPr>
            <w:noProof/>
            <w:webHidden/>
          </w:rPr>
          <w:t>23</w:t>
        </w:r>
        <w:r w:rsidR="00DD51BE">
          <w:rPr>
            <w:noProof/>
            <w:webHidden/>
          </w:rPr>
          <w:fldChar w:fldCharType="end"/>
        </w:r>
      </w:hyperlink>
    </w:p>
    <w:p w14:paraId="6BD93312" w14:textId="77777777" w:rsidR="00DD51BE" w:rsidRDefault="00993835">
      <w:pPr>
        <w:pStyle w:val="afe"/>
        <w:tabs>
          <w:tab w:val="right" w:leader="dot" w:pos="9019"/>
        </w:tabs>
        <w:rPr>
          <w:rFonts w:eastAsiaTheme="minorEastAsia"/>
          <w:noProof/>
          <w:lang w:val="ru-RU" w:eastAsia="ru-RU"/>
        </w:rPr>
      </w:pPr>
      <w:hyperlink w:anchor="_Toc533211774" w:history="1">
        <w:r w:rsidR="00DD51BE" w:rsidRPr="00E97829">
          <w:rPr>
            <w:rStyle w:val="afb"/>
            <w:noProof/>
            <w:lang w:val="en-US"/>
          </w:rPr>
          <w:t>Figure 18: Female and male workers (15-64 years) by employment type, number of children under 15 years and age of the youngest child (%), 2016</w:t>
        </w:r>
        <w:r w:rsidR="00DD51BE">
          <w:rPr>
            <w:noProof/>
            <w:webHidden/>
          </w:rPr>
          <w:tab/>
        </w:r>
        <w:r w:rsidR="00DD51BE">
          <w:rPr>
            <w:noProof/>
            <w:webHidden/>
          </w:rPr>
          <w:fldChar w:fldCharType="begin"/>
        </w:r>
        <w:r w:rsidR="00DD51BE">
          <w:rPr>
            <w:noProof/>
            <w:webHidden/>
          </w:rPr>
          <w:instrText xml:space="preserve"> PAGEREF _Toc533211774 \h </w:instrText>
        </w:r>
        <w:r w:rsidR="00DD51BE">
          <w:rPr>
            <w:noProof/>
            <w:webHidden/>
          </w:rPr>
        </w:r>
        <w:r w:rsidR="00DD51BE">
          <w:rPr>
            <w:noProof/>
            <w:webHidden/>
          </w:rPr>
          <w:fldChar w:fldCharType="separate"/>
        </w:r>
        <w:r w:rsidR="00DD51BE">
          <w:rPr>
            <w:noProof/>
            <w:webHidden/>
          </w:rPr>
          <w:t>27</w:t>
        </w:r>
        <w:r w:rsidR="00DD51BE">
          <w:rPr>
            <w:noProof/>
            <w:webHidden/>
          </w:rPr>
          <w:fldChar w:fldCharType="end"/>
        </w:r>
      </w:hyperlink>
    </w:p>
    <w:p w14:paraId="068936C0" w14:textId="77777777" w:rsidR="00DD51BE" w:rsidRDefault="00993835">
      <w:pPr>
        <w:pStyle w:val="afe"/>
        <w:tabs>
          <w:tab w:val="right" w:leader="dot" w:pos="9019"/>
        </w:tabs>
        <w:rPr>
          <w:rFonts w:eastAsiaTheme="minorEastAsia"/>
          <w:noProof/>
          <w:lang w:val="ru-RU" w:eastAsia="ru-RU"/>
        </w:rPr>
      </w:pPr>
      <w:hyperlink w:anchor="_Toc533211775" w:history="1">
        <w:r w:rsidR="00DD51BE" w:rsidRPr="00E97829">
          <w:rPr>
            <w:rStyle w:val="afb"/>
            <w:noProof/>
            <w:lang w:val="en-US"/>
          </w:rPr>
          <w:t>Figure 19: Female and male workers (15-64 years) by hours of work for pay or profit in the reference week, number of children under 15 years and age of the youngest child (%), 2016</w:t>
        </w:r>
        <w:r w:rsidR="00DD51BE">
          <w:rPr>
            <w:noProof/>
            <w:webHidden/>
          </w:rPr>
          <w:tab/>
        </w:r>
        <w:r w:rsidR="00DD51BE">
          <w:rPr>
            <w:noProof/>
            <w:webHidden/>
          </w:rPr>
          <w:fldChar w:fldCharType="begin"/>
        </w:r>
        <w:r w:rsidR="00DD51BE">
          <w:rPr>
            <w:noProof/>
            <w:webHidden/>
          </w:rPr>
          <w:instrText xml:space="preserve"> PAGEREF _Toc533211775 \h </w:instrText>
        </w:r>
        <w:r w:rsidR="00DD51BE">
          <w:rPr>
            <w:noProof/>
            <w:webHidden/>
          </w:rPr>
        </w:r>
        <w:r w:rsidR="00DD51BE">
          <w:rPr>
            <w:noProof/>
            <w:webHidden/>
          </w:rPr>
          <w:fldChar w:fldCharType="separate"/>
        </w:r>
        <w:r w:rsidR="00DD51BE">
          <w:rPr>
            <w:noProof/>
            <w:webHidden/>
          </w:rPr>
          <w:t>28</w:t>
        </w:r>
        <w:r w:rsidR="00DD51BE">
          <w:rPr>
            <w:noProof/>
            <w:webHidden/>
          </w:rPr>
          <w:fldChar w:fldCharType="end"/>
        </w:r>
      </w:hyperlink>
    </w:p>
    <w:p w14:paraId="590604F1" w14:textId="77777777" w:rsidR="00DD51BE" w:rsidRDefault="00993835">
      <w:pPr>
        <w:pStyle w:val="afe"/>
        <w:tabs>
          <w:tab w:val="right" w:leader="dot" w:pos="9019"/>
        </w:tabs>
        <w:rPr>
          <w:rFonts w:eastAsiaTheme="minorEastAsia"/>
          <w:noProof/>
          <w:lang w:val="ru-RU" w:eastAsia="ru-RU"/>
        </w:rPr>
      </w:pPr>
      <w:hyperlink w:anchor="_Toc533211776" w:history="1">
        <w:r w:rsidR="00DD51BE" w:rsidRPr="00E97829">
          <w:rPr>
            <w:rStyle w:val="afb"/>
            <w:noProof/>
            <w:lang w:val="en-US"/>
          </w:rPr>
          <w:t>Figure 20: Incidence of public sector wage employment by gender and number of children under 15 years (%), 2016</w:t>
        </w:r>
        <w:r w:rsidR="00DD51BE">
          <w:rPr>
            <w:noProof/>
            <w:webHidden/>
          </w:rPr>
          <w:tab/>
        </w:r>
        <w:r w:rsidR="00DD51BE">
          <w:rPr>
            <w:noProof/>
            <w:webHidden/>
          </w:rPr>
          <w:fldChar w:fldCharType="begin"/>
        </w:r>
        <w:r w:rsidR="00DD51BE">
          <w:rPr>
            <w:noProof/>
            <w:webHidden/>
          </w:rPr>
          <w:instrText xml:space="preserve"> PAGEREF _Toc533211776 \h </w:instrText>
        </w:r>
        <w:r w:rsidR="00DD51BE">
          <w:rPr>
            <w:noProof/>
            <w:webHidden/>
          </w:rPr>
        </w:r>
        <w:r w:rsidR="00DD51BE">
          <w:rPr>
            <w:noProof/>
            <w:webHidden/>
          </w:rPr>
          <w:fldChar w:fldCharType="separate"/>
        </w:r>
        <w:r w:rsidR="00DD51BE">
          <w:rPr>
            <w:noProof/>
            <w:webHidden/>
          </w:rPr>
          <w:t>30</w:t>
        </w:r>
        <w:r w:rsidR="00DD51BE">
          <w:rPr>
            <w:noProof/>
            <w:webHidden/>
          </w:rPr>
          <w:fldChar w:fldCharType="end"/>
        </w:r>
      </w:hyperlink>
    </w:p>
    <w:p w14:paraId="56F87D4C" w14:textId="77777777" w:rsidR="00DD51BE" w:rsidRDefault="00993835">
      <w:pPr>
        <w:pStyle w:val="afe"/>
        <w:tabs>
          <w:tab w:val="right" w:leader="dot" w:pos="9019"/>
        </w:tabs>
        <w:rPr>
          <w:rFonts w:eastAsiaTheme="minorEastAsia"/>
          <w:noProof/>
          <w:lang w:val="ru-RU" w:eastAsia="ru-RU"/>
        </w:rPr>
      </w:pPr>
      <w:hyperlink w:anchor="_Toc533211777" w:history="1">
        <w:r w:rsidR="00DD51BE" w:rsidRPr="00E97829">
          <w:rPr>
            <w:rStyle w:val="afb"/>
            <w:noProof/>
            <w:lang w:val="en-US"/>
          </w:rPr>
          <w:t>Figure 21: Female and male workers (15-64 years) by type of occupation, number of children under 15 years and age of the youngest child (%), 2016</w:t>
        </w:r>
        <w:r w:rsidR="00DD51BE">
          <w:rPr>
            <w:noProof/>
            <w:webHidden/>
          </w:rPr>
          <w:tab/>
        </w:r>
        <w:r w:rsidR="00DD51BE">
          <w:rPr>
            <w:noProof/>
            <w:webHidden/>
          </w:rPr>
          <w:fldChar w:fldCharType="begin"/>
        </w:r>
        <w:r w:rsidR="00DD51BE">
          <w:rPr>
            <w:noProof/>
            <w:webHidden/>
          </w:rPr>
          <w:instrText xml:space="preserve"> PAGEREF _Toc533211777 \h </w:instrText>
        </w:r>
        <w:r w:rsidR="00DD51BE">
          <w:rPr>
            <w:noProof/>
            <w:webHidden/>
          </w:rPr>
        </w:r>
        <w:r w:rsidR="00DD51BE">
          <w:rPr>
            <w:noProof/>
            <w:webHidden/>
          </w:rPr>
          <w:fldChar w:fldCharType="separate"/>
        </w:r>
        <w:r w:rsidR="00DD51BE">
          <w:rPr>
            <w:noProof/>
            <w:webHidden/>
          </w:rPr>
          <w:t>30</w:t>
        </w:r>
        <w:r w:rsidR="00DD51BE">
          <w:rPr>
            <w:noProof/>
            <w:webHidden/>
          </w:rPr>
          <w:fldChar w:fldCharType="end"/>
        </w:r>
      </w:hyperlink>
    </w:p>
    <w:p w14:paraId="15EBAE18" w14:textId="77777777" w:rsidR="00DD51BE" w:rsidRDefault="00993835">
      <w:pPr>
        <w:pStyle w:val="afe"/>
        <w:tabs>
          <w:tab w:val="right" w:leader="dot" w:pos="9019"/>
        </w:tabs>
        <w:rPr>
          <w:rFonts w:eastAsiaTheme="minorEastAsia"/>
          <w:noProof/>
          <w:lang w:val="ru-RU" w:eastAsia="ru-RU"/>
        </w:rPr>
      </w:pPr>
      <w:hyperlink w:anchor="_Toc533211778" w:history="1">
        <w:r w:rsidR="00DD51BE" w:rsidRPr="00E97829">
          <w:rPr>
            <w:rStyle w:val="afb"/>
            <w:noProof/>
            <w:lang w:val="en-US"/>
          </w:rPr>
          <w:t>Figure 22: Gender pay gap: alternative measures (%), 2010-2016</w:t>
        </w:r>
        <w:r w:rsidR="00DD51BE">
          <w:rPr>
            <w:noProof/>
            <w:webHidden/>
          </w:rPr>
          <w:tab/>
        </w:r>
        <w:r w:rsidR="00DD51BE">
          <w:rPr>
            <w:noProof/>
            <w:webHidden/>
          </w:rPr>
          <w:fldChar w:fldCharType="begin"/>
        </w:r>
        <w:r w:rsidR="00DD51BE">
          <w:rPr>
            <w:noProof/>
            <w:webHidden/>
          </w:rPr>
          <w:instrText xml:space="preserve"> PAGEREF _Toc533211778 \h </w:instrText>
        </w:r>
        <w:r w:rsidR="00DD51BE">
          <w:rPr>
            <w:noProof/>
            <w:webHidden/>
          </w:rPr>
        </w:r>
        <w:r w:rsidR="00DD51BE">
          <w:rPr>
            <w:noProof/>
            <w:webHidden/>
          </w:rPr>
          <w:fldChar w:fldCharType="separate"/>
        </w:r>
        <w:r w:rsidR="00DD51BE">
          <w:rPr>
            <w:noProof/>
            <w:webHidden/>
          </w:rPr>
          <w:t>32</w:t>
        </w:r>
        <w:r w:rsidR="00DD51BE">
          <w:rPr>
            <w:noProof/>
            <w:webHidden/>
          </w:rPr>
          <w:fldChar w:fldCharType="end"/>
        </w:r>
      </w:hyperlink>
    </w:p>
    <w:p w14:paraId="0D828E43" w14:textId="77777777" w:rsidR="00DD51BE" w:rsidRDefault="00993835">
      <w:pPr>
        <w:pStyle w:val="afe"/>
        <w:tabs>
          <w:tab w:val="right" w:leader="dot" w:pos="9019"/>
        </w:tabs>
        <w:rPr>
          <w:rFonts w:eastAsiaTheme="minorEastAsia"/>
          <w:noProof/>
          <w:lang w:val="ru-RU" w:eastAsia="ru-RU"/>
        </w:rPr>
      </w:pPr>
      <w:hyperlink w:anchor="_Toc533211779" w:history="1">
        <w:r w:rsidR="00DD51BE" w:rsidRPr="00E97829">
          <w:rPr>
            <w:rStyle w:val="afb"/>
            <w:noProof/>
            <w:lang w:val="en-US"/>
          </w:rPr>
          <w:t>Figure 23: Kernel density estimates for real log wages by gender, 2010 and 2016</w:t>
        </w:r>
        <w:r w:rsidR="00DD51BE">
          <w:rPr>
            <w:noProof/>
            <w:webHidden/>
          </w:rPr>
          <w:tab/>
        </w:r>
        <w:r w:rsidR="00DD51BE">
          <w:rPr>
            <w:noProof/>
            <w:webHidden/>
          </w:rPr>
          <w:fldChar w:fldCharType="begin"/>
        </w:r>
        <w:r w:rsidR="00DD51BE">
          <w:rPr>
            <w:noProof/>
            <w:webHidden/>
          </w:rPr>
          <w:instrText xml:space="preserve"> PAGEREF _Toc533211779 \h </w:instrText>
        </w:r>
        <w:r w:rsidR="00DD51BE">
          <w:rPr>
            <w:noProof/>
            <w:webHidden/>
          </w:rPr>
        </w:r>
        <w:r w:rsidR="00DD51BE">
          <w:rPr>
            <w:noProof/>
            <w:webHidden/>
          </w:rPr>
          <w:fldChar w:fldCharType="separate"/>
        </w:r>
        <w:r w:rsidR="00DD51BE">
          <w:rPr>
            <w:noProof/>
            <w:webHidden/>
          </w:rPr>
          <w:t>33</w:t>
        </w:r>
        <w:r w:rsidR="00DD51BE">
          <w:rPr>
            <w:noProof/>
            <w:webHidden/>
          </w:rPr>
          <w:fldChar w:fldCharType="end"/>
        </w:r>
      </w:hyperlink>
    </w:p>
    <w:p w14:paraId="64985503" w14:textId="77777777" w:rsidR="00DD51BE" w:rsidRDefault="00993835">
      <w:pPr>
        <w:pStyle w:val="afe"/>
        <w:tabs>
          <w:tab w:val="right" w:leader="dot" w:pos="9019"/>
        </w:tabs>
        <w:rPr>
          <w:rFonts w:eastAsiaTheme="minorEastAsia"/>
          <w:noProof/>
          <w:lang w:val="ru-RU" w:eastAsia="ru-RU"/>
        </w:rPr>
      </w:pPr>
      <w:hyperlink w:anchor="_Toc533211780" w:history="1">
        <w:r w:rsidR="00DD51BE" w:rsidRPr="00E97829">
          <w:rPr>
            <w:rStyle w:val="afb"/>
            <w:noProof/>
          </w:rPr>
          <w:t>Figure 24: Recent field of studies among job seekers with incomplete or complete tertiary education by gender (number of job seekers), 2018</w:t>
        </w:r>
        <w:r w:rsidR="00DD51BE">
          <w:rPr>
            <w:noProof/>
            <w:webHidden/>
          </w:rPr>
          <w:tab/>
        </w:r>
        <w:r w:rsidR="00DD51BE">
          <w:rPr>
            <w:noProof/>
            <w:webHidden/>
          </w:rPr>
          <w:fldChar w:fldCharType="begin"/>
        </w:r>
        <w:r w:rsidR="00DD51BE">
          <w:rPr>
            <w:noProof/>
            <w:webHidden/>
          </w:rPr>
          <w:instrText xml:space="preserve"> PAGEREF _Toc533211780 \h </w:instrText>
        </w:r>
        <w:r w:rsidR="00DD51BE">
          <w:rPr>
            <w:noProof/>
            <w:webHidden/>
          </w:rPr>
        </w:r>
        <w:r w:rsidR="00DD51BE">
          <w:rPr>
            <w:noProof/>
            <w:webHidden/>
          </w:rPr>
          <w:fldChar w:fldCharType="separate"/>
        </w:r>
        <w:r w:rsidR="00DD51BE">
          <w:rPr>
            <w:noProof/>
            <w:webHidden/>
          </w:rPr>
          <w:t>41</w:t>
        </w:r>
        <w:r w:rsidR="00DD51BE">
          <w:rPr>
            <w:noProof/>
            <w:webHidden/>
          </w:rPr>
          <w:fldChar w:fldCharType="end"/>
        </w:r>
      </w:hyperlink>
    </w:p>
    <w:p w14:paraId="43024887" w14:textId="77777777" w:rsidR="00DD51BE" w:rsidRDefault="00993835">
      <w:pPr>
        <w:pStyle w:val="afe"/>
        <w:tabs>
          <w:tab w:val="right" w:leader="dot" w:pos="9019"/>
        </w:tabs>
        <w:rPr>
          <w:rFonts w:eastAsiaTheme="minorEastAsia"/>
          <w:noProof/>
          <w:lang w:val="ru-RU" w:eastAsia="ru-RU"/>
        </w:rPr>
      </w:pPr>
      <w:hyperlink w:anchor="_Toc533211781" w:history="1">
        <w:r w:rsidR="00DD51BE" w:rsidRPr="00E97829">
          <w:rPr>
            <w:rStyle w:val="afb"/>
            <w:noProof/>
          </w:rPr>
          <w:t>Figure 25: Proportion of job seekers reporting some level of competence in languages by gender (%), 2018</w:t>
        </w:r>
        <w:r w:rsidR="00DD51BE">
          <w:rPr>
            <w:noProof/>
            <w:webHidden/>
          </w:rPr>
          <w:tab/>
        </w:r>
        <w:r w:rsidR="00DD51BE">
          <w:rPr>
            <w:noProof/>
            <w:webHidden/>
          </w:rPr>
          <w:fldChar w:fldCharType="begin"/>
        </w:r>
        <w:r w:rsidR="00DD51BE">
          <w:rPr>
            <w:noProof/>
            <w:webHidden/>
          </w:rPr>
          <w:instrText xml:space="preserve"> PAGEREF _Toc533211781 \h </w:instrText>
        </w:r>
        <w:r w:rsidR="00DD51BE">
          <w:rPr>
            <w:noProof/>
            <w:webHidden/>
          </w:rPr>
        </w:r>
        <w:r w:rsidR="00DD51BE">
          <w:rPr>
            <w:noProof/>
            <w:webHidden/>
          </w:rPr>
          <w:fldChar w:fldCharType="separate"/>
        </w:r>
        <w:r w:rsidR="00DD51BE">
          <w:rPr>
            <w:noProof/>
            <w:webHidden/>
          </w:rPr>
          <w:t>41</w:t>
        </w:r>
        <w:r w:rsidR="00DD51BE">
          <w:rPr>
            <w:noProof/>
            <w:webHidden/>
          </w:rPr>
          <w:fldChar w:fldCharType="end"/>
        </w:r>
      </w:hyperlink>
    </w:p>
    <w:p w14:paraId="49A54739" w14:textId="77777777" w:rsidR="00DD51BE" w:rsidRDefault="00993835">
      <w:pPr>
        <w:pStyle w:val="afe"/>
        <w:tabs>
          <w:tab w:val="right" w:leader="dot" w:pos="9019"/>
        </w:tabs>
        <w:rPr>
          <w:rFonts w:eastAsiaTheme="minorEastAsia"/>
          <w:noProof/>
          <w:lang w:val="ru-RU" w:eastAsia="ru-RU"/>
        </w:rPr>
      </w:pPr>
      <w:hyperlink w:anchor="_Toc533211782" w:history="1">
        <w:r w:rsidR="00DD51BE" w:rsidRPr="00E97829">
          <w:rPr>
            <w:rStyle w:val="afb"/>
            <w:noProof/>
          </w:rPr>
          <w:t>Figure 26: Job seekers by desired sector and gender (%), 2018</w:t>
        </w:r>
        <w:r w:rsidR="00DD51BE">
          <w:rPr>
            <w:noProof/>
            <w:webHidden/>
          </w:rPr>
          <w:tab/>
        </w:r>
        <w:r w:rsidR="00DD51BE">
          <w:rPr>
            <w:noProof/>
            <w:webHidden/>
          </w:rPr>
          <w:fldChar w:fldCharType="begin"/>
        </w:r>
        <w:r w:rsidR="00DD51BE">
          <w:rPr>
            <w:noProof/>
            <w:webHidden/>
          </w:rPr>
          <w:instrText xml:space="preserve"> PAGEREF _Toc533211782 \h </w:instrText>
        </w:r>
        <w:r w:rsidR="00DD51BE">
          <w:rPr>
            <w:noProof/>
            <w:webHidden/>
          </w:rPr>
        </w:r>
        <w:r w:rsidR="00DD51BE">
          <w:rPr>
            <w:noProof/>
            <w:webHidden/>
          </w:rPr>
          <w:fldChar w:fldCharType="separate"/>
        </w:r>
        <w:r w:rsidR="00DD51BE">
          <w:rPr>
            <w:noProof/>
            <w:webHidden/>
          </w:rPr>
          <w:t>43</w:t>
        </w:r>
        <w:r w:rsidR="00DD51BE">
          <w:rPr>
            <w:noProof/>
            <w:webHidden/>
          </w:rPr>
          <w:fldChar w:fldCharType="end"/>
        </w:r>
      </w:hyperlink>
    </w:p>
    <w:p w14:paraId="64AA29ED" w14:textId="77777777" w:rsidR="00DD51BE" w:rsidRDefault="00993835">
      <w:pPr>
        <w:pStyle w:val="afe"/>
        <w:tabs>
          <w:tab w:val="right" w:leader="dot" w:pos="9019"/>
        </w:tabs>
        <w:rPr>
          <w:rFonts w:eastAsiaTheme="minorEastAsia"/>
          <w:noProof/>
          <w:lang w:val="ru-RU" w:eastAsia="ru-RU"/>
        </w:rPr>
      </w:pPr>
      <w:hyperlink w:anchor="_Toc533211783" w:history="1">
        <w:r w:rsidR="00DD51BE" w:rsidRPr="00E97829">
          <w:rPr>
            <w:rStyle w:val="afb"/>
            <w:noProof/>
          </w:rPr>
          <w:t>Figure 27: Job seekers by desired occupation and gender (%), 2018</w:t>
        </w:r>
        <w:r w:rsidR="00DD51BE">
          <w:rPr>
            <w:noProof/>
            <w:webHidden/>
          </w:rPr>
          <w:tab/>
        </w:r>
        <w:r w:rsidR="00DD51BE">
          <w:rPr>
            <w:noProof/>
            <w:webHidden/>
          </w:rPr>
          <w:fldChar w:fldCharType="begin"/>
        </w:r>
        <w:r w:rsidR="00DD51BE">
          <w:rPr>
            <w:noProof/>
            <w:webHidden/>
          </w:rPr>
          <w:instrText xml:space="preserve"> PAGEREF _Toc533211783 \h </w:instrText>
        </w:r>
        <w:r w:rsidR="00DD51BE">
          <w:rPr>
            <w:noProof/>
            <w:webHidden/>
          </w:rPr>
        </w:r>
        <w:r w:rsidR="00DD51BE">
          <w:rPr>
            <w:noProof/>
            <w:webHidden/>
          </w:rPr>
          <w:fldChar w:fldCharType="separate"/>
        </w:r>
        <w:r w:rsidR="00DD51BE">
          <w:rPr>
            <w:noProof/>
            <w:webHidden/>
          </w:rPr>
          <w:t>44</w:t>
        </w:r>
        <w:r w:rsidR="00DD51BE">
          <w:rPr>
            <w:noProof/>
            <w:webHidden/>
          </w:rPr>
          <w:fldChar w:fldCharType="end"/>
        </w:r>
      </w:hyperlink>
    </w:p>
    <w:p w14:paraId="6F17493A" w14:textId="77777777" w:rsidR="00DD51BE" w:rsidRDefault="00993835">
      <w:pPr>
        <w:pStyle w:val="afe"/>
        <w:tabs>
          <w:tab w:val="right" w:leader="dot" w:pos="9019"/>
        </w:tabs>
        <w:rPr>
          <w:rFonts w:eastAsiaTheme="minorEastAsia"/>
          <w:noProof/>
          <w:lang w:val="ru-RU" w:eastAsia="ru-RU"/>
        </w:rPr>
      </w:pPr>
      <w:hyperlink w:anchor="_Toc533211784" w:history="1">
        <w:r w:rsidR="00DD51BE" w:rsidRPr="00E97829">
          <w:rPr>
            <w:rStyle w:val="afb"/>
            <w:noProof/>
          </w:rPr>
          <w:t>Figure 28: Job seekers vs. employed by the type of occupation</w:t>
        </w:r>
        <w:r w:rsidR="00DD51BE">
          <w:rPr>
            <w:noProof/>
            <w:webHidden/>
          </w:rPr>
          <w:tab/>
        </w:r>
        <w:r w:rsidR="00DD51BE">
          <w:rPr>
            <w:noProof/>
            <w:webHidden/>
          </w:rPr>
          <w:fldChar w:fldCharType="begin"/>
        </w:r>
        <w:r w:rsidR="00DD51BE">
          <w:rPr>
            <w:noProof/>
            <w:webHidden/>
          </w:rPr>
          <w:instrText xml:space="preserve"> PAGEREF _Toc533211784 \h </w:instrText>
        </w:r>
        <w:r w:rsidR="00DD51BE">
          <w:rPr>
            <w:noProof/>
            <w:webHidden/>
          </w:rPr>
        </w:r>
        <w:r w:rsidR="00DD51BE">
          <w:rPr>
            <w:noProof/>
            <w:webHidden/>
          </w:rPr>
          <w:fldChar w:fldCharType="separate"/>
        </w:r>
        <w:r w:rsidR="00DD51BE">
          <w:rPr>
            <w:noProof/>
            <w:webHidden/>
          </w:rPr>
          <w:t>45</w:t>
        </w:r>
        <w:r w:rsidR="00DD51BE">
          <w:rPr>
            <w:noProof/>
            <w:webHidden/>
          </w:rPr>
          <w:fldChar w:fldCharType="end"/>
        </w:r>
      </w:hyperlink>
    </w:p>
    <w:p w14:paraId="6B6137FE" w14:textId="77777777" w:rsidR="00DD51BE" w:rsidRDefault="00993835">
      <w:pPr>
        <w:pStyle w:val="afe"/>
        <w:tabs>
          <w:tab w:val="right" w:leader="dot" w:pos="9019"/>
        </w:tabs>
        <w:rPr>
          <w:rFonts w:eastAsiaTheme="minorEastAsia"/>
          <w:noProof/>
          <w:lang w:val="ru-RU" w:eastAsia="ru-RU"/>
        </w:rPr>
      </w:pPr>
      <w:hyperlink w:anchor="_Toc533211785" w:history="1">
        <w:r w:rsidR="00DD51BE" w:rsidRPr="00E97829">
          <w:rPr>
            <w:rStyle w:val="afb"/>
            <w:noProof/>
          </w:rPr>
          <w:t>Figure 29: Female and male job seekers by desired sector and flexible working arrangement (%), 2018</w:t>
        </w:r>
        <w:r w:rsidR="00DD51BE">
          <w:rPr>
            <w:noProof/>
            <w:webHidden/>
          </w:rPr>
          <w:tab/>
        </w:r>
        <w:r w:rsidR="00DD51BE">
          <w:rPr>
            <w:noProof/>
            <w:webHidden/>
          </w:rPr>
          <w:fldChar w:fldCharType="begin"/>
        </w:r>
        <w:r w:rsidR="00DD51BE">
          <w:rPr>
            <w:noProof/>
            <w:webHidden/>
          </w:rPr>
          <w:instrText xml:space="preserve"> PAGEREF _Toc533211785 \h </w:instrText>
        </w:r>
        <w:r w:rsidR="00DD51BE">
          <w:rPr>
            <w:noProof/>
            <w:webHidden/>
          </w:rPr>
        </w:r>
        <w:r w:rsidR="00DD51BE">
          <w:rPr>
            <w:noProof/>
            <w:webHidden/>
          </w:rPr>
          <w:fldChar w:fldCharType="separate"/>
        </w:r>
        <w:r w:rsidR="00DD51BE">
          <w:rPr>
            <w:noProof/>
            <w:webHidden/>
          </w:rPr>
          <w:t>46</w:t>
        </w:r>
        <w:r w:rsidR="00DD51BE">
          <w:rPr>
            <w:noProof/>
            <w:webHidden/>
          </w:rPr>
          <w:fldChar w:fldCharType="end"/>
        </w:r>
      </w:hyperlink>
    </w:p>
    <w:p w14:paraId="0BAE0A48" w14:textId="77777777" w:rsidR="00DD51BE" w:rsidRDefault="00993835">
      <w:pPr>
        <w:pStyle w:val="afe"/>
        <w:tabs>
          <w:tab w:val="right" w:leader="dot" w:pos="9019"/>
        </w:tabs>
        <w:rPr>
          <w:rFonts w:eastAsiaTheme="minorEastAsia"/>
          <w:noProof/>
          <w:lang w:val="ru-RU" w:eastAsia="ru-RU"/>
        </w:rPr>
      </w:pPr>
      <w:hyperlink w:anchor="_Toc533211786" w:history="1">
        <w:r w:rsidR="00DD51BE" w:rsidRPr="00E97829">
          <w:rPr>
            <w:rStyle w:val="afb"/>
            <w:noProof/>
          </w:rPr>
          <w:t>Figure 30: Proportion of job seekers ready to move to another city by gender and socio-demographic characteristics (%), 2018</w:t>
        </w:r>
        <w:r w:rsidR="00DD51BE">
          <w:rPr>
            <w:noProof/>
            <w:webHidden/>
          </w:rPr>
          <w:tab/>
        </w:r>
        <w:r w:rsidR="00DD51BE">
          <w:rPr>
            <w:noProof/>
            <w:webHidden/>
          </w:rPr>
          <w:fldChar w:fldCharType="begin"/>
        </w:r>
        <w:r w:rsidR="00DD51BE">
          <w:rPr>
            <w:noProof/>
            <w:webHidden/>
          </w:rPr>
          <w:instrText xml:space="preserve"> PAGEREF _Toc533211786 \h </w:instrText>
        </w:r>
        <w:r w:rsidR="00DD51BE">
          <w:rPr>
            <w:noProof/>
            <w:webHidden/>
          </w:rPr>
        </w:r>
        <w:r w:rsidR="00DD51BE">
          <w:rPr>
            <w:noProof/>
            <w:webHidden/>
          </w:rPr>
          <w:fldChar w:fldCharType="separate"/>
        </w:r>
        <w:r w:rsidR="00DD51BE">
          <w:rPr>
            <w:noProof/>
            <w:webHidden/>
          </w:rPr>
          <w:t>47</w:t>
        </w:r>
        <w:r w:rsidR="00DD51BE">
          <w:rPr>
            <w:noProof/>
            <w:webHidden/>
          </w:rPr>
          <w:fldChar w:fldCharType="end"/>
        </w:r>
      </w:hyperlink>
    </w:p>
    <w:p w14:paraId="2ECD1B23" w14:textId="77777777" w:rsidR="00DD51BE" w:rsidRDefault="00993835">
      <w:pPr>
        <w:pStyle w:val="afe"/>
        <w:tabs>
          <w:tab w:val="right" w:leader="dot" w:pos="9019"/>
        </w:tabs>
        <w:rPr>
          <w:rFonts w:eastAsiaTheme="minorEastAsia"/>
          <w:noProof/>
          <w:lang w:val="ru-RU" w:eastAsia="ru-RU"/>
        </w:rPr>
      </w:pPr>
      <w:hyperlink w:anchor="_Toc533211787" w:history="1">
        <w:r w:rsidR="00DD51BE" w:rsidRPr="00E97829">
          <w:rPr>
            <w:rStyle w:val="afb"/>
            <w:noProof/>
          </w:rPr>
          <w:t>Figure 31: Proportion of job seekers available for business trips by gender and socio-demographic characteristics (%), 2018</w:t>
        </w:r>
        <w:r w:rsidR="00DD51BE">
          <w:rPr>
            <w:noProof/>
            <w:webHidden/>
          </w:rPr>
          <w:tab/>
        </w:r>
        <w:r w:rsidR="00DD51BE">
          <w:rPr>
            <w:noProof/>
            <w:webHidden/>
          </w:rPr>
          <w:fldChar w:fldCharType="begin"/>
        </w:r>
        <w:r w:rsidR="00DD51BE">
          <w:rPr>
            <w:noProof/>
            <w:webHidden/>
          </w:rPr>
          <w:instrText xml:space="preserve"> PAGEREF _Toc533211787 \h </w:instrText>
        </w:r>
        <w:r w:rsidR="00DD51BE">
          <w:rPr>
            <w:noProof/>
            <w:webHidden/>
          </w:rPr>
        </w:r>
        <w:r w:rsidR="00DD51BE">
          <w:rPr>
            <w:noProof/>
            <w:webHidden/>
          </w:rPr>
          <w:fldChar w:fldCharType="separate"/>
        </w:r>
        <w:r w:rsidR="00DD51BE">
          <w:rPr>
            <w:noProof/>
            <w:webHidden/>
          </w:rPr>
          <w:t>47</w:t>
        </w:r>
        <w:r w:rsidR="00DD51BE">
          <w:rPr>
            <w:noProof/>
            <w:webHidden/>
          </w:rPr>
          <w:fldChar w:fldCharType="end"/>
        </w:r>
      </w:hyperlink>
    </w:p>
    <w:p w14:paraId="0D96E349" w14:textId="77777777" w:rsidR="00DD51BE" w:rsidRDefault="00993835">
      <w:pPr>
        <w:pStyle w:val="afe"/>
        <w:tabs>
          <w:tab w:val="right" w:leader="dot" w:pos="9019"/>
        </w:tabs>
        <w:rPr>
          <w:rFonts w:eastAsiaTheme="minorEastAsia"/>
          <w:noProof/>
          <w:lang w:val="ru-RU" w:eastAsia="ru-RU"/>
        </w:rPr>
      </w:pPr>
      <w:hyperlink w:anchor="_Toc533211788" w:history="1">
        <w:r w:rsidR="00DD51BE" w:rsidRPr="00E97829">
          <w:rPr>
            <w:rStyle w:val="afb"/>
            <w:noProof/>
          </w:rPr>
          <w:t>Figure 32: Average salary expectations and gender gap among job seekers by sector (MDL), 2018</w:t>
        </w:r>
        <w:r w:rsidR="00DD51BE" w:rsidRPr="00E97829">
          <w:rPr>
            <w:rStyle w:val="afb"/>
            <w:noProof/>
            <w:vertAlign w:val="superscript"/>
          </w:rPr>
          <w:t>*</w:t>
        </w:r>
        <w:r w:rsidR="00DD51BE">
          <w:rPr>
            <w:noProof/>
            <w:webHidden/>
          </w:rPr>
          <w:tab/>
        </w:r>
        <w:r w:rsidR="00DD51BE">
          <w:rPr>
            <w:noProof/>
            <w:webHidden/>
          </w:rPr>
          <w:fldChar w:fldCharType="begin"/>
        </w:r>
        <w:r w:rsidR="00DD51BE">
          <w:rPr>
            <w:noProof/>
            <w:webHidden/>
          </w:rPr>
          <w:instrText xml:space="preserve"> PAGEREF _Toc533211788 \h </w:instrText>
        </w:r>
        <w:r w:rsidR="00DD51BE">
          <w:rPr>
            <w:noProof/>
            <w:webHidden/>
          </w:rPr>
        </w:r>
        <w:r w:rsidR="00DD51BE">
          <w:rPr>
            <w:noProof/>
            <w:webHidden/>
          </w:rPr>
          <w:fldChar w:fldCharType="separate"/>
        </w:r>
        <w:r w:rsidR="00DD51BE">
          <w:rPr>
            <w:noProof/>
            <w:webHidden/>
          </w:rPr>
          <w:t>48</w:t>
        </w:r>
        <w:r w:rsidR="00DD51BE">
          <w:rPr>
            <w:noProof/>
            <w:webHidden/>
          </w:rPr>
          <w:fldChar w:fldCharType="end"/>
        </w:r>
      </w:hyperlink>
    </w:p>
    <w:p w14:paraId="709A2BA0" w14:textId="77777777" w:rsidR="00DD51BE" w:rsidRDefault="00993835">
      <w:pPr>
        <w:pStyle w:val="afe"/>
        <w:tabs>
          <w:tab w:val="right" w:leader="dot" w:pos="9019"/>
        </w:tabs>
        <w:rPr>
          <w:rFonts w:eastAsiaTheme="minorEastAsia"/>
          <w:noProof/>
          <w:lang w:val="ru-RU" w:eastAsia="ru-RU"/>
        </w:rPr>
      </w:pPr>
      <w:hyperlink w:anchor="_Toc533211789" w:history="1">
        <w:r w:rsidR="00DD51BE" w:rsidRPr="00E97829">
          <w:rPr>
            <w:rStyle w:val="afb"/>
            <w:noProof/>
          </w:rPr>
          <w:t>Figure 33: Average salary expected by female and male job seekers by sector (MDL), 2018</w:t>
        </w:r>
        <w:r w:rsidR="00DD51BE">
          <w:rPr>
            <w:noProof/>
            <w:webHidden/>
          </w:rPr>
          <w:tab/>
        </w:r>
        <w:r w:rsidR="00DD51BE">
          <w:rPr>
            <w:noProof/>
            <w:webHidden/>
          </w:rPr>
          <w:fldChar w:fldCharType="begin"/>
        </w:r>
        <w:r w:rsidR="00DD51BE">
          <w:rPr>
            <w:noProof/>
            <w:webHidden/>
          </w:rPr>
          <w:instrText xml:space="preserve"> PAGEREF _Toc533211789 \h </w:instrText>
        </w:r>
        <w:r w:rsidR="00DD51BE">
          <w:rPr>
            <w:noProof/>
            <w:webHidden/>
          </w:rPr>
        </w:r>
        <w:r w:rsidR="00DD51BE">
          <w:rPr>
            <w:noProof/>
            <w:webHidden/>
          </w:rPr>
          <w:fldChar w:fldCharType="separate"/>
        </w:r>
        <w:r w:rsidR="00DD51BE">
          <w:rPr>
            <w:noProof/>
            <w:webHidden/>
          </w:rPr>
          <w:t>49</w:t>
        </w:r>
        <w:r w:rsidR="00DD51BE">
          <w:rPr>
            <w:noProof/>
            <w:webHidden/>
          </w:rPr>
          <w:fldChar w:fldCharType="end"/>
        </w:r>
      </w:hyperlink>
    </w:p>
    <w:p w14:paraId="65889D99" w14:textId="77777777" w:rsidR="00DD51BE" w:rsidRDefault="00993835">
      <w:pPr>
        <w:pStyle w:val="afe"/>
        <w:tabs>
          <w:tab w:val="right" w:leader="dot" w:pos="9019"/>
        </w:tabs>
        <w:rPr>
          <w:rFonts w:eastAsiaTheme="minorEastAsia"/>
          <w:noProof/>
          <w:lang w:val="ru-RU" w:eastAsia="ru-RU"/>
        </w:rPr>
      </w:pPr>
      <w:hyperlink w:anchor="_Toc533211790" w:history="1">
        <w:r w:rsidR="00DD51BE" w:rsidRPr="00E97829">
          <w:rPr>
            <w:rStyle w:val="afb"/>
            <w:noProof/>
          </w:rPr>
          <w:t>Figure 33: Percentage contribution of factors to the variance in expected salary (%), 2018</w:t>
        </w:r>
        <w:r w:rsidR="00DD51BE">
          <w:rPr>
            <w:noProof/>
            <w:webHidden/>
          </w:rPr>
          <w:tab/>
        </w:r>
        <w:r w:rsidR="00DD51BE">
          <w:rPr>
            <w:noProof/>
            <w:webHidden/>
          </w:rPr>
          <w:fldChar w:fldCharType="begin"/>
        </w:r>
        <w:r w:rsidR="00DD51BE">
          <w:rPr>
            <w:noProof/>
            <w:webHidden/>
          </w:rPr>
          <w:instrText xml:space="preserve"> PAGEREF _Toc533211790 \h </w:instrText>
        </w:r>
        <w:r w:rsidR="00DD51BE">
          <w:rPr>
            <w:noProof/>
            <w:webHidden/>
          </w:rPr>
        </w:r>
        <w:r w:rsidR="00DD51BE">
          <w:rPr>
            <w:noProof/>
            <w:webHidden/>
          </w:rPr>
          <w:fldChar w:fldCharType="separate"/>
        </w:r>
        <w:r w:rsidR="00DD51BE">
          <w:rPr>
            <w:noProof/>
            <w:webHidden/>
          </w:rPr>
          <w:t>50</w:t>
        </w:r>
        <w:r w:rsidR="00DD51BE">
          <w:rPr>
            <w:noProof/>
            <w:webHidden/>
          </w:rPr>
          <w:fldChar w:fldCharType="end"/>
        </w:r>
      </w:hyperlink>
    </w:p>
    <w:p w14:paraId="643E21DA" w14:textId="77777777" w:rsidR="00C97344" w:rsidRPr="004A792A" w:rsidRDefault="00C97344" w:rsidP="00D44BBB">
      <w:pPr>
        <w:spacing w:before="0"/>
        <w:jc w:val="both"/>
        <w:rPr>
          <w:lang w:val="en-US"/>
        </w:rPr>
      </w:pPr>
      <w:r w:rsidRPr="004A792A">
        <w:rPr>
          <w:lang w:val="en-US"/>
        </w:rPr>
        <w:fldChar w:fldCharType="end"/>
      </w:r>
    </w:p>
    <w:p w14:paraId="3EA59D15" w14:textId="77777777" w:rsidR="00C97344" w:rsidRPr="004A792A" w:rsidRDefault="00C97344" w:rsidP="00D44BBB">
      <w:pPr>
        <w:spacing w:before="0" w:line="259" w:lineRule="auto"/>
        <w:jc w:val="both"/>
        <w:rPr>
          <w:lang w:val="en-US"/>
        </w:rPr>
      </w:pPr>
    </w:p>
    <w:p w14:paraId="72881641" w14:textId="77777777" w:rsidR="00C97344" w:rsidRPr="004A792A" w:rsidRDefault="00161811" w:rsidP="00D44BBB">
      <w:pPr>
        <w:spacing w:before="0" w:after="160" w:line="259" w:lineRule="auto"/>
        <w:jc w:val="both"/>
        <w:rPr>
          <w:rFonts w:asciiTheme="majorHAnsi" w:hAnsiTheme="majorHAnsi" w:cstheme="majorHAnsi"/>
          <w:b/>
          <w:smallCaps/>
          <w:color w:val="0070C0"/>
          <w:sz w:val="40"/>
          <w:szCs w:val="40"/>
          <w:lang w:val="en-US"/>
        </w:rPr>
      </w:pPr>
      <w:r w:rsidRPr="004A792A">
        <w:rPr>
          <w:rFonts w:asciiTheme="majorHAnsi" w:hAnsiTheme="majorHAnsi" w:cstheme="majorHAnsi"/>
          <w:b/>
          <w:smallCaps/>
          <w:color w:val="0070C0"/>
          <w:sz w:val="40"/>
          <w:szCs w:val="40"/>
          <w:lang w:val="en-US"/>
        </w:rPr>
        <w:t xml:space="preserve">List of </w:t>
      </w:r>
      <w:r w:rsidR="000D15B2" w:rsidRPr="004A792A">
        <w:rPr>
          <w:rFonts w:asciiTheme="majorHAnsi" w:hAnsiTheme="majorHAnsi" w:cstheme="majorHAnsi"/>
          <w:b/>
          <w:smallCaps/>
          <w:color w:val="0070C0"/>
          <w:sz w:val="40"/>
          <w:szCs w:val="40"/>
          <w:lang w:val="en-US"/>
        </w:rPr>
        <w:t>t</w:t>
      </w:r>
      <w:r w:rsidR="00C97344" w:rsidRPr="004A792A">
        <w:rPr>
          <w:rFonts w:asciiTheme="majorHAnsi" w:hAnsiTheme="majorHAnsi" w:cstheme="majorHAnsi"/>
          <w:b/>
          <w:smallCaps/>
          <w:color w:val="0070C0"/>
          <w:sz w:val="40"/>
          <w:szCs w:val="40"/>
          <w:lang w:val="en-US"/>
        </w:rPr>
        <w:t>ables</w:t>
      </w:r>
    </w:p>
    <w:p w14:paraId="1C579B4F" w14:textId="77777777" w:rsidR="00DD51BE" w:rsidRDefault="00C97344">
      <w:pPr>
        <w:pStyle w:val="afe"/>
        <w:tabs>
          <w:tab w:val="right" w:leader="dot" w:pos="9019"/>
        </w:tabs>
        <w:rPr>
          <w:rFonts w:eastAsiaTheme="minorEastAsia"/>
          <w:noProof/>
          <w:lang w:val="ru-RU" w:eastAsia="ru-RU"/>
        </w:rPr>
      </w:pPr>
      <w:r w:rsidRPr="004A792A">
        <w:rPr>
          <w:lang w:val="en-US"/>
        </w:rPr>
        <w:fldChar w:fldCharType="begin"/>
      </w:r>
      <w:r w:rsidRPr="004A792A">
        <w:rPr>
          <w:lang w:val="en-US"/>
        </w:rPr>
        <w:instrText xml:space="preserve"> TOC \h \z \c "Table" </w:instrText>
      </w:r>
      <w:r w:rsidRPr="004A792A">
        <w:rPr>
          <w:lang w:val="en-US"/>
        </w:rPr>
        <w:fldChar w:fldCharType="separate"/>
      </w:r>
      <w:hyperlink w:anchor="_Toc533211791" w:history="1">
        <w:r w:rsidR="00DD51BE" w:rsidRPr="00291BA1">
          <w:rPr>
            <w:rStyle w:val="afb"/>
            <w:noProof/>
            <w:lang w:val="en-US"/>
          </w:rPr>
          <w:t>Table 1: Top ten 3-digit occupations with the highest and lowest female shares as of 2016 (%), 2006-2016</w:t>
        </w:r>
        <w:r w:rsidR="00DD51BE">
          <w:rPr>
            <w:noProof/>
            <w:webHidden/>
          </w:rPr>
          <w:tab/>
        </w:r>
        <w:r w:rsidR="00DD51BE">
          <w:rPr>
            <w:noProof/>
            <w:webHidden/>
          </w:rPr>
          <w:fldChar w:fldCharType="begin"/>
        </w:r>
        <w:r w:rsidR="00DD51BE">
          <w:rPr>
            <w:noProof/>
            <w:webHidden/>
          </w:rPr>
          <w:instrText xml:space="preserve"> PAGEREF _Toc533211791 \h </w:instrText>
        </w:r>
        <w:r w:rsidR="00DD51BE">
          <w:rPr>
            <w:noProof/>
            <w:webHidden/>
          </w:rPr>
        </w:r>
        <w:r w:rsidR="00DD51BE">
          <w:rPr>
            <w:noProof/>
            <w:webHidden/>
          </w:rPr>
          <w:fldChar w:fldCharType="separate"/>
        </w:r>
        <w:r w:rsidR="00DD51BE">
          <w:rPr>
            <w:noProof/>
            <w:webHidden/>
          </w:rPr>
          <w:t>7</w:t>
        </w:r>
        <w:r w:rsidR="00DD51BE">
          <w:rPr>
            <w:noProof/>
            <w:webHidden/>
          </w:rPr>
          <w:fldChar w:fldCharType="end"/>
        </w:r>
      </w:hyperlink>
    </w:p>
    <w:p w14:paraId="67EDDDAB" w14:textId="77777777" w:rsidR="00DD51BE" w:rsidRDefault="00993835">
      <w:pPr>
        <w:pStyle w:val="afe"/>
        <w:tabs>
          <w:tab w:val="right" w:leader="dot" w:pos="9019"/>
        </w:tabs>
        <w:rPr>
          <w:rFonts w:eastAsiaTheme="minorEastAsia"/>
          <w:noProof/>
          <w:lang w:val="ru-RU" w:eastAsia="ru-RU"/>
        </w:rPr>
      </w:pPr>
      <w:hyperlink w:anchor="_Toc533211792" w:history="1">
        <w:r w:rsidR="00DD51BE" w:rsidRPr="00291BA1">
          <w:rPr>
            <w:rStyle w:val="afb"/>
            <w:noProof/>
            <w:lang w:val="en-US"/>
          </w:rPr>
          <w:t>Table 2: Employment in female/male-dominated and mixed occupations (% of total employment), 2014-2016</w:t>
        </w:r>
        <w:r w:rsidR="00DD51BE">
          <w:rPr>
            <w:noProof/>
            <w:webHidden/>
          </w:rPr>
          <w:tab/>
        </w:r>
        <w:r w:rsidR="00DD51BE">
          <w:rPr>
            <w:noProof/>
            <w:webHidden/>
          </w:rPr>
          <w:fldChar w:fldCharType="begin"/>
        </w:r>
        <w:r w:rsidR="00DD51BE">
          <w:rPr>
            <w:noProof/>
            <w:webHidden/>
          </w:rPr>
          <w:instrText xml:space="preserve"> PAGEREF _Toc533211792 \h </w:instrText>
        </w:r>
        <w:r w:rsidR="00DD51BE">
          <w:rPr>
            <w:noProof/>
            <w:webHidden/>
          </w:rPr>
        </w:r>
        <w:r w:rsidR="00DD51BE">
          <w:rPr>
            <w:noProof/>
            <w:webHidden/>
          </w:rPr>
          <w:fldChar w:fldCharType="separate"/>
        </w:r>
        <w:r w:rsidR="00DD51BE">
          <w:rPr>
            <w:noProof/>
            <w:webHidden/>
          </w:rPr>
          <w:t>10</w:t>
        </w:r>
        <w:r w:rsidR="00DD51BE">
          <w:rPr>
            <w:noProof/>
            <w:webHidden/>
          </w:rPr>
          <w:fldChar w:fldCharType="end"/>
        </w:r>
      </w:hyperlink>
    </w:p>
    <w:p w14:paraId="2B5DDD43" w14:textId="77777777" w:rsidR="00DD51BE" w:rsidRDefault="00993835">
      <w:pPr>
        <w:pStyle w:val="afe"/>
        <w:tabs>
          <w:tab w:val="right" w:leader="dot" w:pos="9019"/>
        </w:tabs>
        <w:rPr>
          <w:rFonts w:eastAsiaTheme="minorEastAsia"/>
          <w:noProof/>
          <w:lang w:val="ru-RU" w:eastAsia="ru-RU"/>
        </w:rPr>
      </w:pPr>
      <w:hyperlink w:anchor="_Toc533211793" w:history="1">
        <w:r w:rsidR="00DD51BE" w:rsidRPr="00291BA1">
          <w:rPr>
            <w:rStyle w:val="afb"/>
            <w:noProof/>
            <w:lang w:val="en-US"/>
          </w:rPr>
          <w:t>Table 3: Correspondence of education to job reported by employed women and men by female-dominated, mixed or male-dominated field of studies (%), 2016</w:t>
        </w:r>
        <w:r w:rsidR="00DD51BE">
          <w:rPr>
            <w:noProof/>
            <w:webHidden/>
          </w:rPr>
          <w:tab/>
        </w:r>
        <w:r w:rsidR="00DD51BE">
          <w:rPr>
            <w:noProof/>
            <w:webHidden/>
          </w:rPr>
          <w:fldChar w:fldCharType="begin"/>
        </w:r>
        <w:r w:rsidR="00DD51BE">
          <w:rPr>
            <w:noProof/>
            <w:webHidden/>
          </w:rPr>
          <w:instrText xml:space="preserve"> PAGEREF _Toc533211793 \h </w:instrText>
        </w:r>
        <w:r w:rsidR="00DD51BE">
          <w:rPr>
            <w:noProof/>
            <w:webHidden/>
          </w:rPr>
        </w:r>
        <w:r w:rsidR="00DD51BE">
          <w:rPr>
            <w:noProof/>
            <w:webHidden/>
          </w:rPr>
          <w:fldChar w:fldCharType="separate"/>
        </w:r>
        <w:r w:rsidR="00DD51BE">
          <w:rPr>
            <w:noProof/>
            <w:webHidden/>
          </w:rPr>
          <w:t>19</w:t>
        </w:r>
        <w:r w:rsidR="00DD51BE">
          <w:rPr>
            <w:noProof/>
            <w:webHidden/>
          </w:rPr>
          <w:fldChar w:fldCharType="end"/>
        </w:r>
      </w:hyperlink>
    </w:p>
    <w:p w14:paraId="4AFE1BA5" w14:textId="77777777" w:rsidR="00DD51BE" w:rsidRDefault="00993835">
      <w:pPr>
        <w:pStyle w:val="afe"/>
        <w:tabs>
          <w:tab w:val="right" w:leader="dot" w:pos="9019"/>
        </w:tabs>
        <w:rPr>
          <w:rFonts w:eastAsiaTheme="minorEastAsia"/>
          <w:noProof/>
          <w:lang w:val="ru-RU" w:eastAsia="ru-RU"/>
        </w:rPr>
      </w:pPr>
      <w:hyperlink w:anchor="_Toc533211794" w:history="1">
        <w:r w:rsidR="00DD51BE" w:rsidRPr="00291BA1">
          <w:rPr>
            <w:rStyle w:val="afb"/>
            <w:noProof/>
            <w:lang w:val="en-US"/>
          </w:rPr>
          <w:t>Table 4: Determinants of labor force participation of women and men (15-64 years): probit model, 2016</w:t>
        </w:r>
        <w:r w:rsidR="00DD51BE">
          <w:rPr>
            <w:noProof/>
            <w:webHidden/>
          </w:rPr>
          <w:tab/>
        </w:r>
        <w:r w:rsidR="00DD51BE">
          <w:rPr>
            <w:noProof/>
            <w:webHidden/>
          </w:rPr>
          <w:fldChar w:fldCharType="begin"/>
        </w:r>
        <w:r w:rsidR="00DD51BE">
          <w:rPr>
            <w:noProof/>
            <w:webHidden/>
          </w:rPr>
          <w:instrText xml:space="preserve"> PAGEREF _Toc533211794 \h </w:instrText>
        </w:r>
        <w:r w:rsidR="00DD51BE">
          <w:rPr>
            <w:noProof/>
            <w:webHidden/>
          </w:rPr>
        </w:r>
        <w:r w:rsidR="00DD51BE">
          <w:rPr>
            <w:noProof/>
            <w:webHidden/>
          </w:rPr>
          <w:fldChar w:fldCharType="separate"/>
        </w:r>
        <w:r w:rsidR="00DD51BE">
          <w:rPr>
            <w:noProof/>
            <w:webHidden/>
          </w:rPr>
          <w:t>24</w:t>
        </w:r>
        <w:r w:rsidR="00DD51BE">
          <w:rPr>
            <w:noProof/>
            <w:webHidden/>
          </w:rPr>
          <w:fldChar w:fldCharType="end"/>
        </w:r>
      </w:hyperlink>
    </w:p>
    <w:p w14:paraId="11776DA6" w14:textId="77777777" w:rsidR="00DD51BE" w:rsidRDefault="00993835">
      <w:pPr>
        <w:pStyle w:val="afe"/>
        <w:tabs>
          <w:tab w:val="right" w:leader="dot" w:pos="9019"/>
        </w:tabs>
        <w:rPr>
          <w:rFonts w:eastAsiaTheme="minorEastAsia"/>
          <w:noProof/>
          <w:lang w:val="ru-RU" w:eastAsia="ru-RU"/>
        </w:rPr>
      </w:pPr>
      <w:hyperlink w:anchor="_Toc533211795" w:history="1">
        <w:r w:rsidR="00DD51BE" w:rsidRPr="00291BA1">
          <w:rPr>
            <w:rStyle w:val="afb"/>
            <w:noProof/>
            <w:lang w:val="en-US"/>
          </w:rPr>
          <w:t>Table 5: Gender pay gap by ISCO 1-digit occupation (%), 2016</w:t>
        </w:r>
        <w:r w:rsidR="00DD51BE">
          <w:rPr>
            <w:noProof/>
            <w:webHidden/>
          </w:rPr>
          <w:tab/>
        </w:r>
        <w:r w:rsidR="00DD51BE">
          <w:rPr>
            <w:noProof/>
            <w:webHidden/>
          </w:rPr>
          <w:fldChar w:fldCharType="begin"/>
        </w:r>
        <w:r w:rsidR="00DD51BE">
          <w:rPr>
            <w:noProof/>
            <w:webHidden/>
          </w:rPr>
          <w:instrText xml:space="preserve"> PAGEREF _Toc533211795 \h </w:instrText>
        </w:r>
        <w:r w:rsidR="00DD51BE">
          <w:rPr>
            <w:noProof/>
            <w:webHidden/>
          </w:rPr>
        </w:r>
        <w:r w:rsidR="00DD51BE">
          <w:rPr>
            <w:noProof/>
            <w:webHidden/>
          </w:rPr>
          <w:fldChar w:fldCharType="separate"/>
        </w:r>
        <w:r w:rsidR="00DD51BE">
          <w:rPr>
            <w:noProof/>
            <w:webHidden/>
          </w:rPr>
          <w:t>32</w:t>
        </w:r>
        <w:r w:rsidR="00DD51BE">
          <w:rPr>
            <w:noProof/>
            <w:webHidden/>
          </w:rPr>
          <w:fldChar w:fldCharType="end"/>
        </w:r>
      </w:hyperlink>
    </w:p>
    <w:p w14:paraId="2DB63194" w14:textId="77777777" w:rsidR="00DD51BE" w:rsidRDefault="00993835">
      <w:pPr>
        <w:pStyle w:val="afe"/>
        <w:tabs>
          <w:tab w:val="right" w:leader="dot" w:pos="9019"/>
        </w:tabs>
        <w:rPr>
          <w:rFonts w:eastAsiaTheme="minorEastAsia"/>
          <w:noProof/>
          <w:lang w:val="ru-RU" w:eastAsia="ru-RU"/>
        </w:rPr>
      </w:pPr>
      <w:hyperlink w:anchor="_Toc533211796" w:history="1">
        <w:r w:rsidR="00DD51BE" w:rsidRPr="00291BA1">
          <w:rPr>
            <w:rStyle w:val="afb"/>
            <w:noProof/>
            <w:lang w:val="en-US"/>
          </w:rPr>
          <w:t>Table 6: Oaxaca-Blinder decomposition of gender pay gap in log hourly wage, 2010 and 2016</w:t>
        </w:r>
        <w:r w:rsidR="00DD51BE">
          <w:rPr>
            <w:noProof/>
            <w:webHidden/>
          </w:rPr>
          <w:tab/>
        </w:r>
        <w:r w:rsidR="00DD51BE">
          <w:rPr>
            <w:noProof/>
            <w:webHidden/>
          </w:rPr>
          <w:fldChar w:fldCharType="begin"/>
        </w:r>
        <w:r w:rsidR="00DD51BE">
          <w:rPr>
            <w:noProof/>
            <w:webHidden/>
          </w:rPr>
          <w:instrText xml:space="preserve"> PAGEREF _Toc533211796 \h </w:instrText>
        </w:r>
        <w:r w:rsidR="00DD51BE">
          <w:rPr>
            <w:noProof/>
            <w:webHidden/>
          </w:rPr>
        </w:r>
        <w:r w:rsidR="00DD51BE">
          <w:rPr>
            <w:noProof/>
            <w:webHidden/>
          </w:rPr>
          <w:fldChar w:fldCharType="separate"/>
        </w:r>
        <w:r w:rsidR="00DD51BE">
          <w:rPr>
            <w:noProof/>
            <w:webHidden/>
          </w:rPr>
          <w:t>34</w:t>
        </w:r>
        <w:r w:rsidR="00DD51BE">
          <w:rPr>
            <w:noProof/>
            <w:webHidden/>
          </w:rPr>
          <w:fldChar w:fldCharType="end"/>
        </w:r>
      </w:hyperlink>
    </w:p>
    <w:p w14:paraId="4198BE0D" w14:textId="77777777" w:rsidR="00DD51BE" w:rsidRDefault="00993835">
      <w:pPr>
        <w:pStyle w:val="afe"/>
        <w:tabs>
          <w:tab w:val="right" w:leader="dot" w:pos="9019"/>
        </w:tabs>
        <w:rPr>
          <w:rFonts w:eastAsiaTheme="minorEastAsia"/>
          <w:noProof/>
          <w:lang w:val="ru-RU" w:eastAsia="ru-RU"/>
        </w:rPr>
      </w:pPr>
      <w:hyperlink w:anchor="_Toc533211797" w:history="1">
        <w:r w:rsidR="00DD51BE" w:rsidRPr="00291BA1">
          <w:rPr>
            <w:rStyle w:val="afb"/>
            <w:noProof/>
            <w:lang w:val="en-US"/>
          </w:rPr>
          <w:t>Table 7: Wage regression for female and male employees (OLS), 2016</w:t>
        </w:r>
        <w:r w:rsidR="00DD51BE">
          <w:rPr>
            <w:noProof/>
            <w:webHidden/>
          </w:rPr>
          <w:tab/>
        </w:r>
        <w:r w:rsidR="00DD51BE">
          <w:rPr>
            <w:noProof/>
            <w:webHidden/>
          </w:rPr>
          <w:fldChar w:fldCharType="begin"/>
        </w:r>
        <w:r w:rsidR="00DD51BE">
          <w:rPr>
            <w:noProof/>
            <w:webHidden/>
          </w:rPr>
          <w:instrText xml:space="preserve"> PAGEREF _Toc533211797 \h </w:instrText>
        </w:r>
        <w:r w:rsidR="00DD51BE">
          <w:rPr>
            <w:noProof/>
            <w:webHidden/>
          </w:rPr>
        </w:r>
        <w:r w:rsidR="00DD51BE">
          <w:rPr>
            <w:noProof/>
            <w:webHidden/>
          </w:rPr>
          <w:fldChar w:fldCharType="separate"/>
        </w:r>
        <w:r w:rsidR="00DD51BE">
          <w:rPr>
            <w:noProof/>
            <w:webHidden/>
          </w:rPr>
          <w:t>35</w:t>
        </w:r>
        <w:r w:rsidR="00DD51BE">
          <w:rPr>
            <w:noProof/>
            <w:webHidden/>
          </w:rPr>
          <w:fldChar w:fldCharType="end"/>
        </w:r>
      </w:hyperlink>
    </w:p>
    <w:p w14:paraId="1BBFD6E9" w14:textId="77777777" w:rsidR="00DD51BE" w:rsidRDefault="00993835">
      <w:pPr>
        <w:pStyle w:val="afe"/>
        <w:tabs>
          <w:tab w:val="right" w:leader="dot" w:pos="9019"/>
        </w:tabs>
        <w:rPr>
          <w:rFonts w:eastAsiaTheme="minorEastAsia"/>
          <w:noProof/>
          <w:lang w:val="ru-RU" w:eastAsia="ru-RU"/>
        </w:rPr>
      </w:pPr>
      <w:hyperlink w:anchor="_Toc533211798" w:history="1">
        <w:r w:rsidR="00DD51BE" w:rsidRPr="00291BA1">
          <w:rPr>
            <w:rStyle w:val="afb"/>
            <w:noProof/>
            <w:lang w:val="en-US"/>
          </w:rPr>
          <w:t>Table 8: Socio-demographic characteristics of job seekers by gender, 2018</w:t>
        </w:r>
        <w:r w:rsidR="00DD51BE">
          <w:rPr>
            <w:noProof/>
            <w:webHidden/>
          </w:rPr>
          <w:tab/>
        </w:r>
        <w:r w:rsidR="00DD51BE">
          <w:rPr>
            <w:noProof/>
            <w:webHidden/>
          </w:rPr>
          <w:fldChar w:fldCharType="begin"/>
        </w:r>
        <w:r w:rsidR="00DD51BE">
          <w:rPr>
            <w:noProof/>
            <w:webHidden/>
          </w:rPr>
          <w:instrText xml:space="preserve"> PAGEREF _Toc533211798 \h </w:instrText>
        </w:r>
        <w:r w:rsidR="00DD51BE">
          <w:rPr>
            <w:noProof/>
            <w:webHidden/>
          </w:rPr>
        </w:r>
        <w:r w:rsidR="00DD51BE">
          <w:rPr>
            <w:noProof/>
            <w:webHidden/>
          </w:rPr>
          <w:fldChar w:fldCharType="separate"/>
        </w:r>
        <w:r w:rsidR="00DD51BE">
          <w:rPr>
            <w:noProof/>
            <w:webHidden/>
          </w:rPr>
          <w:t>37</w:t>
        </w:r>
        <w:r w:rsidR="00DD51BE">
          <w:rPr>
            <w:noProof/>
            <w:webHidden/>
          </w:rPr>
          <w:fldChar w:fldCharType="end"/>
        </w:r>
      </w:hyperlink>
    </w:p>
    <w:p w14:paraId="29A4687C" w14:textId="77777777" w:rsidR="00DD51BE" w:rsidRDefault="00993835">
      <w:pPr>
        <w:pStyle w:val="afe"/>
        <w:tabs>
          <w:tab w:val="right" w:leader="dot" w:pos="9019"/>
        </w:tabs>
        <w:rPr>
          <w:rFonts w:eastAsiaTheme="minorEastAsia"/>
          <w:noProof/>
          <w:lang w:val="ru-RU" w:eastAsia="ru-RU"/>
        </w:rPr>
      </w:pPr>
      <w:hyperlink w:anchor="_Toc533211799" w:history="1">
        <w:r w:rsidR="00DD51BE" w:rsidRPr="00291BA1">
          <w:rPr>
            <w:rStyle w:val="afb"/>
            <w:noProof/>
            <w:lang w:val="en-US"/>
          </w:rPr>
          <w:t>Table 9: Educational attainment, language and driving skills of female and male job seekers, 2018</w:t>
        </w:r>
        <w:r w:rsidR="00DD51BE">
          <w:rPr>
            <w:noProof/>
            <w:webHidden/>
          </w:rPr>
          <w:tab/>
        </w:r>
        <w:r w:rsidR="00DD51BE">
          <w:rPr>
            <w:noProof/>
            <w:webHidden/>
          </w:rPr>
          <w:fldChar w:fldCharType="begin"/>
        </w:r>
        <w:r w:rsidR="00DD51BE">
          <w:rPr>
            <w:noProof/>
            <w:webHidden/>
          </w:rPr>
          <w:instrText xml:space="preserve"> PAGEREF _Toc533211799 \h </w:instrText>
        </w:r>
        <w:r w:rsidR="00DD51BE">
          <w:rPr>
            <w:noProof/>
            <w:webHidden/>
          </w:rPr>
        </w:r>
        <w:r w:rsidR="00DD51BE">
          <w:rPr>
            <w:noProof/>
            <w:webHidden/>
          </w:rPr>
          <w:fldChar w:fldCharType="separate"/>
        </w:r>
        <w:r w:rsidR="00DD51BE">
          <w:rPr>
            <w:noProof/>
            <w:webHidden/>
          </w:rPr>
          <w:t>39</w:t>
        </w:r>
        <w:r w:rsidR="00DD51BE">
          <w:rPr>
            <w:noProof/>
            <w:webHidden/>
          </w:rPr>
          <w:fldChar w:fldCharType="end"/>
        </w:r>
      </w:hyperlink>
    </w:p>
    <w:p w14:paraId="23492D99" w14:textId="77777777" w:rsidR="00DD51BE" w:rsidRDefault="00993835">
      <w:pPr>
        <w:pStyle w:val="afe"/>
        <w:tabs>
          <w:tab w:val="right" w:leader="dot" w:pos="9019"/>
        </w:tabs>
        <w:rPr>
          <w:rFonts w:eastAsiaTheme="minorEastAsia"/>
          <w:noProof/>
          <w:lang w:val="ru-RU" w:eastAsia="ru-RU"/>
        </w:rPr>
      </w:pPr>
      <w:hyperlink w:anchor="_Toc533211800" w:history="1">
        <w:r w:rsidR="00DD51BE" w:rsidRPr="00291BA1">
          <w:rPr>
            <w:rStyle w:val="afb"/>
            <w:noProof/>
            <w:lang w:val="en-US"/>
          </w:rPr>
          <w:t>Table 10: Work experience of female and male job seekers, 2018</w:t>
        </w:r>
        <w:r w:rsidR="00DD51BE">
          <w:rPr>
            <w:noProof/>
            <w:webHidden/>
          </w:rPr>
          <w:tab/>
        </w:r>
        <w:r w:rsidR="00DD51BE">
          <w:rPr>
            <w:noProof/>
            <w:webHidden/>
          </w:rPr>
          <w:fldChar w:fldCharType="begin"/>
        </w:r>
        <w:r w:rsidR="00DD51BE">
          <w:rPr>
            <w:noProof/>
            <w:webHidden/>
          </w:rPr>
          <w:instrText xml:space="preserve"> PAGEREF _Toc533211800 \h </w:instrText>
        </w:r>
        <w:r w:rsidR="00DD51BE">
          <w:rPr>
            <w:noProof/>
            <w:webHidden/>
          </w:rPr>
        </w:r>
        <w:r w:rsidR="00DD51BE">
          <w:rPr>
            <w:noProof/>
            <w:webHidden/>
          </w:rPr>
          <w:fldChar w:fldCharType="separate"/>
        </w:r>
        <w:r w:rsidR="00DD51BE">
          <w:rPr>
            <w:noProof/>
            <w:webHidden/>
          </w:rPr>
          <w:t>41</w:t>
        </w:r>
        <w:r w:rsidR="00DD51BE">
          <w:rPr>
            <w:noProof/>
            <w:webHidden/>
          </w:rPr>
          <w:fldChar w:fldCharType="end"/>
        </w:r>
      </w:hyperlink>
    </w:p>
    <w:p w14:paraId="4967042C" w14:textId="77777777" w:rsidR="00DD51BE" w:rsidRDefault="00993835">
      <w:pPr>
        <w:pStyle w:val="afe"/>
        <w:tabs>
          <w:tab w:val="right" w:leader="dot" w:pos="9019"/>
        </w:tabs>
        <w:rPr>
          <w:rFonts w:eastAsiaTheme="minorEastAsia"/>
          <w:noProof/>
          <w:lang w:val="ru-RU" w:eastAsia="ru-RU"/>
        </w:rPr>
      </w:pPr>
      <w:hyperlink w:anchor="_Toc533211801" w:history="1">
        <w:r w:rsidR="00DD51BE" w:rsidRPr="00291BA1">
          <w:rPr>
            <w:rStyle w:val="afb"/>
            <w:noProof/>
            <w:lang w:val="en-US"/>
          </w:rPr>
          <w:t>Table 11: Salary expectations of female and male job seekers, 2018</w:t>
        </w:r>
        <w:r w:rsidR="00DD51BE">
          <w:rPr>
            <w:noProof/>
            <w:webHidden/>
          </w:rPr>
          <w:tab/>
        </w:r>
        <w:r w:rsidR="00DD51BE">
          <w:rPr>
            <w:noProof/>
            <w:webHidden/>
          </w:rPr>
          <w:fldChar w:fldCharType="begin"/>
        </w:r>
        <w:r w:rsidR="00DD51BE">
          <w:rPr>
            <w:noProof/>
            <w:webHidden/>
          </w:rPr>
          <w:instrText xml:space="preserve"> PAGEREF _Toc533211801 \h </w:instrText>
        </w:r>
        <w:r w:rsidR="00DD51BE">
          <w:rPr>
            <w:noProof/>
            <w:webHidden/>
          </w:rPr>
        </w:r>
        <w:r w:rsidR="00DD51BE">
          <w:rPr>
            <w:noProof/>
            <w:webHidden/>
          </w:rPr>
          <w:fldChar w:fldCharType="separate"/>
        </w:r>
        <w:r w:rsidR="00DD51BE">
          <w:rPr>
            <w:noProof/>
            <w:webHidden/>
          </w:rPr>
          <w:t>47</w:t>
        </w:r>
        <w:r w:rsidR="00DD51BE">
          <w:rPr>
            <w:noProof/>
            <w:webHidden/>
          </w:rPr>
          <w:fldChar w:fldCharType="end"/>
        </w:r>
      </w:hyperlink>
    </w:p>
    <w:p w14:paraId="786EE6D0" w14:textId="77777777" w:rsidR="00F62CBA" w:rsidRDefault="00C97344" w:rsidP="00092BE2">
      <w:pPr>
        <w:spacing w:before="0" w:line="259" w:lineRule="auto"/>
        <w:jc w:val="both"/>
        <w:rPr>
          <w:lang w:val="en-US"/>
        </w:rPr>
      </w:pPr>
      <w:r w:rsidRPr="004A792A">
        <w:rPr>
          <w:lang w:val="en-US"/>
        </w:rPr>
        <w:fldChar w:fldCharType="end"/>
      </w:r>
    </w:p>
    <w:p w14:paraId="464F495A" w14:textId="19101CAB" w:rsidR="00C97344" w:rsidRPr="004A792A" w:rsidRDefault="00C97344" w:rsidP="00D44BBB">
      <w:pPr>
        <w:spacing w:before="0" w:line="259" w:lineRule="auto"/>
        <w:jc w:val="both"/>
        <w:rPr>
          <w:lang w:val="en-US"/>
        </w:rPr>
      </w:pPr>
    </w:p>
    <w:p w14:paraId="6ABDD876" w14:textId="77777777" w:rsidR="00D87039" w:rsidRPr="004A792A" w:rsidRDefault="00D87039" w:rsidP="00D44BBB">
      <w:pPr>
        <w:spacing w:before="0" w:line="259" w:lineRule="auto"/>
        <w:jc w:val="both"/>
        <w:rPr>
          <w:lang w:val="en-US"/>
        </w:rPr>
      </w:pPr>
      <w:r w:rsidRPr="004A792A">
        <w:rPr>
          <w:lang w:val="en-US"/>
        </w:rPr>
        <w:br w:type="page"/>
      </w:r>
    </w:p>
    <w:p w14:paraId="10260DBF" w14:textId="77777777" w:rsidR="00D202DA" w:rsidRPr="004A792A" w:rsidRDefault="00D202DA" w:rsidP="00D44BBB">
      <w:pPr>
        <w:pStyle w:val="Headingoverview"/>
        <w:jc w:val="both"/>
        <w:rPr>
          <w:color w:val="0070C0"/>
        </w:rPr>
      </w:pPr>
      <w:bookmarkStart w:id="2" w:name="_Toc533211726"/>
      <w:r w:rsidRPr="004A792A">
        <w:rPr>
          <w:color w:val="0070C0"/>
        </w:rPr>
        <w:lastRenderedPageBreak/>
        <w:t>Acknowledgements</w:t>
      </w:r>
      <w:bookmarkEnd w:id="2"/>
    </w:p>
    <w:p w14:paraId="1EEA1AED" w14:textId="44BB7CF5" w:rsidR="00984B70" w:rsidRPr="004A792A" w:rsidRDefault="002E7FEC" w:rsidP="00984B70">
      <w:pPr>
        <w:jc w:val="both"/>
        <w:rPr>
          <w:lang w:val="en-US"/>
        </w:rPr>
      </w:pPr>
      <w:r w:rsidRPr="0059259A">
        <w:rPr>
          <w:lang w:val="en-US"/>
        </w:rPr>
        <w:t>This report</w:t>
      </w:r>
      <w:r w:rsidR="00984B70" w:rsidRPr="0059259A">
        <w:rPr>
          <w:lang w:val="en-US"/>
        </w:rPr>
        <w:t xml:space="preserve"> has been prepared by Olga </w:t>
      </w:r>
      <w:proofErr w:type="spellStart"/>
      <w:r w:rsidR="00984B70" w:rsidRPr="0059259A">
        <w:rPr>
          <w:lang w:val="en-US"/>
        </w:rPr>
        <w:t>Kupets</w:t>
      </w:r>
      <w:proofErr w:type="spellEnd"/>
      <w:r w:rsidR="00984B70" w:rsidRPr="0059259A">
        <w:rPr>
          <w:lang w:val="en-US"/>
        </w:rPr>
        <w:t xml:space="preserve">. It has </w:t>
      </w:r>
      <w:r w:rsidR="00E813C5" w:rsidRPr="0059259A">
        <w:rPr>
          <w:lang w:val="en-US"/>
        </w:rPr>
        <w:t xml:space="preserve">greatly </w:t>
      </w:r>
      <w:r w:rsidR="00984B70" w:rsidRPr="0059259A">
        <w:rPr>
          <w:lang w:val="en-US"/>
        </w:rPr>
        <w:t xml:space="preserve">benefitted from </w:t>
      </w:r>
      <w:r w:rsidR="00E813C5" w:rsidRPr="0059259A">
        <w:rPr>
          <w:lang w:val="en-US"/>
        </w:rPr>
        <w:t xml:space="preserve">the </w:t>
      </w:r>
      <w:r w:rsidR="00984B70" w:rsidRPr="0059259A">
        <w:rPr>
          <w:lang w:val="en-US"/>
        </w:rPr>
        <w:t xml:space="preserve">overall guidance </w:t>
      </w:r>
      <w:r w:rsidR="00E813C5" w:rsidRPr="0059259A">
        <w:rPr>
          <w:lang w:val="en-US"/>
        </w:rPr>
        <w:t xml:space="preserve">and valuable suggestions </w:t>
      </w:r>
      <w:r w:rsidR="00984B70" w:rsidRPr="0059259A">
        <w:rPr>
          <w:lang w:val="en-US"/>
        </w:rPr>
        <w:t xml:space="preserve">from Victoria Levin and </w:t>
      </w:r>
      <w:proofErr w:type="spellStart"/>
      <w:r w:rsidR="00984B70" w:rsidRPr="0059259A">
        <w:rPr>
          <w:lang w:val="en-US"/>
        </w:rPr>
        <w:t>Yu</w:t>
      </w:r>
      <w:r w:rsidR="00310D21" w:rsidRPr="0059259A">
        <w:rPr>
          <w:lang w:val="en-US"/>
        </w:rPr>
        <w:t>lia</w:t>
      </w:r>
      <w:proofErr w:type="spellEnd"/>
      <w:r w:rsidR="00310D21" w:rsidRPr="0059259A">
        <w:rPr>
          <w:lang w:val="en-US"/>
        </w:rPr>
        <w:t xml:space="preserve"> </w:t>
      </w:r>
      <w:proofErr w:type="spellStart"/>
      <w:r w:rsidR="00310D21" w:rsidRPr="0059259A">
        <w:rPr>
          <w:lang w:val="en-US"/>
        </w:rPr>
        <w:t>Smolyar</w:t>
      </w:r>
      <w:proofErr w:type="spellEnd"/>
      <w:r w:rsidR="00310D21" w:rsidRPr="0059259A">
        <w:rPr>
          <w:lang w:val="en-US"/>
        </w:rPr>
        <w:t xml:space="preserve"> (Task Team Leaders) and comments from external reviewers (</w:t>
      </w:r>
      <w:proofErr w:type="spellStart"/>
      <w:r w:rsidR="00310D21" w:rsidRPr="0059259A">
        <w:rPr>
          <w:lang w:val="en-US"/>
        </w:rPr>
        <w:t>Cem</w:t>
      </w:r>
      <w:proofErr w:type="spellEnd"/>
      <w:r w:rsidR="00310D21" w:rsidRPr="0059259A">
        <w:rPr>
          <w:lang w:val="en-US"/>
        </w:rPr>
        <w:t xml:space="preserve"> Mete, Ana Maria Munoz </w:t>
      </w:r>
      <w:proofErr w:type="spellStart"/>
      <w:r w:rsidR="00310D21" w:rsidRPr="0059259A">
        <w:rPr>
          <w:lang w:val="en-US"/>
        </w:rPr>
        <w:t>Boudet</w:t>
      </w:r>
      <w:proofErr w:type="spellEnd"/>
      <w:r w:rsidR="00310D21" w:rsidRPr="0059259A">
        <w:rPr>
          <w:lang w:val="en-US"/>
        </w:rPr>
        <w:t xml:space="preserve"> and </w:t>
      </w:r>
      <w:proofErr w:type="spellStart"/>
      <w:r w:rsidR="00310D21" w:rsidRPr="0059259A">
        <w:rPr>
          <w:lang w:val="en-US"/>
        </w:rPr>
        <w:t>Aline</w:t>
      </w:r>
      <w:proofErr w:type="spellEnd"/>
      <w:r w:rsidR="00310D21" w:rsidRPr="0059259A">
        <w:rPr>
          <w:lang w:val="en-US"/>
        </w:rPr>
        <w:t xml:space="preserve"> </w:t>
      </w:r>
      <w:proofErr w:type="spellStart"/>
      <w:r w:rsidR="00310D21" w:rsidRPr="0059259A">
        <w:rPr>
          <w:lang w:val="en-US"/>
        </w:rPr>
        <w:t>Coudouel</w:t>
      </w:r>
      <w:proofErr w:type="spellEnd"/>
      <w:r w:rsidR="00310D21" w:rsidRPr="0059259A">
        <w:rPr>
          <w:lang w:val="en-US"/>
        </w:rPr>
        <w:t>).</w:t>
      </w:r>
    </w:p>
    <w:p w14:paraId="1617B4F7" w14:textId="77777777" w:rsidR="00984B70" w:rsidRDefault="00984B70" w:rsidP="00984B70">
      <w:pPr>
        <w:jc w:val="both"/>
        <w:rPr>
          <w:lang w:val="en-US"/>
        </w:rPr>
      </w:pPr>
      <w:r w:rsidRPr="004A792A">
        <w:rPr>
          <w:lang w:val="en-US"/>
        </w:rPr>
        <w:t>The team is grateful to the National Bureau of Statistics of the Republic of Moldova for access to the Labor Force Survey data and helpful guidance</w:t>
      </w:r>
      <w:r w:rsidR="00E813C5">
        <w:rPr>
          <w:lang w:val="en-US"/>
        </w:rPr>
        <w:t>,</w:t>
      </w:r>
      <w:r w:rsidRPr="004A792A">
        <w:rPr>
          <w:lang w:val="en-US"/>
        </w:rPr>
        <w:t xml:space="preserve"> to Alex </w:t>
      </w:r>
      <w:proofErr w:type="spellStart"/>
      <w:r w:rsidRPr="004A792A">
        <w:rPr>
          <w:lang w:val="en-US"/>
        </w:rPr>
        <w:t>Svet</w:t>
      </w:r>
      <w:proofErr w:type="spellEnd"/>
      <w:r w:rsidRPr="004A792A">
        <w:rPr>
          <w:lang w:val="en-US"/>
        </w:rPr>
        <w:t xml:space="preserve"> and Stanislav </w:t>
      </w:r>
      <w:proofErr w:type="spellStart"/>
      <w:r w:rsidRPr="004A792A">
        <w:rPr>
          <w:lang w:val="en-US"/>
        </w:rPr>
        <w:t>Oaserele</w:t>
      </w:r>
      <w:proofErr w:type="spellEnd"/>
      <w:r w:rsidRPr="004A792A">
        <w:rPr>
          <w:lang w:val="en-US"/>
        </w:rPr>
        <w:t xml:space="preserve"> for scraping of resumes from </w:t>
      </w:r>
      <w:r w:rsidR="005532CC">
        <w:rPr>
          <w:lang w:val="en-US"/>
        </w:rPr>
        <w:t xml:space="preserve">the </w:t>
      </w:r>
      <w:r w:rsidRPr="004A792A">
        <w:rPr>
          <w:lang w:val="en-US"/>
        </w:rPr>
        <w:t>Moldovan job portal</w:t>
      </w:r>
      <w:r w:rsidR="00E813C5">
        <w:rPr>
          <w:lang w:val="en-US"/>
        </w:rPr>
        <w:t xml:space="preserve">, and to </w:t>
      </w:r>
      <w:proofErr w:type="spellStart"/>
      <w:r w:rsidR="00E813C5">
        <w:rPr>
          <w:lang w:val="en-US"/>
        </w:rPr>
        <w:t>Mykhailo</w:t>
      </w:r>
      <w:proofErr w:type="spellEnd"/>
      <w:r w:rsidR="00E813C5">
        <w:rPr>
          <w:lang w:val="en-US"/>
        </w:rPr>
        <w:t xml:space="preserve"> </w:t>
      </w:r>
      <w:proofErr w:type="spellStart"/>
      <w:r w:rsidR="00E813C5">
        <w:rPr>
          <w:lang w:val="en-US"/>
        </w:rPr>
        <w:t>Babii</w:t>
      </w:r>
      <w:proofErr w:type="spellEnd"/>
      <w:r w:rsidR="00E813C5">
        <w:rPr>
          <w:lang w:val="en-US"/>
        </w:rPr>
        <w:t xml:space="preserve"> for assistance in preparing data with scraped resumes for the statistical analysis</w:t>
      </w:r>
      <w:r w:rsidRPr="004A792A">
        <w:rPr>
          <w:lang w:val="en-US"/>
        </w:rPr>
        <w:t>.</w:t>
      </w:r>
    </w:p>
    <w:p w14:paraId="4910F750" w14:textId="77777777" w:rsidR="0059259A" w:rsidRDefault="00206AA9" w:rsidP="00984B70">
      <w:pPr>
        <w:jc w:val="both"/>
        <w:rPr>
          <w:lang w:val="en-US"/>
        </w:rPr>
      </w:pPr>
      <w:r>
        <w:rPr>
          <w:lang w:val="en-US"/>
        </w:rPr>
        <w:t>The team is also grateful to participants of the validation workshop on October 22, 2018, in Chisinau for useful comments and suggestions.</w:t>
      </w:r>
    </w:p>
    <w:p w14:paraId="26862A6B" w14:textId="4E57D71D" w:rsidR="00206AA9" w:rsidRDefault="0041250C" w:rsidP="00984B70">
      <w:pPr>
        <w:jc w:val="both"/>
      </w:pPr>
      <w:r w:rsidRPr="0041250C">
        <w:t>The findings, interpretations, conclusions, and recommendations expressed in this report are those of the author</w:t>
      </w:r>
      <w:r>
        <w:t>(s)</w:t>
      </w:r>
      <w:r w:rsidRPr="0041250C">
        <w:t xml:space="preserve"> and do not necessarily reflect the views of the World Bank Group.</w:t>
      </w:r>
    </w:p>
    <w:p w14:paraId="3746F55D" w14:textId="4D2E8AAA" w:rsidR="0059259A" w:rsidRPr="004A792A" w:rsidRDefault="0059259A" w:rsidP="00984B70">
      <w:pPr>
        <w:jc w:val="both"/>
        <w:rPr>
          <w:lang w:val="en-US"/>
        </w:rPr>
      </w:pPr>
    </w:p>
    <w:p w14:paraId="041617AD" w14:textId="77777777" w:rsidR="00984B70" w:rsidRPr="004A792A" w:rsidRDefault="00984B70">
      <w:pPr>
        <w:spacing w:before="0" w:after="160" w:line="259" w:lineRule="auto"/>
        <w:rPr>
          <w:lang w:val="en-US"/>
        </w:rPr>
      </w:pPr>
      <w:r w:rsidRPr="004A792A">
        <w:rPr>
          <w:lang w:val="en-US"/>
        </w:rPr>
        <w:br w:type="page"/>
      </w:r>
    </w:p>
    <w:p w14:paraId="5E97024A" w14:textId="77777777" w:rsidR="00984B70" w:rsidRPr="004A792A" w:rsidRDefault="00984B70" w:rsidP="00984B70">
      <w:pPr>
        <w:pStyle w:val="Headingoverview"/>
        <w:jc w:val="both"/>
        <w:rPr>
          <w:color w:val="0070C0"/>
        </w:rPr>
      </w:pPr>
      <w:bookmarkStart w:id="3" w:name="_Toc533211727"/>
      <w:r w:rsidRPr="004A792A">
        <w:rPr>
          <w:color w:val="0070C0"/>
        </w:rPr>
        <w:lastRenderedPageBreak/>
        <w:t>List of acronyms and abbreviations</w:t>
      </w:r>
      <w:bookmarkEnd w:id="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6"/>
        <w:gridCol w:w="7513"/>
      </w:tblGrid>
      <w:tr w:rsidR="00810D3F" w:rsidRPr="004A792A" w14:paraId="5F9B1F14" w14:textId="77777777" w:rsidTr="00984B70">
        <w:trPr>
          <w:trHeight w:val="283"/>
        </w:trPr>
        <w:tc>
          <w:tcPr>
            <w:tcW w:w="1266" w:type="dxa"/>
            <w:shd w:val="clear" w:color="auto" w:fill="FFFFFF"/>
          </w:tcPr>
          <w:p w14:paraId="623FC4CC" w14:textId="77777777" w:rsidR="00810D3F" w:rsidRPr="004A792A" w:rsidRDefault="00810D3F" w:rsidP="00984B70">
            <w:pPr>
              <w:pStyle w:val="61"/>
              <w:shd w:val="clear" w:color="auto" w:fill="auto"/>
              <w:spacing w:line="360" w:lineRule="auto"/>
              <w:rPr>
                <w:rStyle w:val="12"/>
                <w:sz w:val="22"/>
                <w:szCs w:val="22"/>
              </w:rPr>
            </w:pPr>
            <w:r w:rsidRPr="004A792A">
              <w:rPr>
                <w:rStyle w:val="12"/>
                <w:sz w:val="22"/>
                <w:szCs w:val="22"/>
              </w:rPr>
              <w:t>EC</w:t>
            </w:r>
          </w:p>
        </w:tc>
        <w:tc>
          <w:tcPr>
            <w:tcW w:w="7513" w:type="dxa"/>
            <w:shd w:val="clear" w:color="auto" w:fill="FFFFFF"/>
          </w:tcPr>
          <w:p w14:paraId="436D9FE0" w14:textId="77777777" w:rsidR="00810D3F" w:rsidRPr="004A792A" w:rsidRDefault="00810D3F" w:rsidP="00810D3F">
            <w:pPr>
              <w:pStyle w:val="61"/>
              <w:shd w:val="clear" w:color="auto" w:fill="auto"/>
              <w:spacing w:line="360" w:lineRule="auto"/>
              <w:rPr>
                <w:rStyle w:val="12"/>
                <w:sz w:val="22"/>
                <w:szCs w:val="22"/>
              </w:rPr>
            </w:pPr>
            <w:r w:rsidRPr="004A792A">
              <w:rPr>
                <w:rStyle w:val="12"/>
                <w:sz w:val="22"/>
                <w:szCs w:val="22"/>
              </w:rPr>
              <w:t>European Commission</w:t>
            </w:r>
          </w:p>
        </w:tc>
      </w:tr>
      <w:tr w:rsidR="00984B70" w:rsidRPr="004A792A" w14:paraId="016DD1B8" w14:textId="77777777" w:rsidTr="00984B70">
        <w:trPr>
          <w:trHeight w:val="283"/>
        </w:trPr>
        <w:tc>
          <w:tcPr>
            <w:tcW w:w="1266" w:type="dxa"/>
            <w:shd w:val="clear" w:color="auto" w:fill="FFFFFF"/>
          </w:tcPr>
          <w:p w14:paraId="5D041FC6"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ECA</w:t>
            </w:r>
          </w:p>
        </w:tc>
        <w:tc>
          <w:tcPr>
            <w:tcW w:w="7513" w:type="dxa"/>
            <w:shd w:val="clear" w:color="auto" w:fill="FFFFFF"/>
          </w:tcPr>
          <w:p w14:paraId="0243E326"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Europe and Central Asia</w:t>
            </w:r>
          </w:p>
        </w:tc>
      </w:tr>
      <w:tr w:rsidR="00984B70" w:rsidRPr="004A792A" w14:paraId="532CDB3E" w14:textId="77777777" w:rsidTr="00984B70">
        <w:trPr>
          <w:trHeight w:val="365"/>
        </w:trPr>
        <w:tc>
          <w:tcPr>
            <w:tcW w:w="1266" w:type="dxa"/>
            <w:shd w:val="clear" w:color="auto" w:fill="FFFFFF"/>
          </w:tcPr>
          <w:p w14:paraId="6D133A10"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EGGE</w:t>
            </w:r>
          </w:p>
        </w:tc>
        <w:tc>
          <w:tcPr>
            <w:tcW w:w="7513" w:type="dxa"/>
            <w:shd w:val="clear" w:color="auto" w:fill="FFFFFF"/>
          </w:tcPr>
          <w:p w14:paraId="15A76DD2"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European Commission's Expert Group on Gender and Employment</w:t>
            </w:r>
          </w:p>
        </w:tc>
      </w:tr>
      <w:tr w:rsidR="00984B70" w:rsidRPr="004A792A" w14:paraId="2AC03056" w14:textId="77777777" w:rsidTr="00984B70">
        <w:trPr>
          <w:trHeight w:val="360"/>
        </w:trPr>
        <w:tc>
          <w:tcPr>
            <w:tcW w:w="1266" w:type="dxa"/>
            <w:shd w:val="clear" w:color="auto" w:fill="FFFFFF"/>
          </w:tcPr>
          <w:p w14:paraId="7AE3BE13"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EIGE</w:t>
            </w:r>
          </w:p>
        </w:tc>
        <w:tc>
          <w:tcPr>
            <w:tcW w:w="7513" w:type="dxa"/>
            <w:shd w:val="clear" w:color="auto" w:fill="FFFFFF"/>
          </w:tcPr>
          <w:p w14:paraId="0DFFD5F7"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European Institute for Gender Equality</w:t>
            </w:r>
          </w:p>
        </w:tc>
      </w:tr>
      <w:tr w:rsidR="00965274" w:rsidRPr="004A792A" w14:paraId="5482FDED" w14:textId="77777777" w:rsidTr="00984B70">
        <w:trPr>
          <w:trHeight w:val="360"/>
        </w:trPr>
        <w:tc>
          <w:tcPr>
            <w:tcW w:w="1266" w:type="dxa"/>
            <w:shd w:val="clear" w:color="auto" w:fill="FFFFFF"/>
          </w:tcPr>
          <w:p w14:paraId="2A0B1149" w14:textId="77777777" w:rsidR="00965274" w:rsidRPr="004A792A" w:rsidRDefault="00965274" w:rsidP="00984B70">
            <w:pPr>
              <w:pStyle w:val="61"/>
              <w:shd w:val="clear" w:color="auto" w:fill="auto"/>
              <w:spacing w:line="360" w:lineRule="auto"/>
              <w:rPr>
                <w:rStyle w:val="12"/>
                <w:sz w:val="22"/>
                <w:szCs w:val="22"/>
              </w:rPr>
            </w:pPr>
            <w:r w:rsidRPr="004A792A">
              <w:rPr>
                <w:rStyle w:val="12"/>
                <w:sz w:val="22"/>
                <w:szCs w:val="22"/>
              </w:rPr>
              <w:t>EU</w:t>
            </w:r>
          </w:p>
        </w:tc>
        <w:tc>
          <w:tcPr>
            <w:tcW w:w="7513" w:type="dxa"/>
            <w:shd w:val="clear" w:color="auto" w:fill="FFFFFF"/>
          </w:tcPr>
          <w:p w14:paraId="05A2E049" w14:textId="77777777" w:rsidR="00965274" w:rsidRPr="004A792A" w:rsidRDefault="00965274" w:rsidP="00965274">
            <w:pPr>
              <w:pStyle w:val="61"/>
              <w:shd w:val="clear" w:color="auto" w:fill="auto"/>
              <w:spacing w:line="360" w:lineRule="auto"/>
              <w:rPr>
                <w:rStyle w:val="12"/>
                <w:sz w:val="22"/>
                <w:szCs w:val="22"/>
              </w:rPr>
            </w:pPr>
            <w:r w:rsidRPr="004A792A">
              <w:rPr>
                <w:rStyle w:val="12"/>
                <w:sz w:val="22"/>
                <w:szCs w:val="22"/>
              </w:rPr>
              <w:t>European Union</w:t>
            </w:r>
          </w:p>
        </w:tc>
      </w:tr>
      <w:tr w:rsidR="00984B70" w:rsidRPr="004A792A" w14:paraId="0BE32729" w14:textId="77777777" w:rsidTr="00984B70">
        <w:trPr>
          <w:trHeight w:val="350"/>
        </w:trPr>
        <w:tc>
          <w:tcPr>
            <w:tcW w:w="1266" w:type="dxa"/>
            <w:shd w:val="clear" w:color="auto" w:fill="FFFFFF"/>
          </w:tcPr>
          <w:p w14:paraId="405449C9"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ICT</w:t>
            </w:r>
          </w:p>
        </w:tc>
        <w:tc>
          <w:tcPr>
            <w:tcW w:w="7513" w:type="dxa"/>
            <w:shd w:val="clear" w:color="auto" w:fill="FFFFFF"/>
          </w:tcPr>
          <w:p w14:paraId="7C9F71F1"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Information and Communication Technology</w:t>
            </w:r>
          </w:p>
        </w:tc>
      </w:tr>
      <w:tr w:rsidR="003B2742" w:rsidRPr="004A792A" w14:paraId="240E3988" w14:textId="77777777" w:rsidTr="00984B70">
        <w:trPr>
          <w:trHeight w:val="350"/>
        </w:trPr>
        <w:tc>
          <w:tcPr>
            <w:tcW w:w="1266" w:type="dxa"/>
            <w:shd w:val="clear" w:color="auto" w:fill="FFFFFF"/>
          </w:tcPr>
          <w:p w14:paraId="24620612" w14:textId="77777777" w:rsidR="003B2742" w:rsidRPr="004A792A" w:rsidRDefault="003B2742" w:rsidP="00984B70">
            <w:pPr>
              <w:pStyle w:val="61"/>
              <w:shd w:val="clear" w:color="auto" w:fill="auto"/>
              <w:spacing w:line="360" w:lineRule="auto"/>
              <w:rPr>
                <w:rStyle w:val="12"/>
                <w:sz w:val="22"/>
                <w:szCs w:val="22"/>
              </w:rPr>
            </w:pPr>
            <w:r>
              <w:rPr>
                <w:rStyle w:val="12"/>
                <w:sz w:val="22"/>
                <w:szCs w:val="22"/>
              </w:rPr>
              <w:t>ILO</w:t>
            </w:r>
          </w:p>
        </w:tc>
        <w:tc>
          <w:tcPr>
            <w:tcW w:w="7513" w:type="dxa"/>
            <w:shd w:val="clear" w:color="auto" w:fill="FFFFFF"/>
          </w:tcPr>
          <w:p w14:paraId="5F8FA087" w14:textId="77777777" w:rsidR="003B2742" w:rsidRPr="004A792A" w:rsidRDefault="003B2742" w:rsidP="00984B70">
            <w:pPr>
              <w:pStyle w:val="61"/>
              <w:shd w:val="clear" w:color="auto" w:fill="auto"/>
              <w:spacing w:line="360" w:lineRule="auto"/>
              <w:rPr>
                <w:rStyle w:val="12"/>
                <w:sz w:val="22"/>
                <w:szCs w:val="22"/>
              </w:rPr>
            </w:pPr>
            <w:r>
              <w:rPr>
                <w:rStyle w:val="12"/>
                <w:sz w:val="22"/>
                <w:szCs w:val="22"/>
              </w:rPr>
              <w:t xml:space="preserve">International </w:t>
            </w:r>
            <w:proofErr w:type="spellStart"/>
            <w:r>
              <w:rPr>
                <w:rStyle w:val="12"/>
                <w:sz w:val="22"/>
                <w:szCs w:val="22"/>
              </w:rPr>
              <w:t>Labour</w:t>
            </w:r>
            <w:proofErr w:type="spellEnd"/>
            <w:r>
              <w:rPr>
                <w:rStyle w:val="12"/>
                <w:sz w:val="22"/>
                <w:szCs w:val="22"/>
              </w:rPr>
              <w:t xml:space="preserve"> Organization </w:t>
            </w:r>
          </w:p>
        </w:tc>
      </w:tr>
      <w:tr w:rsidR="00984B70" w:rsidRPr="004A792A" w14:paraId="1E864097" w14:textId="77777777" w:rsidTr="00984B70">
        <w:trPr>
          <w:trHeight w:val="360"/>
        </w:trPr>
        <w:tc>
          <w:tcPr>
            <w:tcW w:w="1266" w:type="dxa"/>
            <w:shd w:val="clear" w:color="auto" w:fill="FFFFFF"/>
          </w:tcPr>
          <w:p w14:paraId="50C1CBC1"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ID</w:t>
            </w:r>
          </w:p>
        </w:tc>
        <w:tc>
          <w:tcPr>
            <w:tcW w:w="7513" w:type="dxa"/>
            <w:shd w:val="clear" w:color="auto" w:fill="FFFFFF"/>
          </w:tcPr>
          <w:p w14:paraId="35B2918B"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Index of Dissimilarity</w:t>
            </w:r>
          </w:p>
        </w:tc>
      </w:tr>
      <w:tr w:rsidR="00097D3F" w:rsidRPr="004A792A" w14:paraId="1C9E5BE5" w14:textId="77777777" w:rsidTr="00984B70">
        <w:trPr>
          <w:trHeight w:val="360"/>
        </w:trPr>
        <w:tc>
          <w:tcPr>
            <w:tcW w:w="1266" w:type="dxa"/>
            <w:shd w:val="clear" w:color="auto" w:fill="FFFFFF"/>
          </w:tcPr>
          <w:p w14:paraId="1F689216" w14:textId="77777777" w:rsidR="00097D3F" w:rsidRPr="004A792A" w:rsidRDefault="00097D3F" w:rsidP="00097D3F">
            <w:pPr>
              <w:pStyle w:val="61"/>
              <w:shd w:val="clear" w:color="auto" w:fill="auto"/>
              <w:spacing w:line="360" w:lineRule="auto"/>
              <w:rPr>
                <w:rStyle w:val="12"/>
                <w:sz w:val="22"/>
                <w:szCs w:val="22"/>
              </w:rPr>
            </w:pPr>
            <w:r w:rsidRPr="004A792A">
              <w:rPr>
                <w:rStyle w:val="12"/>
                <w:sz w:val="22"/>
                <w:szCs w:val="22"/>
              </w:rPr>
              <w:t>IP</w:t>
            </w:r>
          </w:p>
        </w:tc>
        <w:tc>
          <w:tcPr>
            <w:tcW w:w="7513" w:type="dxa"/>
            <w:shd w:val="clear" w:color="auto" w:fill="FFFFFF"/>
          </w:tcPr>
          <w:p w14:paraId="09B9166F" w14:textId="77777777" w:rsidR="00097D3F" w:rsidRPr="004A792A" w:rsidRDefault="00097D3F" w:rsidP="00984B70">
            <w:pPr>
              <w:pStyle w:val="61"/>
              <w:shd w:val="clear" w:color="auto" w:fill="auto"/>
              <w:spacing w:line="360" w:lineRule="auto"/>
              <w:rPr>
                <w:rStyle w:val="12"/>
                <w:sz w:val="22"/>
                <w:szCs w:val="22"/>
              </w:rPr>
            </w:pPr>
            <w:proofErr w:type="spellStart"/>
            <w:r w:rsidRPr="004A792A">
              <w:rPr>
                <w:rStyle w:val="12"/>
                <w:sz w:val="22"/>
                <w:szCs w:val="22"/>
              </w:rPr>
              <w:t>Karmel</w:t>
            </w:r>
            <w:proofErr w:type="spellEnd"/>
            <w:r w:rsidRPr="004A792A">
              <w:rPr>
                <w:rStyle w:val="12"/>
                <w:sz w:val="22"/>
                <w:szCs w:val="22"/>
              </w:rPr>
              <w:t xml:space="preserve"> and </w:t>
            </w:r>
            <w:proofErr w:type="spellStart"/>
            <w:r w:rsidRPr="004A792A">
              <w:rPr>
                <w:rStyle w:val="12"/>
                <w:sz w:val="22"/>
                <w:szCs w:val="22"/>
              </w:rPr>
              <w:t>MacLachlan</w:t>
            </w:r>
            <w:proofErr w:type="spellEnd"/>
            <w:r w:rsidRPr="004A792A">
              <w:rPr>
                <w:rStyle w:val="12"/>
                <w:sz w:val="22"/>
                <w:szCs w:val="22"/>
              </w:rPr>
              <w:t xml:space="preserve"> Index</w:t>
            </w:r>
          </w:p>
        </w:tc>
      </w:tr>
      <w:tr w:rsidR="00984B70" w:rsidRPr="004A792A" w14:paraId="28E5DC82" w14:textId="77777777" w:rsidTr="00984B70">
        <w:trPr>
          <w:trHeight w:val="350"/>
        </w:trPr>
        <w:tc>
          <w:tcPr>
            <w:tcW w:w="1266" w:type="dxa"/>
            <w:shd w:val="clear" w:color="auto" w:fill="FFFFFF"/>
          </w:tcPr>
          <w:p w14:paraId="0238232E"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ISCO</w:t>
            </w:r>
          </w:p>
        </w:tc>
        <w:tc>
          <w:tcPr>
            <w:tcW w:w="7513" w:type="dxa"/>
            <w:shd w:val="clear" w:color="auto" w:fill="FFFFFF"/>
          </w:tcPr>
          <w:p w14:paraId="3EAA5E06"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International Standard Classification of Occupations</w:t>
            </w:r>
          </w:p>
        </w:tc>
      </w:tr>
      <w:tr w:rsidR="00936578" w:rsidRPr="004A792A" w14:paraId="2C12D462" w14:textId="77777777" w:rsidTr="00984B70">
        <w:trPr>
          <w:trHeight w:val="350"/>
        </w:trPr>
        <w:tc>
          <w:tcPr>
            <w:tcW w:w="1266" w:type="dxa"/>
            <w:shd w:val="clear" w:color="auto" w:fill="FFFFFF"/>
          </w:tcPr>
          <w:p w14:paraId="154926EB" w14:textId="77777777" w:rsidR="00936578" w:rsidRPr="004A792A" w:rsidRDefault="00936578" w:rsidP="00984B70">
            <w:pPr>
              <w:pStyle w:val="61"/>
              <w:shd w:val="clear" w:color="auto" w:fill="auto"/>
              <w:spacing w:line="360" w:lineRule="auto"/>
              <w:rPr>
                <w:rStyle w:val="12"/>
                <w:sz w:val="22"/>
                <w:szCs w:val="22"/>
              </w:rPr>
            </w:pPr>
            <w:r>
              <w:rPr>
                <w:rStyle w:val="12"/>
                <w:sz w:val="22"/>
                <w:szCs w:val="22"/>
              </w:rPr>
              <w:t>ISCED-F</w:t>
            </w:r>
          </w:p>
        </w:tc>
        <w:tc>
          <w:tcPr>
            <w:tcW w:w="7513" w:type="dxa"/>
            <w:shd w:val="clear" w:color="auto" w:fill="FFFFFF"/>
          </w:tcPr>
          <w:p w14:paraId="3266C7FC" w14:textId="77777777" w:rsidR="00936578" w:rsidRPr="004A792A" w:rsidRDefault="00936578" w:rsidP="00936578">
            <w:pPr>
              <w:pStyle w:val="61"/>
              <w:spacing w:line="360" w:lineRule="auto"/>
              <w:rPr>
                <w:rStyle w:val="12"/>
                <w:sz w:val="22"/>
                <w:szCs w:val="22"/>
              </w:rPr>
            </w:pPr>
            <w:r w:rsidRPr="00936578">
              <w:rPr>
                <w:rStyle w:val="12"/>
                <w:sz w:val="22"/>
                <w:szCs w:val="22"/>
              </w:rPr>
              <w:t>International Standard Classification of Education:</w:t>
            </w:r>
            <w:r>
              <w:rPr>
                <w:rStyle w:val="12"/>
                <w:sz w:val="22"/>
                <w:szCs w:val="22"/>
              </w:rPr>
              <w:t xml:space="preserve"> </w:t>
            </w:r>
            <w:r w:rsidRPr="00936578">
              <w:rPr>
                <w:rStyle w:val="12"/>
                <w:sz w:val="22"/>
                <w:szCs w:val="22"/>
              </w:rPr>
              <w:t>Fields of Education and Training</w:t>
            </w:r>
          </w:p>
        </w:tc>
      </w:tr>
      <w:tr w:rsidR="00984B70" w:rsidRPr="004A792A" w14:paraId="351A7765" w14:textId="77777777" w:rsidTr="00984B70">
        <w:trPr>
          <w:trHeight w:val="365"/>
        </w:trPr>
        <w:tc>
          <w:tcPr>
            <w:tcW w:w="1266" w:type="dxa"/>
            <w:shd w:val="clear" w:color="auto" w:fill="FFFFFF"/>
          </w:tcPr>
          <w:p w14:paraId="696A722A"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LFPR</w:t>
            </w:r>
          </w:p>
        </w:tc>
        <w:tc>
          <w:tcPr>
            <w:tcW w:w="7513" w:type="dxa"/>
            <w:shd w:val="clear" w:color="auto" w:fill="FFFFFF"/>
          </w:tcPr>
          <w:p w14:paraId="33AAA8CC"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Labor Force Participation Rate</w:t>
            </w:r>
          </w:p>
        </w:tc>
      </w:tr>
      <w:tr w:rsidR="00984B70" w:rsidRPr="004A792A" w14:paraId="1746C0AD" w14:textId="77777777" w:rsidTr="00984B70">
        <w:trPr>
          <w:trHeight w:val="350"/>
        </w:trPr>
        <w:tc>
          <w:tcPr>
            <w:tcW w:w="1266" w:type="dxa"/>
            <w:shd w:val="clear" w:color="auto" w:fill="FFFFFF"/>
          </w:tcPr>
          <w:p w14:paraId="53633D00"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LFS</w:t>
            </w:r>
          </w:p>
        </w:tc>
        <w:tc>
          <w:tcPr>
            <w:tcW w:w="7513" w:type="dxa"/>
            <w:shd w:val="clear" w:color="auto" w:fill="FFFFFF"/>
          </w:tcPr>
          <w:p w14:paraId="212804A4"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Labor Force Survey</w:t>
            </w:r>
          </w:p>
        </w:tc>
      </w:tr>
      <w:tr w:rsidR="00D91F23" w:rsidRPr="004A792A" w14:paraId="58975214" w14:textId="77777777" w:rsidTr="00984B70">
        <w:trPr>
          <w:trHeight w:val="350"/>
        </w:trPr>
        <w:tc>
          <w:tcPr>
            <w:tcW w:w="1266" w:type="dxa"/>
            <w:shd w:val="clear" w:color="auto" w:fill="FFFFFF"/>
          </w:tcPr>
          <w:p w14:paraId="105A7010" w14:textId="77777777" w:rsidR="00D91F23" w:rsidRPr="004A792A" w:rsidRDefault="00D91F23" w:rsidP="00984B70">
            <w:pPr>
              <w:pStyle w:val="61"/>
              <w:shd w:val="clear" w:color="auto" w:fill="auto"/>
              <w:spacing w:line="360" w:lineRule="auto"/>
              <w:rPr>
                <w:rStyle w:val="12"/>
                <w:sz w:val="22"/>
                <w:szCs w:val="22"/>
              </w:rPr>
            </w:pPr>
            <w:r>
              <w:rPr>
                <w:rStyle w:val="12"/>
                <w:sz w:val="22"/>
                <w:szCs w:val="22"/>
              </w:rPr>
              <w:t>MDL</w:t>
            </w:r>
          </w:p>
        </w:tc>
        <w:tc>
          <w:tcPr>
            <w:tcW w:w="7513" w:type="dxa"/>
            <w:shd w:val="clear" w:color="auto" w:fill="FFFFFF"/>
          </w:tcPr>
          <w:p w14:paraId="7889C6AA" w14:textId="77777777" w:rsidR="00D91F23" w:rsidRPr="004A792A" w:rsidRDefault="00D91F23" w:rsidP="00984B70">
            <w:pPr>
              <w:pStyle w:val="61"/>
              <w:shd w:val="clear" w:color="auto" w:fill="auto"/>
              <w:spacing w:line="360" w:lineRule="auto"/>
              <w:rPr>
                <w:rStyle w:val="12"/>
                <w:sz w:val="22"/>
                <w:szCs w:val="22"/>
              </w:rPr>
            </w:pPr>
            <w:r>
              <w:rPr>
                <w:rStyle w:val="12"/>
                <w:sz w:val="22"/>
                <w:szCs w:val="22"/>
              </w:rPr>
              <w:t xml:space="preserve">Moldovan </w:t>
            </w:r>
            <w:proofErr w:type="spellStart"/>
            <w:r>
              <w:rPr>
                <w:rStyle w:val="12"/>
                <w:sz w:val="22"/>
                <w:szCs w:val="22"/>
              </w:rPr>
              <w:t>Leu</w:t>
            </w:r>
            <w:proofErr w:type="spellEnd"/>
          </w:p>
        </w:tc>
      </w:tr>
      <w:tr w:rsidR="00984B70" w:rsidRPr="004A792A" w14:paraId="3D576217" w14:textId="77777777" w:rsidTr="00984B70">
        <w:trPr>
          <w:trHeight w:val="360"/>
        </w:trPr>
        <w:tc>
          <w:tcPr>
            <w:tcW w:w="1266" w:type="dxa"/>
            <w:shd w:val="clear" w:color="auto" w:fill="FFFFFF"/>
          </w:tcPr>
          <w:p w14:paraId="4034BFE1"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NBS</w:t>
            </w:r>
          </w:p>
        </w:tc>
        <w:tc>
          <w:tcPr>
            <w:tcW w:w="7513" w:type="dxa"/>
            <w:shd w:val="clear" w:color="auto" w:fill="FFFFFF"/>
          </w:tcPr>
          <w:p w14:paraId="42B1E2D2"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National Bureau of Statistics</w:t>
            </w:r>
          </w:p>
        </w:tc>
      </w:tr>
      <w:tr w:rsidR="00984B70" w:rsidRPr="004A792A" w14:paraId="469D2513" w14:textId="77777777" w:rsidTr="00984B70">
        <w:trPr>
          <w:trHeight w:val="365"/>
        </w:trPr>
        <w:tc>
          <w:tcPr>
            <w:tcW w:w="1266" w:type="dxa"/>
            <w:shd w:val="clear" w:color="auto" w:fill="FFFFFF"/>
          </w:tcPr>
          <w:p w14:paraId="5C5AD0FD"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p.p.</w:t>
            </w:r>
          </w:p>
        </w:tc>
        <w:tc>
          <w:tcPr>
            <w:tcW w:w="7513" w:type="dxa"/>
            <w:shd w:val="clear" w:color="auto" w:fill="FFFFFF"/>
          </w:tcPr>
          <w:p w14:paraId="23106270"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percentage points</w:t>
            </w:r>
          </w:p>
        </w:tc>
      </w:tr>
      <w:tr w:rsidR="00984B70" w:rsidRPr="004A792A" w14:paraId="3D7FD2C5" w14:textId="77777777" w:rsidTr="00984B70">
        <w:trPr>
          <w:trHeight w:val="298"/>
        </w:trPr>
        <w:tc>
          <w:tcPr>
            <w:tcW w:w="1266" w:type="dxa"/>
            <w:shd w:val="clear" w:color="auto" w:fill="FFFFFF"/>
          </w:tcPr>
          <w:p w14:paraId="15A42132"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STEM</w:t>
            </w:r>
          </w:p>
        </w:tc>
        <w:tc>
          <w:tcPr>
            <w:tcW w:w="7513" w:type="dxa"/>
            <w:shd w:val="clear" w:color="auto" w:fill="FFFFFF"/>
          </w:tcPr>
          <w:p w14:paraId="549A4617" w14:textId="77777777" w:rsidR="00984B70" w:rsidRPr="004A792A" w:rsidRDefault="00984B70" w:rsidP="00984B70">
            <w:pPr>
              <w:pStyle w:val="61"/>
              <w:shd w:val="clear" w:color="auto" w:fill="auto"/>
              <w:spacing w:line="360" w:lineRule="auto"/>
              <w:rPr>
                <w:sz w:val="22"/>
                <w:szCs w:val="22"/>
              </w:rPr>
            </w:pPr>
            <w:r w:rsidRPr="004A792A">
              <w:rPr>
                <w:rStyle w:val="12"/>
                <w:sz w:val="22"/>
                <w:szCs w:val="22"/>
              </w:rPr>
              <w:t>Science, Technology, Engineering, and Mathematics</w:t>
            </w:r>
          </w:p>
        </w:tc>
      </w:tr>
      <w:tr w:rsidR="003B2742" w:rsidRPr="004A792A" w14:paraId="5C1FB128" w14:textId="77777777" w:rsidTr="00984B70">
        <w:trPr>
          <w:trHeight w:val="298"/>
        </w:trPr>
        <w:tc>
          <w:tcPr>
            <w:tcW w:w="1266" w:type="dxa"/>
            <w:shd w:val="clear" w:color="auto" w:fill="FFFFFF"/>
          </w:tcPr>
          <w:p w14:paraId="6BC5B76A" w14:textId="77777777" w:rsidR="003B2742" w:rsidRPr="004A792A" w:rsidRDefault="003B2742" w:rsidP="00984B70">
            <w:pPr>
              <w:pStyle w:val="61"/>
              <w:shd w:val="clear" w:color="auto" w:fill="auto"/>
              <w:spacing w:line="360" w:lineRule="auto"/>
              <w:rPr>
                <w:rStyle w:val="12"/>
                <w:sz w:val="22"/>
                <w:szCs w:val="22"/>
              </w:rPr>
            </w:pPr>
            <w:r>
              <w:rPr>
                <w:rStyle w:val="12"/>
                <w:sz w:val="22"/>
                <w:szCs w:val="22"/>
              </w:rPr>
              <w:t>UN</w:t>
            </w:r>
          </w:p>
        </w:tc>
        <w:tc>
          <w:tcPr>
            <w:tcW w:w="7513" w:type="dxa"/>
            <w:shd w:val="clear" w:color="auto" w:fill="FFFFFF"/>
          </w:tcPr>
          <w:p w14:paraId="1B1A5446" w14:textId="77777777" w:rsidR="003B2742" w:rsidRPr="004A792A" w:rsidRDefault="003B2742" w:rsidP="00984B70">
            <w:pPr>
              <w:pStyle w:val="61"/>
              <w:shd w:val="clear" w:color="auto" w:fill="auto"/>
              <w:spacing w:line="360" w:lineRule="auto"/>
              <w:rPr>
                <w:rStyle w:val="12"/>
                <w:sz w:val="22"/>
                <w:szCs w:val="22"/>
              </w:rPr>
            </w:pPr>
            <w:r>
              <w:rPr>
                <w:rStyle w:val="12"/>
                <w:sz w:val="22"/>
                <w:szCs w:val="22"/>
              </w:rPr>
              <w:t>United Nations</w:t>
            </w:r>
          </w:p>
        </w:tc>
      </w:tr>
    </w:tbl>
    <w:p w14:paraId="46DC406B" w14:textId="77777777" w:rsidR="00F77FA3" w:rsidRPr="004A792A" w:rsidRDefault="00F77FA3" w:rsidP="00D44BBB">
      <w:pPr>
        <w:jc w:val="both"/>
        <w:rPr>
          <w:lang w:val="en-US"/>
        </w:rPr>
      </w:pPr>
    </w:p>
    <w:p w14:paraId="0AA03080" w14:textId="77777777" w:rsidR="0070609F" w:rsidRPr="004A792A" w:rsidRDefault="00294321" w:rsidP="00D44BBB">
      <w:pPr>
        <w:pStyle w:val="Headingoverview"/>
        <w:jc w:val="both"/>
        <w:rPr>
          <w:color w:val="0070C0"/>
        </w:rPr>
      </w:pPr>
      <w:bookmarkStart w:id="4" w:name="_Toc533211728"/>
      <w:bookmarkStart w:id="5" w:name="_Hlk514606932"/>
      <w:r w:rsidRPr="004A792A">
        <w:rPr>
          <w:color w:val="0070C0"/>
        </w:rPr>
        <w:lastRenderedPageBreak/>
        <w:t>Executive summary</w:t>
      </w:r>
      <w:bookmarkEnd w:id="4"/>
    </w:p>
    <w:bookmarkEnd w:id="5"/>
    <w:p w14:paraId="2D73AE66" w14:textId="7BEDAA5D" w:rsidR="00216698" w:rsidRPr="006D4290" w:rsidRDefault="00EC7C3B" w:rsidP="00216698">
      <w:pPr>
        <w:jc w:val="both"/>
        <w:rPr>
          <w:rFonts w:cstheme="minorHAnsi"/>
          <w:lang w:val="en-US"/>
        </w:rPr>
      </w:pPr>
      <w:r w:rsidRPr="00EC7C3B">
        <w:rPr>
          <w:color w:val="000000"/>
        </w:rPr>
        <w:t xml:space="preserve">This report provides a detailed analysis of recent trends in occupational segregation and the impact of children on </w:t>
      </w:r>
      <w:proofErr w:type="spellStart"/>
      <w:r w:rsidRPr="00EC7C3B">
        <w:rPr>
          <w:color w:val="000000"/>
        </w:rPr>
        <w:t>labor</w:t>
      </w:r>
      <w:proofErr w:type="spellEnd"/>
      <w:r w:rsidRPr="00EC7C3B">
        <w:rPr>
          <w:color w:val="000000"/>
        </w:rPr>
        <w:t xml:space="preserve"> force participation, employment, and earnings of women and men in order to develop evidence-based policy solutions aimed at addressing observed gender inequalities in the Moldovan </w:t>
      </w:r>
      <w:proofErr w:type="spellStart"/>
      <w:r w:rsidRPr="00EC7C3B">
        <w:rPr>
          <w:color w:val="000000"/>
        </w:rPr>
        <w:t>labor</w:t>
      </w:r>
      <w:proofErr w:type="spellEnd"/>
      <w:r w:rsidRPr="00EC7C3B">
        <w:rPr>
          <w:color w:val="000000"/>
        </w:rPr>
        <w:t xml:space="preserve"> market. </w:t>
      </w:r>
      <w:r w:rsidR="00216698">
        <w:rPr>
          <w:color w:val="000000"/>
        </w:rPr>
        <w:t>T</w:t>
      </w:r>
      <w:r w:rsidR="00216698" w:rsidRPr="004A792A">
        <w:rPr>
          <w:color w:val="000000"/>
        </w:rPr>
        <w:t xml:space="preserve">he </w:t>
      </w:r>
      <w:r w:rsidR="00216698">
        <w:rPr>
          <w:color w:val="000000"/>
        </w:rPr>
        <w:t xml:space="preserve">nationally-representative </w:t>
      </w:r>
      <w:r w:rsidR="00216698" w:rsidRPr="004A792A">
        <w:rPr>
          <w:color w:val="000000"/>
        </w:rPr>
        <w:t xml:space="preserve">individual-level </w:t>
      </w:r>
      <w:proofErr w:type="spellStart"/>
      <w:r w:rsidR="00216698" w:rsidRPr="004A792A">
        <w:rPr>
          <w:color w:val="000000"/>
        </w:rPr>
        <w:t>Labor</w:t>
      </w:r>
      <w:proofErr w:type="spellEnd"/>
      <w:r w:rsidR="00216698" w:rsidRPr="004A792A">
        <w:rPr>
          <w:color w:val="000000"/>
        </w:rPr>
        <w:t xml:space="preserve"> Force Surv</w:t>
      </w:r>
      <w:r w:rsidR="00216698">
        <w:rPr>
          <w:color w:val="000000"/>
        </w:rPr>
        <w:t xml:space="preserve">ey (LFS) data in 2006-2016 are used to explore gender inequalities in the </w:t>
      </w:r>
      <w:proofErr w:type="spellStart"/>
      <w:r w:rsidR="00216698">
        <w:rPr>
          <w:color w:val="000000"/>
        </w:rPr>
        <w:t>labor</w:t>
      </w:r>
      <w:proofErr w:type="spellEnd"/>
      <w:r w:rsidR="00216698">
        <w:rPr>
          <w:color w:val="000000"/>
        </w:rPr>
        <w:t xml:space="preserve"> market</w:t>
      </w:r>
      <w:r w:rsidR="00216698" w:rsidRPr="006D4290">
        <w:rPr>
          <w:lang w:val="en-US"/>
        </w:rPr>
        <w:t>.</w:t>
      </w:r>
      <w:r w:rsidR="00216698">
        <w:rPr>
          <w:lang w:val="en-US"/>
        </w:rPr>
        <w:t xml:space="preserve"> </w:t>
      </w:r>
      <w:r w:rsidR="00216698">
        <w:rPr>
          <w:color w:val="000000"/>
        </w:rPr>
        <w:t xml:space="preserve">In addition, information reported in </w:t>
      </w:r>
      <w:r w:rsidR="00216698" w:rsidRPr="004A792A">
        <w:rPr>
          <w:color w:val="000000"/>
        </w:rPr>
        <w:t xml:space="preserve">job seeker profiles, scraped from </w:t>
      </w:r>
      <w:r w:rsidR="00216698">
        <w:rPr>
          <w:color w:val="000000"/>
        </w:rPr>
        <w:t xml:space="preserve">one of </w:t>
      </w:r>
      <w:r w:rsidR="00216698" w:rsidRPr="004A792A">
        <w:rPr>
          <w:color w:val="000000"/>
        </w:rPr>
        <w:t xml:space="preserve">the </w:t>
      </w:r>
      <w:r w:rsidR="00216698">
        <w:rPr>
          <w:color w:val="000000"/>
        </w:rPr>
        <w:t xml:space="preserve">largest </w:t>
      </w:r>
      <w:r w:rsidR="00216698" w:rsidRPr="004A792A">
        <w:rPr>
          <w:color w:val="000000"/>
        </w:rPr>
        <w:t>online job portal</w:t>
      </w:r>
      <w:r w:rsidR="00216698">
        <w:rPr>
          <w:color w:val="000000"/>
        </w:rPr>
        <w:t xml:space="preserve">s </w:t>
      </w:r>
      <w:r w:rsidR="00216698" w:rsidRPr="004A792A">
        <w:rPr>
          <w:color w:val="000000"/>
        </w:rPr>
        <w:t>in Moldova in June 2018</w:t>
      </w:r>
      <w:r w:rsidR="00216698">
        <w:rPr>
          <w:color w:val="000000"/>
        </w:rPr>
        <w:t xml:space="preserve">, is used to shed more light on gender differences in </w:t>
      </w:r>
      <w:proofErr w:type="spellStart"/>
      <w:r w:rsidR="00216698">
        <w:rPr>
          <w:color w:val="000000"/>
        </w:rPr>
        <w:t>labor</w:t>
      </w:r>
      <w:proofErr w:type="spellEnd"/>
      <w:r w:rsidR="00216698">
        <w:rPr>
          <w:color w:val="000000"/>
        </w:rPr>
        <w:t xml:space="preserve"> market aspirations and expectations among those seeking jobs through online resources</w:t>
      </w:r>
      <w:r w:rsidR="00216698" w:rsidRPr="006D4290">
        <w:rPr>
          <w:rFonts w:cstheme="minorHAnsi"/>
          <w:lang w:val="en-US"/>
        </w:rPr>
        <w:t>.</w:t>
      </w:r>
    </w:p>
    <w:p w14:paraId="49F63813" w14:textId="77777777" w:rsidR="00216698" w:rsidRPr="006D4290" w:rsidRDefault="00216698" w:rsidP="00216698">
      <w:pPr>
        <w:jc w:val="both"/>
        <w:rPr>
          <w:lang w:val="en-US"/>
        </w:rPr>
      </w:pPr>
      <w:r w:rsidRPr="006D4290">
        <w:rPr>
          <w:lang w:val="en-US"/>
        </w:rPr>
        <w:t>The key findings that emerge from the data analysis can be summarized as follows:</w:t>
      </w:r>
    </w:p>
    <w:p w14:paraId="05D21383" w14:textId="11055087" w:rsidR="00216698" w:rsidRPr="006D4290" w:rsidRDefault="00216698" w:rsidP="003E0FD5">
      <w:pPr>
        <w:pStyle w:val="a"/>
        <w:numPr>
          <w:ilvl w:val="0"/>
          <w:numId w:val="3"/>
        </w:numPr>
        <w:tabs>
          <w:tab w:val="left" w:pos="426"/>
        </w:tabs>
        <w:ind w:left="0" w:firstLine="0"/>
      </w:pPr>
      <w:r w:rsidRPr="000D1F7C">
        <w:rPr>
          <w:b/>
        </w:rPr>
        <w:t xml:space="preserve">The gender gap in labor force participation and employment rates in Moldova is the lowest in the ECA region but it is mainly achieved due to </w:t>
      </w:r>
      <w:r w:rsidR="000D1F7C">
        <w:rPr>
          <w:b/>
        </w:rPr>
        <w:t xml:space="preserve">very </w:t>
      </w:r>
      <w:r w:rsidRPr="000D1F7C">
        <w:rPr>
          <w:b/>
        </w:rPr>
        <w:t xml:space="preserve">low labor </w:t>
      </w:r>
      <w:r w:rsidR="000D1F7C">
        <w:rPr>
          <w:b/>
        </w:rPr>
        <w:t>market engagement of both men and women</w:t>
      </w:r>
      <w:r w:rsidRPr="00C86BDA">
        <w:t xml:space="preserve">. </w:t>
      </w:r>
      <w:r w:rsidRPr="006D4290">
        <w:t xml:space="preserve">To reverse a negative long-term trend of </w:t>
      </w:r>
      <w:r w:rsidRPr="006D4290">
        <w:rPr>
          <w:color w:val="000000"/>
        </w:rPr>
        <w:t xml:space="preserve">shrinking labor force in Moldova, which is caused by a population decline and low participation rates, it is necessary to increase labor force participation rates of Moldovan men and women in all age groups. </w:t>
      </w:r>
      <w:r>
        <w:rPr>
          <w:color w:val="000000"/>
        </w:rPr>
        <w:t>Drawing on</w:t>
      </w:r>
      <w:r w:rsidRPr="006D4290">
        <w:rPr>
          <w:color w:val="000000"/>
        </w:rPr>
        <w:t xml:space="preserve"> studies on the relationship between labor market status of women and fertility in European countries and Russia, encouraging labor force participation of women should be also seen as a complementary policy </w:t>
      </w:r>
      <w:r w:rsidRPr="006D4290">
        <w:rPr>
          <w:rFonts w:ascii="Calibri" w:hAnsi="Calibri" w:cs="Calibri"/>
          <w:color w:val="000000"/>
        </w:rPr>
        <w:t xml:space="preserve">to tackle </w:t>
      </w:r>
      <w:r w:rsidRPr="006D4290">
        <w:rPr>
          <w:color w:val="000000"/>
        </w:rPr>
        <w:t>low fertility rates in Moldova, given a simultaneous progress in policies aimed at developing childcare facilities and at securing employment and decent income.</w:t>
      </w:r>
    </w:p>
    <w:p w14:paraId="67433D90" w14:textId="46840D72" w:rsidR="00216698" w:rsidRPr="00C86BDA" w:rsidRDefault="00216698" w:rsidP="003E0FD5">
      <w:pPr>
        <w:pStyle w:val="a"/>
        <w:numPr>
          <w:ilvl w:val="0"/>
          <w:numId w:val="3"/>
        </w:numPr>
        <w:tabs>
          <w:tab w:val="left" w:pos="426"/>
        </w:tabs>
        <w:ind w:left="0" w:firstLine="0"/>
      </w:pPr>
      <w:r w:rsidRPr="0020475E">
        <w:rPr>
          <w:b/>
        </w:rPr>
        <w:t xml:space="preserve">Despite some signs of declining segregation during 2014-2016, the Moldovan occupational structure of employment remains </w:t>
      </w:r>
      <w:r w:rsidR="00D73947">
        <w:rPr>
          <w:b/>
        </w:rPr>
        <w:t xml:space="preserve">quite </w:t>
      </w:r>
      <w:r w:rsidRPr="0020475E">
        <w:rPr>
          <w:b/>
        </w:rPr>
        <w:t>segregated by gender</w:t>
      </w:r>
      <w:r w:rsidRPr="00C86BDA">
        <w:t xml:space="preserve">. As of 2016, about 40 percent of employed women (or men) would need to shift into a new occupation to eliminate occupational segregation by gender. </w:t>
      </w:r>
      <w:r w:rsidR="0020475E">
        <w:t xml:space="preserve">And the necessary reshuffling of female and male employees across occupations </w:t>
      </w:r>
      <w:r w:rsidR="0020475E" w:rsidRPr="0020475E">
        <w:t>for the occupational distribution of men and women to be equal</w:t>
      </w:r>
      <w:r w:rsidR="0020475E">
        <w:t xml:space="preserve"> is even higher (over 60 percent). </w:t>
      </w:r>
      <w:r w:rsidRPr="00C86BDA">
        <w:t xml:space="preserve">Women disproportionately work in people-oriented occupations that emphasize interaction with clients, non-manual skills or low physical effort (teachers and health care workers, secretaries and other clerical workers, cleaners and food preparation assistants). </w:t>
      </w:r>
      <w:r>
        <w:t>M</w:t>
      </w:r>
      <w:r w:rsidRPr="00C86BDA">
        <w:t>en disproportionately work in machine- or object-</w:t>
      </w:r>
      <w:r w:rsidRPr="00A369B0">
        <w:t xml:space="preserve">oriented occupations that emphasize </w:t>
      </w:r>
      <w:r w:rsidRPr="00C86BDA">
        <w:t xml:space="preserve">either manual skills (craft occupations in manufacturing and construction, </w:t>
      </w:r>
      <w:r w:rsidRPr="00C86BDA">
        <w:rPr>
          <w:rFonts w:ascii="Calibri" w:eastAsia="Times New Roman" w:hAnsi="Calibri" w:cs="Calibri"/>
          <w:color w:val="000000"/>
        </w:rPr>
        <w:t>drivers, skilled forestry, fishery and hunting workers</w:t>
      </w:r>
      <w:r w:rsidRPr="00C86BDA">
        <w:t xml:space="preserve">), high-level non-manual skills (e.g. STEM occupations including </w:t>
      </w:r>
      <w:r w:rsidRPr="00C86BDA">
        <w:rPr>
          <w:rFonts w:ascii="Calibri" w:eastAsia="Times New Roman" w:hAnsi="Calibri" w:cs="Calibri"/>
          <w:color w:val="000000"/>
        </w:rPr>
        <w:t>ICT, science and engineering professionals</w:t>
      </w:r>
      <w:r w:rsidRPr="00C86BDA">
        <w:t>) or physical strength (p</w:t>
      </w:r>
      <w:r w:rsidRPr="00C86BDA">
        <w:rPr>
          <w:rFonts w:ascii="Calibri" w:eastAsia="Times New Roman" w:hAnsi="Calibri" w:cs="Calibri"/>
          <w:color w:val="000000"/>
        </w:rPr>
        <w:t>rotective services workers, commissioned armed forces officers)</w:t>
      </w:r>
      <w:r w:rsidRPr="00C86BDA">
        <w:t>.</w:t>
      </w:r>
    </w:p>
    <w:p w14:paraId="199DA744" w14:textId="5BF44EE8" w:rsidR="00216698" w:rsidRPr="00C86BDA" w:rsidRDefault="00216698" w:rsidP="003E0FD5">
      <w:pPr>
        <w:pStyle w:val="a"/>
        <w:numPr>
          <w:ilvl w:val="0"/>
          <w:numId w:val="3"/>
        </w:numPr>
        <w:tabs>
          <w:tab w:val="left" w:pos="426"/>
        </w:tabs>
        <w:ind w:left="0" w:firstLine="0"/>
      </w:pPr>
      <w:r w:rsidRPr="00D73947">
        <w:rPr>
          <w:b/>
        </w:rPr>
        <w:t>Individuals with tertiary education, workers in formal employment, and public sector employees are subject to substantially higher occupational segregation compared to their counterparts</w:t>
      </w:r>
      <w:r w:rsidRPr="00C86BDA">
        <w:t>. Occupational segregation of higher educated workers is closely linked with apparent gender segregation in fields of study, which is then supported by the occupational gender divide in the public and formal sectors.</w:t>
      </w:r>
    </w:p>
    <w:p w14:paraId="50268909" w14:textId="74B46A31" w:rsidR="00216698" w:rsidRPr="00C86BDA" w:rsidRDefault="00216698" w:rsidP="003E0FD5">
      <w:pPr>
        <w:pStyle w:val="a"/>
        <w:numPr>
          <w:ilvl w:val="0"/>
          <w:numId w:val="3"/>
        </w:numPr>
        <w:tabs>
          <w:tab w:val="left" w:pos="426"/>
        </w:tabs>
        <w:ind w:left="0" w:firstLine="0"/>
      </w:pPr>
      <w:r w:rsidRPr="00D73947">
        <w:rPr>
          <w:b/>
        </w:rPr>
        <w:t>Occupational segregation among job seekers posting their profile on online job portal is less pronounced than among the employed population</w:t>
      </w:r>
      <w:r w:rsidRPr="00A369B0">
        <w:t>. This is mainly because traditional sectors with a large share of female- or male-dominated occupations (e.g. industry and construction, public admi</w:t>
      </w:r>
      <w:r w:rsidRPr="00F622D5">
        <w:t xml:space="preserve">nistration, education and health care) are underrepresented among job candidates </w:t>
      </w:r>
      <w:r w:rsidRPr="00C86BDA">
        <w:t xml:space="preserve">who use online resources for their job search. Still, women strongly dominate among individuals seeking clerical and freelance jobs, and men prevail among candidates </w:t>
      </w:r>
      <w:r w:rsidR="00D73947">
        <w:t>willing</w:t>
      </w:r>
      <w:r w:rsidRPr="00C86BDA">
        <w:t xml:space="preserve"> to work in managerial positions and in blue-collar occupations (especially drivers).</w:t>
      </w:r>
    </w:p>
    <w:p w14:paraId="7163F3FC" w14:textId="77777777" w:rsidR="00216698" w:rsidRPr="00C86BDA" w:rsidRDefault="00216698" w:rsidP="003E0FD5">
      <w:pPr>
        <w:pStyle w:val="a"/>
        <w:numPr>
          <w:ilvl w:val="0"/>
          <w:numId w:val="3"/>
        </w:numPr>
        <w:tabs>
          <w:tab w:val="left" w:pos="426"/>
        </w:tabs>
        <w:ind w:left="0" w:firstLine="0"/>
      </w:pPr>
      <w:r w:rsidRPr="007761B3">
        <w:rPr>
          <w:b/>
        </w:rPr>
        <w:t xml:space="preserve">Mothers of children under 5 years, especially of infants (0-2 years), have a significant labor force participation penalty as opposed to mothers of older children, </w:t>
      </w:r>
      <w:proofErr w:type="spellStart"/>
      <w:r w:rsidRPr="007761B3">
        <w:rPr>
          <w:b/>
        </w:rPr>
        <w:t>nonmothers</w:t>
      </w:r>
      <w:proofErr w:type="spellEnd"/>
      <w:r w:rsidRPr="007761B3">
        <w:rPr>
          <w:b/>
        </w:rPr>
        <w:t>, and men</w:t>
      </w:r>
      <w:r w:rsidRPr="00C86BDA">
        <w:t xml:space="preserve">. If employed, mothers of infants are more likely to work informally, mainly as unpaid family workers in rural areas, </w:t>
      </w:r>
      <w:r w:rsidRPr="00C86BDA">
        <w:lastRenderedPageBreak/>
        <w:t xml:space="preserve">and with shorter hours per week. Having two or more children of pre-school age </w:t>
      </w:r>
      <w:r>
        <w:t xml:space="preserve">(from 0 to 6 years) </w:t>
      </w:r>
      <w:r w:rsidRPr="00C86BDA">
        <w:t>substantially decreases the probability of female labor force participation and employment.</w:t>
      </w:r>
    </w:p>
    <w:p w14:paraId="229402F5" w14:textId="7D9317E3" w:rsidR="00216698" w:rsidRPr="00C86BDA" w:rsidRDefault="00216698" w:rsidP="003E0FD5">
      <w:pPr>
        <w:pStyle w:val="a"/>
        <w:numPr>
          <w:ilvl w:val="0"/>
          <w:numId w:val="3"/>
        </w:numPr>
        <w:tabs>
          <w:tab w:val="left" w:pos="426"/>
        </w:tabs>
        <w:ind w:left="0" w:firstLine="0"/>
      </w:pPr>
      <w:r w:rsidRPr="007761B3">
        <w:rPr>
          <w:b/>
        </w:rPr>
        <w:t>Mothers of school-age children tend to participate in the labor force and work almost on par with men</w:t>
      </w:r>
      <w:r w:rsidRPr="00DE1106">
        <w:t xml:space="preserve">. However, </w:t>
      </w:r>
      <w:r w:rsidR="007761B3">
        <w:t xml:space="preserve">female employees </w:t>
      </w:r>
      <w:r w:rsidRPr="00DE1106">
        <w:t>having 1 or 2 children aged below 15 years face a substantial motherhood wage penalty (up to 10 percent)</w:t>
      </w:r>
      <w:r w:rsidRPr="00C86BDA">
        <w:t>, probably because they prefer more family-friendly jobs which on average pay less per hour.</w:t>
      </w:r>
    </w:p>
    <w:p w14:paraId="234246F3" w14:textId="756C6E96" w:rsidR="00216698" w:rsidRPr="00C86BDA" w:rsidRDefault="00216698" w:rsidP="003E0FD5">
      <w:pPr>
        <w:pStyle w:val="a"/>
        <w:numPr>
          <w:ilvl w:val="0"/>
          <w:numId w:val="3"/>
        </w:numPr>
        <w:tabs>
          <w:tab w:val="left" w:pos="426"/>
        </w:tabs>
        <w:ind w:left="0" w:firstLine="0"/>
      </w:pPr>
      <w:r w:rsidRPr="007761B3">
        <w:rPr>
          <w:b/>
        </w:rPr>
        <w:t>One of the most disadvantaged groups in the Moldovan labor market is parents of three and more children under 15 years</w:t>
      </w:r>
      <w:r w:rsidRPr="00C86BDA">
        <w:t xml:space="preserve">. Women are much more likely to stay out of the labor force, but if they do decide to supply labor, they are very likely to work informally (as own-account or unpaid family workers, but also as informal employees) and </w:t>
      </w:r>
      <w:r>
        <w:t>work fewer</w:t>
      </w:r>
      <w:r w:rsidRPr="00DE1106">
        <w:t xml:space="preserve"> hours than </w:t>
      </w:r>
      <w:proofErr w:type="spellStart"/>
      <w:r w:rsidRPr="00DE1106">
        <w:t>nonmothers</w:t>
      </w:r>
      <w:proofErr w:type="spellEnd"/>
      <w:r w:rsidRPr="00DE1106">
        <w:t xml:space="preserve"> and mothers of </w:t>
      </w:r>
      <w:r w:rsidR="007761B3">
        <w:t>one-two</w:t>
      </w:r>
      <w:r w:rsidRPr="00DE1106">
        <w:t xml:space="preserve"> children. </w:t>
      </w:r>
      <w:r w:rsidRPr="00C86BDA">
        <w:t>Specific features of working parents of three and more children are that they predominantly live in rural areas and have a low level of education and skills.</w:t>
      </w:r>
    </w:p>
    <w:p w14:paraId="5BDB5E8F" w14:textId="77777777" w:rsidR="007761B3" w:rsidRDefault="00216698" w:rsidP="003E0FD5">
      <w:pPr>
        <w:pStyle w:val="a"/>
        <w:numPr>
          <w:ilvl w:val="0"/>
          <w:numId w:val="3"/>
        </w:numPr>
        <w:tabs>
          <w:tab w:val="left" w:pos="426"/>
        </w:tabs>
        <w:ind w:left="0" w:firstLine="0"/>
      </w:pPr>
      <w:r w:rsidRPr="007761B3">
        <w:rPr>
          <w:b/>
        </w:rPr>
        <w:t>The gender pay gap analyzed among salaried and wage workers</w:t>
      </w:r>
      <w:r w:rsidRPr="00C86BDA">
        <w:t xml:space="preserve"> who reported their wage and weekly working hours </w:t>
      </w:r>
      <w:r w:rsidRPr="007761B3">
        <w:rPr>
          <w:b/>
        </w:rPr>
        <w:t>decreased between 2010 and 2016</w:t>
      </w:r>
      <w:r w:rsidRPr="00C86BDA">
        <w:t xml:space="preserve">: from 13.8 to 12.6 percent in monthly net wage and from 6.6. </w:t>
      </w:r>
      <w:proofErr w:type="gramStart"/>
      <w:r w:rsidRPr="00C86BDA">
        <w:t>to</w:t>
      </w:r>
      <w:proofErr w:type="gramEnd"/>
      <w:r w:rsidRPr="00C86BDA">
        <w:t xml:space="preserve"> 3.8 percent in hourly net wage. The decomposition of the gender pay gap in hourly earnings into the explained and unexplained parts finds the negative explained part in 2010 and 2016 suggesting that characteristics of female employees are on average more remunerative than those of men. Education, age, economic sector</w:t>
      </w:r>
      <w:r>
        <w:t>,</w:t>
      </w:r>
      <w:r w:rsidRPr="00DE1106">
        <w:t xml:space="preserve"> and part-time employment made a negative contribution to the gender pay gap in 2016, whereas the number of children did not have a significant effect.</w:t>
      </w:r>
    </w:p>
    <w:p w14:paraId="40A898DE" w14:textId="2920BB1E" w:rsidR="00216698" w:rsidRPr="00DE1106" w:rsidRDefault="00216698" w:rsidP="003E0FD5">
      <w:pPr>
        <w:pStyle w:val="a"/>
        <w:numPr>
          <w:ilvl w:val="0"/>
          <w:numId w:val="3"/>
        </w:numPr>
        <w:tabs>
          <w:tab w:val="left" w:pos="426"/>
        </w:tabs>
        <w:ind w:left="0" w:firstLine="0"/>
      </w:pPr>
      <w:r w:rsidRPr="007761B3">
        <w:rPr>
          <w:b/>
        </w:rPr>
        <w:t>The explained part</w:t>
      </w:r>
      <w:r w:rsidR="007761B3">
        <w:rPr>
          <w:b/>
        </w:rPr>
        <w:t xml:space="preserve"> in the gender pay gap </w:t>
      </w:r>
      <w:r w:rsidRPr="007761B3">
        <w:rPr>
          <w:b/>
        </w:rPr>
        <w:t>is positively driven only by the firm size, ownership (public or non-public) and type of employment (informal or formal)</w:t>
      </w:r>
      <w:r w:rsidRPr="00C86BDA">
        <w:t xml:space="preserve">. Surprisingly, occupation, defined at a 1-digit ISCO level, does not contribute to a gender pay gap in hourly </w:t>
      </w:r>
      <w:r w:rsidRPr="00DE1106">
        <w:t xml:space="preserve">earnings. </w:t>
      </w:r>
      <w:r w:rsidRPr="006D4290">
        <w:t>Thus, the impact of segregation of female and male employees on the pay gap comes not through occupation per se but via the women</w:t>
      </w:r>
      <w:r>
        <w:t>’s preference</w:t>
      </w:r>
      <w:r w:rsidRPr="006D4290">
        <w:t xml:space="preserve"> towards public sector jobs.</w:t>
      </w:r>
      <w:r w:rsidRPr="00DE1106">
        <w:t xml:space="preserve"> A higher proportion of men working in the private sector where earnings per hour are higher on average than in the public sector may explain the existing pay gap in Moldova</w:t>
      </w:r>
      <w:r w:rsidR="007761B3">
        <w:t>.</w:t>
      </w:r>
      <w:r w:rsidRPr="00DE1106">
        <w:t xml:space="preserve"> </w:t>
      </w:r>
      <w:r w:rsidR="007761B3">
        <w:t xml:space="preserve">Yet, </w:t>
      </w:r>
      <w:r w:rsidRPr="006D4290">
        <w:t xml:space="preserve">a large proportion of the gap remains unexplained, either due to </w:t>
      </w:r>
      <w:r>
        <w:t xml:space="preserve">important </w:t>
      </w:r>
      <w:r w:rsidRPr="006D4290">
        <w:t>omitted variables or due to violation of the principle “equal pay for equal work”.</w:t>
      </w:r>
    </w:p>
    <w:p w14:paraId="1EFD4628" w14:textId="77777777" w:rsidR="00216698" w:rsidRPr="00C86BDA" w:rsidRDefault="00216698" w:rsidP="007761B3">
      <w:pPr>
        <w:pStyle w:val="a"/>
        <w:numPr>
          <w:ilvl w:val="0"/>
          <w:numId w:val="3"/>
        </w:numPr>
        <w:tabs>
          <w:tab w:val="left" w:pos="426"/>
        </w:tabs>
        <w:ind w:left="0" w:firstLine="0"/>
      </w:pPr>
      <w:r w:rsidRPr="007761B3">
        <w:rPr>
          <w:b/>
        </w:rPr>
        <w:t>Analysis of salary expectations reported by job seekers who post their resume on the online job portal shows that women expect on average over 17 percent lower wages than men</w:t>
      </w:r>
      <w:r w:rsidRPr="00C86BDA">
        <w:t>. Work experience and current employment status together with the desired type of job, availability of job candidates for business trips</w:t>
      </w:r>
      <w:r>
        <w:t>,</w:t>
      </w:r>
      <w:r w:rsidRPr="009D0309">
        <w:t xml:space="preserve"> and their readiness to relocate are the main factors which explain variation in</w:t>
      </w:r>
      <w:r w:rsidRPr="00C86BDA">
        <w:t xml:space="preserve"> salaries expected by male and female job seekers. Work experience, the desired type of job and potential mobility of job candidates are also the major contributors to the gender gap in expected salary. Hence, female job candidates who have on average shorter work experience, are more willing to get a flexible work arrangement</w:t>
      </w:r>
      <w:r>
        <w:t>,</w:t>
      </w:r>
      <w:r w:rsidRPr="009D0309">
        <w:t xml:space="preserve"> and are less ready to travel tend to understate their </w:t>
      </w:r>
      <w:r w:rsidRPr="00C86BDA">
        <w:t>salary expectations compared to men in order to increase their chances of getting a job with desired characteristics.</w:t>
      </w:r>
    </w:p>
    <w:p w14:paraId="625DF78B" w14:textId="7C16A9B6" w:rsidR="001500D3" w:rsidRDefault="001500D3" w:rsidP="002D786A">
      <w:pPr>
        <w:pStyle w:val="61"/>
        <w:shd w:val="clear" w:color="auto" w:fill="auto"/>
        <w:spacing w:before="120" w:line="240" w:lineRule="auto"/>
        <w:jc w:val="both"/>
        <w:rPr>
          <w:color w:val="000000"/>
          <w:sz w:val="22"/>
          <w:szCs w:val="22"/>
        </w:rPr>
      </w:pPr>
      <w:r>
        <w:rPr>
          <w:color w:val="000000"/>
          <w:sz w:val="22"/>
          <w:szCs w:val="22"/>
        </w:rPr>
        <w:t>Based on the key findings</w:t>
      </w:r>
      <w:r w:rsidR="001211B4">
        <w:rPr>
          <w:color w:val="000000"/>
          <w:sz w:val="22"/>
          <w:szCs w:val="22"/>
        </w:rPr>
        <w:t xml:space="preserve"> and international literature</w:t>
      </w:r>
      <w:r>
        <w:rPr>
          <w:color w:val="000000"/>
          <w:sz w:val="22"/>
          <w:szCs w:val="22"/>
        </w:rPr>
        <w:t xml:space="preserve">, the report suggests </w:t>
      </w:r>
      <w:r w:rsidR="007D02A7">
        <w:rPr>
          <w:color w:val="000000"/>
          <w:sz w:val="22"/>
          <w:szCs w:val="22"/>
        </w:rPr>
        <w:t>the following policy measures</w:t>
      </w:r>
      <w:r>
        <w:rPr>
          <w:color w:val="000000"/>
          <w:sz w:val="22"/>
          <w:szCs w:val="22"/>
        </w:rPr>
        <w:t>:</w:t>
      </w:r>
    </w:p>
    <w:p w14:paraId="49EE89C7" w14:textId="40C7B9FE" w:rsidR="00FB55D6" w:rsidRPr="007F56F7" w:rsidRDefault="00702801" w:rsidP="003E0FD5">
      <w:pPr>
        <w:pStyle w:val="a"/>
        <w:numPr>
          <w:ilvl w:val="0"/>
          <w:numId w:val="9"/>
        </w:numPr>
        <w:tabs>
          <w:tab w:val="left" w:pos="426"/>
        </w:tabs>
        <w:ind w:left="0" w:firstLine="0"/>
      </w:pPr>
      <w:r w:rsidRPr="001D7939">
        <w:rPr>
          <w:b/>
        </w:rPr>
        <w:t>I</w:t>
      </w:r>
      <w:proofErr w:type="spellStart"/>
      <w:r w:rsidR="00FB55D6" w:rsidRPr="001D7939">
        <w:rPr>
          <w:b/>
          <w:lang w:val="en-GB"/>
        </w:rPr>
        <w:t>mprove</w:t>
      </w:r>
      <w:proofErr w:type="spellEnd"/>
      <w:r w:rsidR="00FB55D6" w:rsidRPr="001D7939">
        <w:rPr>
          <w:b/>
          <w:lang w:val="en-GB"/>
        </w:rPr>
        <w:t xml:space="preserve"> access to and quality of childcare services</w:t>
      </w:r>
      <w:r w:rsidR="00FB55D6" w:rsidRPr="001D7939">
        <w:rPr>
          <w:b/>
        </w:rPr>
        <w:t xml:space="preserve"> and after-school</w:t>
      </w:r>
      <w:r w:rsidR="00FB55D6" w:rsidRPr="001D7939">
        <w:t xml:space="preserve"> </w:t>
      </w:r>
      <w:r w:rsidR="00FB55D6" w:rsidRPr="001D7939">
        <w:rPr>
          <w:b/>
        </w:rPr>
        <w:t xml:space="preserve">activities. </w:t>
      </w:r>
      <w:r w:rsidR="00FB55D6" w:rsidRPr="001D7939">
        <w:t xml:space="preserve">The greater availability of affordable and high-quality childcare </w:t>
      </w:r>
      <w:r w:rsidR="00FB55D6" w:rsidRPr="001D7939">
        <w:rPr>
          <w:lang w:val="en-GB"/>
        </w:rPr>
        <w:t xml:space="preserve">services for children of pre-school age </w:t>
      </w:r>
      <w:r w:rsidR="00D32E30" w:rsidRPr="009B36C4">
        <w:rPr>
          <w:lang w:val="en-GB"/>
        </w:rPr>
        <w:t xml:space="preserve">(from 0 to 6 years) </w:t>
      </w:r>
      <w:r w:rsidR="00FB55D6" w:rsidRPr="009B36C4">
        <w:rPr>
          <w:lang w:val="en-GB"/>
        </w:rPr>
        <w:t xml:space="preserve">and </w:t>
      </w:r>
      <w:r w:rsidR="00FB55D6" w:rsidRPr="009B36C4">
        <w:t>extracurricular activities for school-age children</w:t>
      </w:r>
      <w:r w:rsidR="00FB55D6" w:rsidRPr="009B36C4">
        <w:rPr>
          <w:lang w:val="en-GB"/>
        </w:rPr>
        <w:t xml:space="preserve"> c</w:t>
      </w:r>
      <w:r w:rsidR="00FB55D6" w:rsidRPr="009B36C4">
        <w:t>an improve female participation in the labor force. It can also reduce the selection of working mothers into lower-paid jobs that allow time flexibility and shorter working hours. Therefore, it is an effective measure to reduce the motherhood penalty in labor force participation, quality of employment</w:t>
      </w:r>
      <w:r w:rsidR="005F42C0" w:rsidRPr="007F56F7">
        <w:t>,</w:t>
      </w:r>
      <w:r w:rsidR="00FB55D6" w:rsidRPr="007F56F7">
        <w:t xml:space="preserve"> and earnings</w:t>
      </w:r>
      <w:r w:rsidR="003E0FD5" w:rsidRPr="007F56F7">
        <w:t>.</w:t>
      </w:r>
    </w:p>
    <w:p w14:paraId="5F2881EA" w14:textId="4BBA4F4C" w:rsidR="00FB55D6" w:rsidRPr="001D7939" w:rsidRDefault="005F42C0" w:rsidP="003E0FD5">
      <w:pPr>
        <w:pStyle w:val="a"/>
        <w:numPr>
          <w:ilvl w:val="0"/>
          <w:numId w:val="9"/>
        </w:numPr>
        <w:tabs>
          <w:tab w:val="left" w:pos="426"/>
        </w:tabs>
        <w:ind w:left="0" w:firstLine="0"/>
      </w:pPr>
      <w:r w:rsidRPr="00AD5669">
        <w:rPr>
          <w:b/>
        </w:rPr>
        <w:t>R</w:t>
      </w:r>
      <w:r w:rsidR="00FB55D6" w:rsidRPr="00AD5669">
        <w:rPr>
          <w:b/>
        </w:rPr>
        <w:t>educe duration of paid maternity and parental leave</w:t>
      </w:r>
      <w:r w:rsidR="00FB55D6" w:rsidRPr="00D51DD9">
        <w:rPr>
          <w:b/>
        </w:rPr>
        <w:t>.</w:t>
      </w:r>
      <w:r w:rsidR="00FB55D6" w:rsidRPr="00D51DD9">
        <w:t xml:space="preserve"> </w:t>
      </w:r>
      <w:r w:rsidR="003E0FD5" w:rsidRPr="00022A40">
        <w:t xml:space="preserve">Although the availability of paid maternity and parental leave improves female attachment </w:t>
      </w:r>
      <w:r w:rsidR="003E0FD5" w:rsidRPr="006406AF">
        <w:t>to the labor market, e</w:t>
      </w:r>
      <w:r w:rsidR="00FB55D6" w:rsidRPr="00831F23">
        <w:t xml:space="preserve">xtended periods of </w:t>
      </w:r>
      <w:r w:rsidR="00FB55D6" w:rsidRPr="00831F23">
        <w:lastRenderedPageBreak/>
        <w:t xml:space="preserve">leave </w:t>
      </w:r>
      <w:r w:rsidR="003E0FD5" w:rsidRPr="00831F23">
        <w:t xml:space="preserve">may </w:t>
      </w:r>
      <w:r w:rsidR="00FB55D6" w:rsidRPr="00801F8D">
        <w:t>undermine female labor force participation and opportunities for women’s career advancement and earnings progression. They may also result in occupational segregation, as women tend to choose occupations with more g</w:t>
      </w:r>
      <w:r w:rsidR="00FB55D6" w:rsidRPr="00634882">
        <w:t>eneric and easily transferable skills that do not deteriorate during long periods of leave</w:t>
      </w:r>
      <w:r w:rsidR="003E0FD5" w:rsidRPr="004D7AFF">
        <w:t>. Taking into account a non</w:t>
      </w:r>
      <w:r w:rsidR="001D7939">
        <w:t>-</w:t>
      </w:r>
      <w:r w:rsidR="003E0FD5" w:rsidRPr="001D7939">
        <w:t xml:space="preserve">linear relationship between </w:t>
      </w:r>
      <w:r w:rsidR="001D7939" w:rsidRPr="001D7939">
        <w:t xml:space="preserve">the length of leave and </w:t>
      </w:r>
      <w:r w:rsidR="003E0FD5" w:rsidRPr="001D7939">
        <w:t>female employment, a</w:t>
      </w:r>
      <w:r w:rsidR="003E0FD5" w:rsidRPr="001D7939">
        <w:rPr>
          <w:rFonts w:cstheme="minorHAnsi"/>
          <w:bCs/>
          <w:color w:val="032A45"/>
          <w:shd w:val="clear" w:color="auto" w:fill="FFFFFF"/>
        </w:rPr>
        <w:t xml:space="preserve"> more detailed analysis, including </w:t>
      </w:r>
      <w:r w:rsidR="001D7939">
        <w:rPr>
          <w:rFonts w:cstheme="minorHAnsi"/>
          <w:bCs/>
          <w:color w:val="032A45"/>
          <w:shd w:val="clear" w:color="auto" w:fill="FFFFFF"/>
        </w:rPr>
        <w:t xml:space="preserve">the </w:t>
      </w:r>
      <w:r w:rsidR="003E0FD5" w:rsidRPr="001D7939">
        <w:rPr>
          <w:rFonts w:cstheme="minorHAnsi"/>
          <w:bCs/>
          <w:color w:val="032A45"/>
          <w:shd w:val="clear" w:color="auto" w:fill="FFFFFF"/>
        </w:rPr>
        <w:t>f</w:t>
      </w:r>
      <w:r w:rsidR="001D7939">
        <w:rPr>
          <w:rFonts w:cstheme="minorHAnsi"/>
          <w:bCs/>
          <w:color w:val="032A45"/>
          <w:shd w:val="clear" w:color="auto" w:fill="FFFFFF"/>
        </w:rPr>
        <w:t>unding sources</w:t>
      </w:r>
      <w:r w:rsidR="003E0FD5" w:rsidRPr="001D7939">
        <w:rPr>
          <w:rFonts w:cstheme="minorHAnsi"/>
          <w:bCs/>
          <w:color w:val="032A45"/>
          <w:shd w:val="clear" w:color="auto" w:fill="FFFFFF"/>
        </w:rPr>
        <w:t xml:space="preserve"> </w:t>
      </w:r>
      <w:r w:rsidR="001D7939">
        <w:rPr>
          <w:rFonts w:cstheme="minorHAnsi"/>
          <w:bCs/>
          <w:color w:val="032A45"/>
          <w:shd w:val="clear" w:color="auto" w:fill="FFFFFF"/>
        </w:rPr>
        <w:t xml:space="preserve">of the benefit </w:t>
      </w:r>
      <w:r w:rsidR="003E0FD5" w:rsidRPr="001D7939">
        <w:rPr>
          <w:rFonts w:cstheme="minorHAnsi"/>
          <w:bCs/>
          <w:color w:val="032A45"/>
          <w:shd w:val="clear" w:color="auto" w:fill="FFFFFF"/>
        </w:rPr>
        <w:t xml:space="preserve">and linking </w:t>
      </w:r>
      <w:r w:rsidR="001D7939">
        <w:rPr>
          <w:rFonts w:cstheme="minorHAnsi"/>
          <w:bCs/>
          <w:color w:val="032A45"/>
          <w:shd w:val="clear" w:color="auto" w:fill="FFFFFF"/>
        </w:rPr>
        <w:t xml:space="preserve">changes in the duration of leave </w:t>
      </w:r>
      <w:r w:rsidR="003E0FD5" w:rsidRPr="001D7939">
        <w:rPr>
          <w:rFonts w:cstheme="minorHAnsi"/>
          <w:bCs/>
          <w:color w:val="032A45"/>
          <w:shd w:val="clear" w:color="auto" w:fill="FFFFFF"/>
        </w:rPr>
        <w:t xml:space="preserve">with </w:t>
      </w:r>
      <w:r w:rsidR="001D7939">
        <w:rPr>
          <w:rFonts w:cstheme="minorHAnsi"/>
          <w:bCs/>
          <w:color w:val="032A45"/>
          <w:shd w:val="clear" w:color="auto" w:fill="FFFFFF"/>
        </w:rPr>
        <w:t xml:space="preserve">the availability of </w:t>
      </w:r>
      <w:r w:rsidR="001D7939" w:rsidRPr="001D7939">
        <w:rPr>
          <w:rFonts w:cstheme="minorHAnsi"/>
          <w:bCs/>
          <w:color w:val="032A45"/>
          <w:shd w:val="clear" w:color="auto" w:fill="FFFFFF"/>
        </w:rPr>
        <w:t>child</w:t>
      </w:r>
      <w:r w:rsidR="003E0FD5" w:rsidRPr="001D7939">
        <w:rPr>
          <w:rFonts w:cstheme="minorHAnsi"/>
          <w:bCs/>
          <w:color w:val="032A45"/>
          <w:shd w:val="clear" w:color="auto" w:fill="FFFFFF"/>
        </w:rPr>
        <w:t>care</w:t>
      </w:r>
      <w:r w:rsidR="001D7939">
        <w:rPr>
          <w:rFonts w:cstheme="minorHAnsi"/>
          <w:bCs/>
          <w:color w:val="032A45"/>
          <w:shd w:val="clear" w:color="auto" w:fill="FFFFFF"/>
        </w:rPr>
        <w:t xml:space="preserve"> services</w:t>
      </w:r>
      <w:r w:rsidR="001D7939" w:rsidRPr="001D7939">
        <w:rPr>
          <w:rFonts w:cstheme="minorHAnsi"/>
          <w:bCs/>
          <w:color w:val="032A45"/>
          <w:shd w:val="clear" w:color="auto" w:fill="FFFFFF"/>
        </w:rPr>
        <w:t>,</w:t>
      </w:r>
      <w:r w:rsidR="003E0FD5" w:rsidRPr="001D7939">
        <w:rPr>
          <w:rFonts w:cstheme="minorHAnsi"/>
          <w:bCs/>
          <w:color w:val="032A45"/>
          <w:shd w:val="clear" w:color="auto" w:fill="FFFFFF"/>
        </w:rPr>
        <w:t xml:space="preserve"> is important</w:t>
      </w:r>
      <w:r w:rsidR="0003253D">
        <w:rPr>
          <w:rFonts w:cstheme="minorHAnsi"/>
          <w:bCs/>
          <w:color w:val="032A45"/>
          <w:shd w:val="clear" w:color="auto" w:fill="FFFFFF"/>
        </w:rPr>
        <w:t xml:space="preserve"> </w:t>
      </w:r>
      <w:r w:rsidR="0003253D">
        <w:rPr>
          <w:rFonts w:cstheme="minorHAnsi"/>
          <w:bCs/>
          <w:color w:val="032A45"/>
          <w:shd w:val="clear" w:color="auto" w:fill="FFFFFF"/>
        </w:rPr>
        <w:t>t</w:t>
      </w:r>
      <w:bookmarkStart w:id="6" w:name="_GoBack"/>
      <w:bookmarkEnd w:id="6"/>
      <w:r w:rsidR="0003253D">
        <w:rPr>
          <w:rFonts w:cstheme="minorHAnsi"/>
          <w:bCs/>
          <w:color w:val="032A45"/>
          <w:shd w:val="clear" w:color="auto" w:fill="FFFFFF"/>
        </w:rPr>
        <w:t>o determine the optimal length of leave</w:t>
      </w:r>
      <w:r w:rsidR="003E0FD5" w:rsidRPr="001D7939">
        <w:rPr>
          <w:rFonts w:cstheme="minorHAnsi"/>
          <w:bCs/>
          <w:color w:val="032A45"/>
          <w:shd w:val="clear" w:color="auto" w:fill="FFFFFF"/>
        </w:rPr>
        <w:t>.</w:t>
      </w:r>
    </w:p>
    <w:p w14:paraId="300CDA0E" w14:textId="44F8DD80" w:rsidR="00FB55D6" w:rsidRPr="0089131F" w:rsidRDefault="005F42C0" w:rsidP="001D7939">
      <w:pPr>
        <w:pStyle w:val="a"/>
        <w:numPr>
          <w:ilvl w:val="0"/>
          <w:numId w:val="9"/>
        </w:numPr>
        <w:tabs>
          <w:tab w:val="left" w:pos="426"/>
        </w:tabs>
        <w:ind w:left="0" w:firstLine="0"/>
        <w:rPr>
          <w:rFonts w:cstheme="minorHAnsi"/>
        </w:rPr>
      </w:pPr>
      <w:r>
        <w:rPr>
          <w:rFonts w:cstheme="minorHAnsi"/>
          <w:b/>
        </w:rPr>
        <w:t>I</w:t>
      </w:r>
      <w:r w:rsidR="00FB55D6" w:rsidRPr="0089131F">
        <w:rPr>
          <w:rFonts w:cstheme="minorHAnsi"/>
          <w:b/>
        </w:rPr>
        <w:t>ntroduce a father’s quota</w:t>
      </w:r>
      <w:r w:rsidR="00FB55D6" w:rsidRPr="0089131F">
        <w:rPr>
          <w:rFonts w:cstheme="minorHAnsi"/>
          <w:color w:val="545454"/>
          <w:shd w:val="clear" w:color="auto" w:fill="FFFFFF"/>
        </w:rPr>
        <w:t xml:space="preserve"> </w:t>
      </w:r>
      <w:r w:rsidR="00FB55D6" w:rsidRPr="0089131F">
        <w:rPr>
          <w:rFonts w:cstheme="minorHAnsi"/>
          <w:b/>
        </w:rPr>
        <w:t>for parental leave</w:t>
      </w:r>
      <w:r w:rsidR="001D7939">
        <w:rPr>
          <w:rFonts w:cstheme="minorHAnsi"/>
          <w:b/>
        </w:rPr>
        <w:t xml:space="preserve"> and </w:t>
      </w:r>
      <w:r w:rsidR="001D7939" w:rsidRPr="001D7939">
        <w:rPr>
          <w:rFonts w:cstheme="minorHAnsi"/>
          <w:b/>
        </w:rPr>
        <w:t>counteract traditional gender patterns and gender roles</w:t>
      </w:r>
      <w:r w:rsidR="00FB55D6" w:rsidRPr="0089131F">
        <w:rPr>
          <w:rFonts w:cstheme="minorHAnsi"/>
          <w:color w:val="545454"/>
          <w:shd w:val="clear" w:color="auto" w:fill="FFFFFF"/>
        </w:rPr>
        <w:t xml:space="preserve">. </w:t>
      </w:r>
      <w:r w:rsidR="00FB55D6" w:rsidRPr="0089131F">
        <w:rPr>
          <w:rFonts w:cstheme="minorHAnsi"/>
          <w:shd w:val="clear" w:color="auto" w:fill="FFFFFF"/>
        </w:rPr>
        <w:t>T</w:t>
      </w:r>
      <w:r w:rsidR="00FB55D6" w:rsidRPr="0089131F">
        <w:t>he initiative that a certain part of the parental leave period can only be taken by the father</w:t>
      </w:r>
      <w:r w:rsidR="00FB55D6" w:rsidRPr="0089131F">
        <w:rPr>
          <w:rFonts w:cstheme="minorHAnsi"/>
        </w:rPr>
        <w:t xml:space="preserve"> is likely to help foster a more equitable division of childrearing </w:t>
      </w:r>
      <w:r w:rsidR="00FB55D6" w:rsidRPr="0089131F">
        <w:t xml:space="preserve">responsibilities in the family and therefore tackle gender inequalities in the labor market, </w:t>
      </w:r>
      <w:r>
        <w:t>which</w:t>
      </w:r>
      <w:r w:rsidRPr="0089131F">
        <w:t xml:space="preserve"> </w:t>
      </w:r>
      <w:r w:rsidR="00FB55D6" w:rsidRPr="0089131F">
        <w:t>are particularly pronounced among parents of infants</w:t>
      </w:r>
      <w:r w:rsidR="001D7939">
        <w:t>.</w:t>
      </w:r>
      <w:r w:rsidR="001D7939" w:rsidRPr="00C71EF3">
        <w:t xml:space="preserve"> </w:t>
      </w:r>
      <w:r w:rsidR="001D7939" w:rsidRPr="006D4290">
        <w:t>Moldova has shown some progress towards eliminating inequalities between fathers and mothers of newborns by introducing paternity leave of up to 14 days (Law № 71</w:t>
      </w:r>
      <w:r w:rsidR="001D7939">
        <w:t>)</w:t>
      </w:r>
      <w:r w:rsidR="001D7939" w:rsidRPr="001D7939">
        <w:t xml:space="preserve"> </w:t>
      </w:r>
      <w:r w:rsidR="001D7939">
        <w:t>i</w:t>
      </w:r>
      <w:r w:rsidR="001D7939" w:rsidRPr="00C71EF3">
        <w:t>n April 2016. It should also consider introduction of a father’s quota for parental leave,</w:t>
      </w:r>
      <w:r w:rsidR="001D7939" w:rsidRPr="006D4290">
        <w:t xml:space="preserve"> which is the principle that a certain part of the parental leave period can only be taken by the father</w:t>
      </w:r>
      <w:r w:rsidR="001D7939" w:rsidRPr="00C71EF3">
        <w:t xml:space="preserve">. However, this policy </w:t>
      </w:r>
      <w:r w:rsidR="001D7939">
        <w:t xml:space="preserve">is not likely to </w:t>
      </w:r>
      <w:r w:rsidR="001D7939" w:rsidRPr="00C71EF3">
        <w:t xml:space="preserve">be effective </w:t>
      </w:r>
      <w:r w:rsidR="001D7939">
        <w:t xml:space="preserve">if </w:t>
      </w:r>
      <w:r w:rsidR="001D7939" w:rsidRPr="00C71EF3">
        <w:t xml:space="preserve">social norms and stereotypes about gender </w:t>
      </w:r>
      <w:r w:rsidR="008B0102">
        <w:t xml:space="preserve">roles </w:t>
      </w:r>
      <w:r w:rsidR="001D7939" w:rsidRPr="00C71EF3">
        <w:t xml:space="preserve">are </w:t>
      </w:r>
      <w:r w:rsidR="001D7939">
        <w:t xml:space="preserve">not </w:t>
      </w:r>
      <w:r w:rsidR="001D7939" w:rsidRPr="00C71EF3">
        <w:t>reshaped</w:t>
      </w:r>
      <w:r w:rsidR="001D7939">
        <w:t>.</w:t>
      </w:r>
    </w:p>
    <w:p w14:paraId="78162213" w14:textId="40EB9B31" w:rsidR="00FB55D6" w:rsidRPr="0089131F" w:rsidRDefault="005F42C0" w:rsidP="003E0FD5">
      <w:pPr>
        <w:pStyle w:val="a"/>
        <w:numPr>
          <w:ilvl w:val="0"/>
          <w:numId w:val="9"/>
        </w:numPr>
        <w:tabs>
          <w:tab w:val="left" w:pos="426"/>
        </w:tabs>
        <w:ind w:left="0" w:firstLine="0"/>
      </w:pPr>
      <w:r>
        <w:rPr>
          <w:b/>
        </w:rPr>
        <w:t>S</w:t>
      </w:r>
      <w:r w:rsidR="00FB55D6" w:rsidRPr="0089131F">
        <w:rPr>
          <w:b/>
        </w:rPr>
        <w:t xml:space="preserve">ubsidize training of women after parental leave. </w:t>
      </w:r>
      <w:r w:rsidR="00FB55D6" w:rsidRPr="0089131F">
        <w:t xml:space="preserve">Long periods of parental leave might cause skills of women to deteriorate. </w:t>
      </w:r>
      <w:r>
        <w:t>To</w:t>
      </w:r>
      <w:r w:rsidR="00FB55D6" w:rsidRPr="0089131F">
        <w:t xml:space="preserve"> tackle discrimination of young women in hiring, promotion</w:t>
      </w:r>
      <w:r>
        <w:t>,</w:t>
      </w:r>
      <w:r w:rsidR="00FB55D6" w:rsidRPr="0089131F">
        <w:t xml:space="preserve"> and earnings related to the skills issue and smooth the transition of mothers from inactivity to employment, it is important to support employers in providing firm-specific training to women who return to their work after parental leave</w:t>
      </w:r>
      <w:r w:rsidR="009B36C4">
        <w:t>. G</w:t>
      </w:r>
      <w:r w:rsidR="009B36C4" w:rsidRPr="00BE4503">
        <w:t xml:space="preserve">overnment-subsidized training </w:t>
      </w:r>
      <w:r w:rsidR="009B36C4">
        <w:t>(e.g. provision of training vouchers) is best targeted at mothers with multiple challenges such as outdated skills, previous experience of long-term unemployment, single-parent responsibilities, or low household income.</w:t>
      </w:r>
    </w:p>
    <w:p w14:paraId="04262EB0" w14:textId="0154F7EF" w:rsidR="00FB55D6" w:rsidRPr="0089131F" w:rsidRDefault="005F42C0" w:rsidP="003E0FD5">
      <w:pPr>
        <w:pStyle w:val="a"/>
        <w:numPr>
          <w:ilvl w:val="0"/>
          <w:numId w:val="9"/>
        </w:numPr>
        <w:tabs>
          <w:tab w:val="left" w:pos="426"/>
        </w:tabs>
        <w:ind w:left="0" w:firstLine="0"/>
      </w:pPr>
      <w:r>
        <w:rPr>
          <w:b/>
        </w:rPr>
        <w:t>R</w:t>
      </w:r>
      <w:r w:rsidR="00FB55D6" w:rsidRPr="0089131F">
        <w:rPr>
          <w:b/>
        </w:rPr>
        <w:t>evise the list of jobs prohibited for women</w:t>
      </w:r>
      <w:r w:rsidR="00FB55D6" w:rsidRPr="0089131F">
        <w:t xml:space="preserve">. </w:t>
      </w:r>
      <w:r w:rsidR="001608B9" w:rsidRPr="0089131F">
        <w:t xml:space="preserve">Numerous </w:t>
      </w:r>
      <w:r w:rsidR="00FB55D6" w:rsidRPr="0089131F">
        <w:t xml:space="preserve">restrictions on </w:t>
      </w:r>
      <w:r w:rsidR="001608B9" w:rsidRPr="0089131F">
        <w:t xml:space="preserve">the type of jobs and </w:t>
      </w:r>
      <w:r w:rsidR="00FB55D6" w:rsidRPr="0089131F">
        <w:t xml:space="preserve">working hours </w:t>
      </w:r>
      <w:r w:rsidR="001608B9" w:rsidRPr="0089131F">
        <w:t xml:space="preserve">that can be performed by women </w:t>
      </w:r>
      <w:r w:rsidR="00FB55D6" w:rsidRPr="0089131F">
        <w:t>limit the range of jobs that women can hold and lead to educational and occupational segregation, with confinement of women to lower-paid activities</w:t>
      </w:r>
      <w:r w:rsidR="009B36C4">
        <w:t>.</w:t>
      </w:r>
    </w:p>
    <w:p w14:paraId="47D9CC1C" w14:textId="2752891B" w:rsidR="00FB55D6" w:rsidRPr="009B36C4" w:rsidRDefault="005F42C0" w:rsidP="009B36C4">
      <w:pPr>
        <w:pStyle w:val="a"/>
        <w:numPr>
          <w:ilvl w:val="0"/>
          <w:numId w:val="9"/>
        </w:numPr>
        <w:tabs>
          <w:tab w:val="left" w:pos="426"/>
        </w:tabs>
        <w:ind w:left="0" w:firstLine="0"/>
      </w:pPr>
      <w:r>
        <w:rPr>
          <w:b/>
        </w:rPr>
        <w:t>P</w:t>
      </w:r>
      <w:r w:rsidR="00FB55D6" w:rsidRPr="0089131F">
        <w:rPr>
          <w:b/>
        </w:rPr>
        <w:t xml:space="preserve">rovide timely and relevant </w:t>
      </w:r>
      <w:r w:rsidR="001608B9" w:rsidRPr="0089131F">
        <w:rPr>
          <w:b/>
        </w:rPr>
        <w:t>gender‐specific</w:t>
      </w:r>
      <w:r w:rsidR="001608B9" w:rsidRPr="009B36C4">
        <w:rPr>
          <w:b/>
        </w:rPr>
        <w:t xml:space="preserve"> </w:t>
      </w:r>
      <w:r w:rsidR="00FB55D6" w:rsidRPr="0089131F">
        <w:rPr>
          <w:b/>
        </w:rPr>
        <w:t>information on career paths and average earnings in different occupations</w:t>
      </w:r>
      <w:r w:rsidR="001608B9" w:rsidRPr="0089131F">
        <w:rPr>
          <w:b/>
        </w:rPr>
        <w:t xml:space="preserve"> and sectors</w:t>
      </w:r>
      <w:r w:rsidR="00FB55D6" w:rsidRPr="009B36C4">
        <w:t xml:space="preserve">. The provision of </w:t>
      </w:r>
      <w:r w:rsidR="001608B9" w:rsidRPr="009B36C4">
        <w:t xml:space="preserve">gender‐specific </w:t>
      </w:r>
      <w:r w:rsidR="00FB55D6" w:rsidRPr="009B36C4">
        <w:t xml:space="preserve">information </w:t>
      </w:r>
      <w:r w:rsidR="001608B9" w:rsidRPr="009B36C4">
        <w:t xml:space="preserve">at younger ages </w:t>
      </w:r>
      <w:r w:rsidR="00FB55D6" w:rsidRPr="009B36C4">
        <w:t xml:space="preserve">on returns to education and occupational wage differentials has the potential to change occupational aspirations of girls and reduce </w:t>
      </w:r>
      <w:r w:rsidR="001608B9" w:rsidRPr="009B36C4">
        <w:t>the gender labor market disparities in the future</w:t>
      </w:r>
      <w:r w:rsidR="009B36C4" w:rsidRPr="009B36C4">
        <w:t xml:space="preserve">. Hence, the objective of the newly created Labor Market Observatory (LMO) is to not only to identify and analyze labor market trends and challenges overall, but also provide gender-disaggregated </w:t>
      </w:r>
      <w:r w:rsidR="00683D36">
        <w:t>statistics and its analysis</w:t>
      </w:r>
      <w:r w:rsidR="009B36C4" w:rsidRPr="009B36C4">
        <w:t>.</w:t>
      </w:r>
    </w:p>
    <w:p w14:paraId="09783487" w14:textId="77777777" w:rsidR="00AC0167" w:rsidRPr="0089131F" w:rsidRDefault="005F42C0" w:rsidP="003E0FD5">
      <w:pPr>
        <w:pStyle w:val="a"/>
        <w:numPr>
          <w:ilvl w:val="0"/>
          <w:numId w:val="9"/>
        </w:numPr>
        <w:tabs>
          <w:tab w:val="left" w:pos="426"/>
        </w:tabs>
        <w:ind w:left="0" w:firstLine="0"/>
      </w:pPr>
      <w:r>
        <w:rPr>
          <w:b/>
        </w:rPr>
        <w:t>F</w:t>
      </w:r>
      <w:r w:rsidR="00AC0167" w:rsidRPr="0089131F">
        <w:rPr>
          <w:b/>
        </w:rPr>
        <w:t>acilitate part-time and flexible forms of employment and promote work-life balance policies and equality at the workplace</w:t>
      </w:r>
      <w:r w:rsidR="00AC0167" w:rsidRPr="0089131F">
        <w:t xml:space="preserve">. Part-time jobs or flexible working arrangements that are very limited in the Moldovan labor market need to be promoted through the changes in the labor law in order to encourage more women to </w:t>
      </w:r>
      <w:r>
        <w:t>participate in the labor market despite their family obligations</w:t>
      </w:r>
      <w:r w:rsidR="00AC0167" w:rsidRPr="0089131F">
        <w:t>. Another important policy area is to regulate provision of sick leaves (and other fringe benefits) in the case of part-time employment that are especially important for women with small children. The government</w:t>
      </w:r>
      <w:r w:rsidR="00BB343B" w:rsidRPr="0089131F">
        <w:t xml:space="preserve"> can also promote gender equality through </w:t>
      </w:r>
      <w:r w:rsidR="00AC0167" w:rsidRPr="0089131F">
        <w:t xml:space="preserve">effective </w:t>
      </w:r>
      <w:r w:rsidR="00BB343B" w:rsidRPr="0089131F">
        <w:t xml:space="preserve">public-private </w:t>
      </w:r>
      <w:r w:rsidR="00AC0167" w:rsidRPr="0089131F">
        <w:t xml:space="preserve">partnerships with leading companies </w:t>
      </w:r>
      <w:r>
        <w:t>that</w:t>
      </w:r>
      <w:r w:rsidRPr="0089131F">
        <w:t xml:space="preserve"> </w:t>
      </w:r>
      <w:r w:rsidR="00AC0167" w:rsidRPr="0089131F">
        <w:t>enforce gender neutrality in advertising of jobs and hiring</w:t>
      </w:r>
      <w:r w:rsidR="00BB343B" w:rsidRPr="0089131F">
        <w:t xml:space="preserve"> and promote gender equality at work</w:t>
      </w:r>
      <w:r w:rsidR="00AC0167" w:rsidRPr="0089131F">
        <w:t>.</w:t>
      </w:r>
    </w:p>
    <w:p w14:paraId="53E241F8" w14:textId="2CC4BD5A" w:rsidR="00A619B4" w:rsidRPr="004A792A" w:rsidRDefault="001211B4" w:rsidP="00A619B4">
      <w:pPr>
        <w:pStyle w:val="61"/>
        <w:shd w:val="clear" w:color="auto" w:fill="auto"/>
        <w:spacing w:before="120" w:line="240" w:lineRule="auto"/>
        <w:jc w:val="both"/>
        <w:rPr>
          <w:color w:val="000000"/>
          <w:sz w:val="22"/>
          <w:szCs w:val="22"/>
        </w:rPr>
      </w:pPr>
      <w:r>
        <w:rPr>
          <w:color w:val="000000"/>
          <w:sz w:val="22"/>
          <w:szCs w:val="22"/>
        </w:rPr>
        <w:t>T</w:t>
      </w:r>
      <w:r w:rsidR="007D02A7">
        <w:rPr>
          <w:color w:val="000000"/>
          <w:sz w:val="22"/>
          <w:szCs w:val="22"/>
        </w:rPr>
        <w:t xml:space="preserve">hese measures are aimed at </w:t>
      </w:r>
      <w:r w:rsidR="007D02A7" w:rsidRPr="007D02A7">
        <w:rPr>
          <w:color w:val="000000"/>
          <w:sz w:val="22"/>
          <w:szCs w:val="22"/>
        </w:rPr>
        <w:t>encourag</w:t>
      </w:r>
      <w:r w:rsidR="007D02A7">
        <w:rPr>
          <w:color w:val="000000"/>
          <w:sz w:val="22"/>
          <w:szCs w:val="22"/>
        </w:rPr>
        <w:t>ing</w:t>
      </w:r>
      <w:r w:rsidR="007D02A7" w:rsidRPr="007D02A7">
        <w:rPr>
          <w:color w:val="000000"/>
          <w:sz w:val="22"/>
          <w:szCs w:val="22"/>
        </w:rPr>
        <w:t xml:space="preserve"> </w:t>
      </w:r>
      <w:r w:rsidR="007D02A7">
        <w:rPr>
          <w:color w:val="000000"/>
          <w:sz w:val="22"/>
          <w:szCs w:val="22"/>
        </w:rPr>
        <w:t>more</w:t>
      </w:r>
      <w:r w:rsidR="007D02A7" w:rsidRPr="007D02A7">
        <w:rPr>
          <w:color w:val="000000"/>
          <w:sz w:val="22"/>
          <w:szCs w:val="22"/>
        </w:rPr>
        <w:t xml:space="preserve"> women to participate in the labor force,</w:t>
      </w:r>
      <w:r w:rsidR="007D02A7">
        <w:rPr>
          <w:color w:val="000000"/>
          <w:sz w:val="22"/>
          <w:szCs w:val="22"/>
        </w:rPr>
        <w:t xml:space="preserve"> </w:t>
      </w:r>
      <w:r w:rsidR="007D02A7" w:rsidRPr="007D02A7">
        <w:rPr>
          <w:color w:val="000000"/>
          <w:sz w:val="22"/>
          <w:szCs w:val="22"/>
        </w:rPr>
        <w:t>improv</w:t>
      </w:r>
      <w:r w:rsidR="007D02A7">
        <w:rPr>
          <w:color w:val="000000"/>
          <w:sz w:val="22"/>
          <w:szCs w:val="22"/>
        </w:rPr>
        <w:t>ing</w:t>
      </w:r>
      <w:r w:rsidR="007D02A7" w:rsidRPr="007D02A7">
        <w:rPr>
          <w:color w:val="000000"/>
          <w:sz w:val="22"/>
          <w:szCs w:val="22"/>
        </w:rPr>
        <w:t xml:space="preserve"> </w:t>
      </w:r>
      <w:r w:rsidR="007D02A7">
        <w:rPr>
          <w:color w:val="000000"/>
          <w:sz w:val="22"/>
          <w:szCs w:val="22"/>
        </w:rPr>
        <w:t xml:space="preserve">employment </w:t>
      </w:r>
      <w:r w:rsidR="007D02A7" w:rsidRPr="007D02A7">
        <w:rPr>
          <w:color w:val="000000"/>
          <w:sz w:val="22"/>
          <w:szCs w:val="22"/>
        </w:rPr>
        <w:t>opportunities for women with family obligations,</w:t>
      </w:r>
      <w:r w:rsidR="007D02A7">
        <w:rPr>
          <w:color w:val="000000"/>
          <w:sz w:val="22"/>
          <w:szCs w:val="22"/>
        </w:rPr>
        <w:t xml:space="preserve"> and</w:t>
      </w:r>
      <w:r w:rsidR="007D02A7" w:rsidRPr="007D02A7">
        <w:rPr>
          <w:color w:val="000000"/>
          <w:sz w:val="22"/>
          <w:szCs w:val="22"/>
        </w:rPr>
        <w:t xml:space="preserve"> </w:t>
      </w:r>
      <w:r w:rsidR="007D02A7">
        <w:rPr>
          <w:color w:val="000000"/>
          <w:sz w:val="22"/>
          <w:szCs w:val="22"/>
        </w:rPr>
        <w:t>reducing</w:t>
      </w:r>
      <w:r w:rsidR="007D02A7" w:rsidRPr="007D02A7">
        <w:rPr>
          <w:color w:val="000000"/>
          <w:sz w:val="22"/>
          <w:szCs w:val="22"/>
        </w:rPr>
        <w:t xml:space="preserve"> occupational segregation and gender-based discrimination in the labor market. Encouraging more women to work in male-dominated occupations, which are concentrated in the non-public formal sector and larger firms, can also contribute to greater gender pay equality.</w:t>
      </w:r>
      <w:r w:rsidR="00EA79A8">
        <w:rPr>
          <w:color w:val="000000"/>
          <w:sz w:val="22"/>
          <w:szCs w:val="22"/>
        </w:rPr>
        <w:t xml:space="preserve"> </w:t>
      </w:r>
      <w:r w:rsidR="00EA79A8" w:rsidRPr="00EA79A8">
        <w:rPr>
          <w:color w:val="000000"/>
          <w:sz w:val="22"/>
          <w:szCs w:val="22"/>
        </w:rPr>
        <w:t xml:space="preserve">However, in view of the aggregate employment decline and very limited availability of decent jobs in Moldova, the effectiveness of these supply-side measures in </w:t>
      </w:r>
      <w:r w:rsidR="00EA79A8">
        <w:rPr>
          <w:color w:val="000000"/>
          <w:sz w:val="22"/>
          <w:szCs w:val="22"/>
        </w:rPr>
        <w:t xml:space="preserve">improving labor market outcomes </w:t>
      </w:r>
      <w:r w:rsidR="00EA79A8" w:rsidRPr="00EA79A8">
        <w:rPr>
          <w:color w:val="000000"/>
          <w:sz w:val="22"/>
          <w:szCs w:val="22"/>
        </w:rPr>
        <w:t>is limited if they are not accompanied by policies to support creation of more and higher-productivity private sector jobs.</w:t>
      </w:r>
    </w:p>
    <w:p w14:paraId="2A09AD86" w14:textId="77777777" w:rsidR="00A619B4" w:rsidRPr="004A792A" w:rsidRDefault="00A619B4" w:rsidP="00A619B4">
      <w:pPr>
        <w:pStyle w:val="61"/>
        <w:shd w:val="clear" w:color="auto" w:fill="auto"/>
        <w:spacing w:before="120" w:line="240" w:lineRule="auto"/>
        <w:jc w:val="both"/>
        <w:rPr>
          <w:color w:val="000000"/>
          <w:sz w:val="22"/>
          <w:szCs w:val="22"/>
        </w:rPr>
        <w:sectPr w:rsidR="00A619B4" w:rsidRPr="004A792A" w:rsidSect="00F47539">
          <w:footerReference w:type="default" r:id="rId13"/>
          <w:pgSz w:w="11909" w:h="16834" w:code="9"/>
          <w:pgMar w:top="1440" w:right="1440" w:bottom="1440" w:left="1440" w:header="720" w:footer="720" w:gutter="0"/>
          <w:pgNumType w:fmt="lowerRoman" w:start="1"/>
          <w:cols w:space="720"/>
          <w:titlePg/>
          <w:docGrid w:linePitch="360"/>
        </w:sectPr>
      </w:pPr>
    </w:p>
    <w:p w14:paraId="5052ACC5" w14:textId="77777777" w:rsidR="0088309F" w:rsidRPr="004A792A" w:rsidRDefault="0088309F" w:rsidP="0088309F">
      <w:pPr>
        <w:pStyle w:val="Headingoverview"/>
        <w:jc w:val="both"/>
        <w:rPr>
          <w:smallCaps w:val="0"/>
          <w:color w:val="0070C0"/>
        </w:rPr>
      </w:pPr>
      <w:bookmarkStart w:id="7" w:name="bookmark5"/>
      <w:bookmarkStart w:id="8" w:name="_Toc533211729"/>
      <w:bookmarkStart w:id="9" w:name="_Ref499730999"/>
      <w:r w:rsidRPr="004A792A">
        <w:rPr>
          <w:smallCaps w:val="0"/>
          <w:color w:val="0070C0"/>
        </w:rPr>
        <w:lastRenderedPageBreak/>
        <w:t xml:space="preserve">1. </w:t>
      </w:r>
      <w:r w:rsidRPr="004A792A">
        <w:rPr>
          <w:color w:val="0070C0"/>
        </w:rPr>
        <w:t>Introduction</w:t>
      </w:r>
      <w:bookmarkEnd w:id="7"/>
      <w:bookmarkEnd w:id="8"/>
    </w:p>
    <w:p w14:paraId="0EBAD929" w14:textId="4321AE51" w:rsidR="0088309F" w:rsidRPr="004A792A" w:rsidRDefault="00776F46" w:rsidP="0088309F">
      <w:pPr>
        <w:pStyle w:val="61"/>
        <w:shd w:val="clear" w:color="auto" w:fill="auto"/>
        <w:spacing w:before="120" w:line="240" w:lineRule="auto"/>
        <w:jc w:val="both"/>
        <w:rPr>
          <w:sz w:val="22"/>
          <w:szCs w:val="22"/>
        </w:rPr>
      </w:pPr>
      <w:r w:rsidRPr="00776F46">
        <w:rPr>
          <w:b/>
          <w:color w:val="000000"/>
          <w:sz w:val="22"/>
          <w:szCs w:val="22"/>
        </w:rPr>
        <w:t>Moldova has the lowest gender gap in labor force participation (6.3 percentage points in 2017) compared to other ECA countries</w:t>
      </w:r>
      <w:r>
        <w:rPr>
          <w:color w:val="000000"/>
          <w:sz w:val="22"/>
          <w:szCs w:val="22"/>
        </w:rPr>
        <w:t xml:space="preserve">, where the </w:t>
      </w:r>
      <w:r w:rsidRPr="004A792A">
        <w:rPr>
          <w:color w:val="000000"/>
          <w:sz w:val="22"/>
          <w:szCs w:val="22"/>
        </w:rPr>
        <w:t xml:space="preserve">regional average </w:t>
      </w:r>
      <w:r>
        <w:rPr>
          <w:color w:val="000000"/>
          <w:sz w:val="22"/>
          <w:szCs w:val="22"/>
        </w:rPr>
        <w:t>is</w:t>
      </w:r>
      <w:r w:rsidRPr="004A792A">
        <w:rPr>
          <w:color w:val="000000"/>
          <w:sz w:val="22"/>
          <w:szCs w:val="22"/>
        </w:rPr>
        <w:t xml:space="preserve"> 20.7 percentage points (</w:t>
      </w:r>
      <w:r w:rsidRPr="004A792A">
        <w:rPr>
          <w:color w:val="000000"/>
          <w:sz w:val="22"/>
          <w:szCs w:val="22"/>
        </w:rPr>
        <w:fldChar w:fldCharType="begin"/>
      </w:r>
      <w:r w:rsidRPr="004A792A">
        <w:rPr>
          <w:color w:val="000000"/>
          <w:sz w:val="22"/>
          <w:szCs w:val="22"/>
        </w:rPr>
        <w:instrText xml:space="preserve"> REF _Ref519149228 \h  \* MERGEFORMAT </w:instrText>
      </w:r>
      <w:r w:rsidRPr="004A792A">
        <w:rPr>
          <w:color w:val="000000"/>
          <w:sz w:val="22"/>
          <w:szCs w:val="22"/>
        </w:rPr>
      </w:r>
      <w:r w:rsidRPr="004A792A">
        <w:rPr>
          <w:color w:val="000000"/>
          <w:sz w:val="22"/>
          <w:szCs w:val="22"/>
        </w:rPr>
        <w:fldChar w:fldCharType="separate"/>
      </w:r>
      <w:r w:rsidRPr="00F2278E">
        <w:rPr>
          <w:sz w:val="22"/>
          <w:szCs w:val="22"/>
        </w:rPr>
        <w:t xml:space="preserve">Figure </w:t>
      </w:r>
      <w:r w:rsidRPr="00F2278E">
        <w:rPr>
          <w:noProof/>
          <w:sz w:val="22"/>
          <w:szCs w:val="22"/>
        </w:rPr>
        <w:t>1</w:t>
      </w:r>
      <w:r w:rsidRPr="004A792A">
        <w:rPr>
          <w:color w:val="000000"/>
          <w:sz w:val="22"/>
          <w:szCs w:val="22"/>
        </w:rPr>
        <w:fldChar w:fldCharType="end"/>
      </w:r>
      <w:r w:rsidRPr="004A792A">
        <w:rPr>
          <w:color w:val="000000"/>
          <w:sz w:val="22"/>
          <w:szCs w:val="22"/>
        </w:rPr>
        <w:t>).</w:t>
      </w:r>
      <w:r>
        <w:rPr>
          <w:color w:val="000000"/>
          <w:sz w:val="22"/>
          <w:szCs w:val="22"/>
        </w:rPr>
        <w:t xml:space="preserve"> However, t</w:t>
      </w:r>
      <w:r w:rsidR="0088309F" w:rsidRPr="004A792A">
        <w:rPr>
          <w:color w:val="000000"/>
          <w:sz w:val="22"/>
          <w:szCs w:val="22"/>
        </w:rPr>
        <w:t xml:space="preserve">he labor force participation and employment rates in Moldova are </w:t>
      </w:r>
      <w:r>
        <w:rPr>
          <w:color w:val="000000"/>
          <w:sz w:val="22"/>
          <w:szCs w:val="22"/>
        </w:rPr>
        <w:t xml:space="preserve">also </w:t>
      </w:r>
      <w:r w:rsidR="0088309F" w:rsidRPr="004A792A">
        <w:rPr>
          <w:color w:val="000000"/>
          <w:sz w:val="22"/>
          <w:szCs w:val="22"/>
        </w:rPr>
        <w:t xml:space="preserve">well below than in neighboring countries and the ECA regional average: </w:t>
      </w:r>
      <w:r w:rsidR="0088309F" w:rsidRPr="008C0353">
        <w:rPr>
          <w:color w:val="000000"/>
          <w:sz w:val="22"/>
          <w:szCs w:val="22"/>
        </w:rPr>
        <w:t>only 42.4 percent of the total population over 15 years of age participated in the labor force in 2017, and only 40.6 percent were employed</w:t>
      </w:r>
      <w:r>
        <w:rPr>
          <w:color w:val="000000"/>
          <w:sz w:val="22"/>
          <w:szCs w:val="22"/>
        </w:rPr>
        <w:t xml:space="preserve"> </w:t>
      </w:r>
      <w:r w:rsidRPr="004A792A">
        <w:rPr>
          <w:color w:val="000000"/>
          <w:sz w:val="22"/>
          <w:szCs w:val="22"/>
        </w:rPr>
        <w:t>(</w:t>
      </w:r>
      <w:r w:rsidRPr="004A792A">
        <w:rPr>
          <w:color w:val="000000"/>
          <w:sz w:val="22"/>
          <w:szCs w:val="22"/>
        </w:rPr>
        <w:fldChar w:fldCharType="begin"/>
      </w:r>
      <w:r w:rsidRPr="004A792A">
        <w:rPr>
          <w:color w:val="000000"/>
          <w:sz w:val="22"/>
          <w:szCs w:val="22"/>
        </w:rPr>
        <w:instrText xml:space="preserve"> REF _Ref519149228 \h  \* MERGEFORMAT </w:instrText>
      </w:r>
      <w:r w:rsidRPr="004A792A">
        <w:rPr>
          <w:color w:val="000000"/>
          <w:sz w:val="22"/>
          <w:szCs w:val="22"/>
        </w:rPr>
      </w:r>
      <w:r w:rsidRPr="004A792A">
        <w:rPr>
          <w:color w:val="000000"/>
          <w:sz w:val="22"/>
          <w:szCs w:val="22"/>
        </w:rPr>
        <w:fldChar w:fldCharType="separate"/>
      </w:r>
      <w:r w:rsidRPr="00F2278E">
        <w:rPr>
          <w:sz w:val="22"/>
          <w:szCs w:val="22"/>
        </w:rPr>
        <w:t xml:space="preserve">Figure </w:t>
      </w:r>
      <w:r w:rsidRPr="00F2278E">
        <w:rPr>
          <w:noProof/>
          <w:sz w:val="22"/>
          <w:szCs w:val="22"/>
        </w:rPr>
        <w:t>1</w:t>
      </w:r>
      <w:r w:rsidRPr="004A792A">
        <w:rPr>
          <w:color w:val="000000"/>
          <w:sz w:val="22"/>
          <w:szCs w:val="22"/>
        </w:rPr>
        <w:fldChar w:fldCharType="end"/>
      </w:r>
      <w:r w:rsidRPr="004A792A">
        <w:rPr>
          <w:color w:val="000000"/>
          <w:sz w:val="22"/>
          <w:szCs w:val="22"/>
        </w:rPr>
        <w:t>)</w:t>
      </w:r>
      <w:r w:rsidR="003F6516">
        <w:rPr>
          <w:color w:val="000000"/>
          <w:sz w:val="22"/>
          <w:szCs w:val="22"/>
        </w:rPr>
        <w:t>.</w:t>
      </w:r>
      <w:r w:rsidR="002276BE" w:rsidRPr="008C0353">
        <w:rPr>
          <w:color w:val="000000"/>
          <w:sz w:val="22"/>
          <w:szCs w:val="22"/>
        </w:rPr>
        <w:t xml:space="preserve"> </w:t>
      </w:r>
      <w:r w:rsidR="003F6516" w:rsidRPr="00661FF3">
        <w:rPr>
          <w:sz w:val="22"/>
          <w:szCs w:val="22"/>
        </w:rPr>
        <w:t>If the age limits are reduced to the official working age in Moldova (15-56 years for women, and 15-61 years for men</w:t>
      </w:r>
      <w:r w:rsidR="003F6516">
        <w:rPr>
          <w:sz w:val="22"/>
          <w:szCs w:val="22"/>
        </w:rPr>
        <w:t xml:space="preserve"> in 2016</w:t>
      </w:r>
      <w:r w:rsidR="003F6516" w:rsidRPr="00661FF3">
        <w:rPr>
          <w:sz w:val="22"/>
          <w:szCs w:val="22"/>
        </w:rPr>
        <w:t xml:space="preserve">), the labor force participation and employment rates based on the LFS 2016 data increase from 42.6 and 40.9 percent to 49.6 and 46.9 percent, respectively. If international migrants are excluded from inactive </w:t>
      </w:r>
      <w:r w:rsidR="00DE71A2">
        <w:rPr>
          <w:sz w:val="22"/>
          <w:szCs w:val="22"/>
        </w:rPr>
        <w:t xml:space="preserve">and total </w:t>
      </w:r>
      <w:r w:rsidR="003F6516" w:rsidRPr="00661FF3">
        <w:rPr>
          <w:sz w:val="22"/>
          <w:szCs w:val="22"/>
        </w:rPr>
        <w:t>population,</w:t>
      </w:r>
      <w:r w:rsidR="00DE71A2">
        <w:rPr>
          <w:rStyle w:val="af9"/>
          <w:sz w:val="22"/>
          <w:szCs w:val="22"/>
        </w:rPr>
        <w:footnoteReference w:id="1"/>
      </w:r>
      <w:r w:rsidR="003F6516" w:rsidRPr="00661FF3">
        <w:rPr>
          <w:sz w:val="22"/>
          <w:szCs w:val="22"/>
        </w:rPr>
        <w:t xml:space="preserve"> the rates further increase to 57.2 and 54.6 percent, respectively. Despite these </w:t>
      </w:r>
      <w:r w:rsidR="00E32F9A">
        <w:rPr>
          <w:sz w:val="22"/>
          <w:szCs w:val="22"/>
        </w:rPr>
        <w:t>statistical adjustments</w:t>
      </w:r>
      <w:r w:rsidR="003F6516" w:rsidRPr="00661FF3">
        <w:rPr>
          <w:sz w:val="22"/>
          <w:szCs w:val="22"/>
        </w:rPr>
        <w:t xml:space="preserve">, the </w:t>
      </w:r>
      <w:r w:rsidR="00E32F9A">
        <w:rPr>
          <w:sz w:val="22"/>
          <w:szCs w:val="22"/>
        </w:rPr>
        <w:t xml:space="preserve">labor force participation and employment </w:t>
      </w:r>
      <w:r w:rsidR="003F6516" w:rsidRPr="00661FF3">
        <w:rPr>
          <w:sz w:val="22"/>
          <w:szCs w:val="22"/>
        </w:rPr>
        <w:t xml:space="preserve">rates </w:t>
      </w:r>
      <w:r w:rsidR="00E32F9A">
        <w:rPr>
          <w:sz w:val="22"/>
          <w:szCs w:val="22"/>
        </w:rPr>
        <w:t xml:space="preserve">in Moldova </w:t>
      </w:r>
      <w:r w:rsidR="003F6516" w:rsidRPr="00661FF3">
        <w:rPr>
          <w:sz w:val="22"/>
          <w:szCs w:val="22"/>
        </w:rPr>
        <w:t>are still lower than in Central Asian transition countries and more developed European economies.</w:t>
      </w:r>
    </w:p>
    <w:p w14:paraId="3129BA56" w14:textId="77777777" w:rsidR="0088309F" w:rsidRPr="004A792A" w:rsidRDefault="000835D0" w:rsidP="000835D0">
      <w:pPr>
        <w:pStyle w:val="ad"/>
        <w:spacing w:before="240" w:after="0"/>
        <w:jc w:val="left"/>
        <w:rPr>
          <w:szCs w:val="22"/>
          <w:lang w:val="en-US"/>
        </w:rPr>
      </w:pPr>
      <w:bookmarkStart w:id="10" w:name="_Ref519149228"/>
      <w:bookmarkStart w:id="11" w:name="_Toc533211757"/>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w:t>
      </w:r>
      <w:r w:rsidRPr="004A792A">
        <w:rPr>
          <w:lang w:val="en-US"/>
        </w:rPr>
        <w:fldChar w:fldCharType="end"/>
      </w:r>
      <w:bookmarkEnd w:id="10"/>
      <w:r w:rsidRPr="004A792A">
        <w:rPr>
          <w:lang w:val="en-US"/>
        </w:rPr>
        <w:t>:</w:t>
      </w:r>
      <w:r w:rsidR="0088309F" w:rsidRPr="004A792A">
        <w:rPr>
          <w:color w:val="000000"/>
          <w:szCs w:val="22"/>
          <w:lang w:val="en-US"/>
        </w:rPr>
        <w:t xml:space="preserve"> Labor force participation rate and gender gap in Moldova and ECA countries, 2017</w:t>
      </w:r>
      <w:bookmarkEnd w:id="11"/>
    </w:p>
    <w:p w14:paraId="28DE30D0" w14:textId="77777777" w:rsidR="0088309F" w:rsidRPr="004A792A" w:rsidRDefault="001C2DF9" w:rsidP="000835D0">
      <w:pPr>
        <w:jc w:val="center"/>
        <w:rPr>
          <w:lang w:val="en-US"/>
        </w:rPr>
      </w:pPr>
      <w:r>
        <w:rPr>
          <w:noProof/>
          <w:lang w:val="ru-RU" w:eastAsia="ru-RU"/>
        </w:rPr>
        <mc:AlternateContent>
          <mc:Choice Requires="wps">
            <w:drawing>
              <wp:anchor distT="0" distB="0" distL="114300" distR="114300" simplePos="0" relativeHeight="251659264" behindDoc="0" locked="0" layoutInCell="1" allowOverlap="1" wp14:anchorId="6B8B8354" wp14:editId="48F435D4">
                <wp:simplePos x="0" y="0"/>
                <wp:positionH relativeFrom="column">
                  <wp:posOffset>3733800</wp:posOffset>
                </wp:positionH>
                <wp:positionV relativeFrom="paragraph">
                  <wp:posOffset>83185</wp:posOffset>
                </wp:positionV>
                <wp:extent cx="0" cy="2780665"/>
                <wp:effectExtent l="0" t="0" r="19050" b="0"/>
                <wp:wrapNone/>
                <wp:docPr id="4" name="Straight Connector 4"/>
                <wp:cNvGraphicFramePr/>
                <a:graphic xmlns:a="http://schemas.openxmlformats.org/drawingml/2006/main">
                  <a:graphicData uri="http://schemas.microsoft.com/office/word/2010/wordprocessingShape">
                    <wps:wsp>
                      <wps:cNvCnPr/>
                      <wps:spPr>
                        <a:xfrm>
                          <a:off x="0" y="0"/>
                          <a:ext cx="0" cy="2780665"/>
                        </a:xfrm>
                        <a:prstGeom prst="line">
                          <a:avLst/>
                        </a:prstGeom>
                        <a:ln w="1270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FEA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6.55pt" to="29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" strokecolor="gray [1629]" strokeweight="1pt">
                <v:stroke dashstyle="dash" joinstyle="miter"/>
              </v:line>
            </w:pict>
          </mc:Fallback>
        </mc:AlternateContent>
      </w:r>
      <w:r w:rsidR="00CD2EA9" w:rsidRPr="00CD2EA9">
        <w:rPr>
          <w:lang w:val="en-US"/>
        </w:rPr>
        <w:t xml:space="preserve"> </w:t>
      </w:r>
      <w:r w:rsidR="00CD2EA9" w:rsidRPr="00CD2EA9">
        <w:rPr>
          <w:noProof/>
          <w:lang w:val="ru-RU" w:eastAsia="ru-RU"/>
        </w:rPr>
        <w:drawing>
          <wp:inline distT="0" distB="0" distL="0" distR="0" wp14:anchorId="6CBC6061" wp14:editId="11CA5A62">
            <wp:extent cx="4622800" cy="33528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2800" cy="3352800"/>
                    </a:xfrm>
                    <a:prstGeom prst="rect">
                      <a:avLst/>
                    </a:prstGeom>
                    <a:noFill/>
                    <a:ln>
                      <a:noFill/>
                    </a:ln>
                  </pic:spPr>
                </pic:pic>
              </a:graphicData>
            </a:graphic>
          </wp:inline>
        </w:drawing>
      </w:r>
      <w:r w:rsidR="00CD2EA9" w:rsidRPr="00CD2EA9">
        <w:rPr>
          <w:rStyle w:val="af0"/>
          <w:sz w:val="22"/>
          <w:szCs w:val="22"/>
        </w:rPr>
        <w:t xml:space="preserve"> </w:t>
      </w:r>
    </w:p>
    <w:p w14:paraId="6F035E8C" w14:textId="77777777" w:rsidR="001F591E" w:rsidRDefault="0088309F" w:rsidP="000835D0">
      <w:pPr>
        <w:pStyle w:val="63"/>
        <w:shd w:val="clear" w:color="auto" w:fill="auto"/>
        <w:spacing w:before="120" w:line="240" w:lineRule="auto"/>
        <w:rPr>
          <w:color w:val="000000"/>
          <w:sz w:val="20"/>
          <w:szCs w:val="20"/>
        </w:rPr>
      </w:pPr>
      <w:r w:rsidRPr="004A792A">
        <w:rPr>
          <w:color w:val="000000"/>
          <w:sz w:val="20"/>
          <w:szCs w:val="20"/>
        </w:rPr>
        <w:t>Source: World Development Indicators, series: Labor force participation rate, total/male/female (% of total/male/female population ages 15+) (modeled ILO estimate).</w:t>
      </w:r>
    </w:p>
    <w:p w14:paraId="6F4F0988" w14:textId="77777777" w:rsidR="0088309F" w:rsidRDefault="001F591E" w:rsidP="000835D0">
      <w:pPr>
        <w:pStyle w:val="63"/>
        <w:shd w:val="clear" w:color="auto" w:fill="auto"/>
        <w:spacing w:before="120" w:line="240" w:lineRule="auto"/>
        <w:rPr>
          <w:color w:val="000000"/>
          <w:sz w:val="20"/>
          <w:szCs w:val="20"/>
        </w:rPr>
      </w:pPr>
      <w:r>
        <w:rPr>
          <w:color w:val="000000"/>
          <w:sz w:val="20"/>
          <w:szCs w:val="20"/>
        </w:rPr>
        <w:t>Note:</w:t>
      </w:r>
      <w:r w:rsidR="0088309F" w:rsidRPr="004A792A">
        <w:rPr>
          <w:color w:val="000000"/>
          <w:sz w:val="20"/>
          <w:szCs w:val="20"/>
        </w:rPr>
        <w:t xml:space="preserve"> The gender gap in LFPR is the male LFPR minus the female LFPR.</w:t>
      </w:r>
      <w:r w:rsidR="00CD2EA9">
        <w:rPr>
          <w:color w:val="000000"/>
          <w:sz w:val="20"/>
          <w:szCs w:val="20"/>
        </w:rPr>
        <w:t xml:space="preserve"> Countries are sorted by gender gap.</w:t>
      </w:r>
    </w:p>
    <w:p w14:paraId="4243B392" w14:textId="77777777" w:rsidR="006535AF" w:rsidRPr="004A792A" w:rsidRDefault="006535AF" w:rsidP="000835D0">
      <w:pPr>
        <w:pStyle w:val="63"/>
        <w:shd w:val="clear" w:color="auto" w:fill="auto"/>
        <w:spacing w:before="120" w:line="240" w:lineRule="auto"/>
        <w:rPr>
          <w:sz w:val="20"/>
          <w:szCs w:val="20"/>
        </w:rPr>
      </w:pPr>
    </w:p>
    <w:p w14:paraId="462D9D2B" w14:textId="7E293AFB" w:rsidR="0088309F" w:rsidRPr="004A792A" w:rsidRDefault="0088309F" w:rsidP="00D51DD9">
      <w:pPr>
        <w:pStyle w:val="61"/>
        <w:jc w:val="both"/>
        <w:rPr>
          <w:color w:val="000000"/>
          <w:sz w:val="22"/>
          <w:szCs w:val="22"/>
        </w:rPr>
      </w:pPr>
      <w:r w:rsidRPr="00776F46">
        <w:rPr>
          <w:b/>
          <w:color w:val="000000"/>
          <w:sz w:val="22"/>
          <w:szCs w:val="22"/>
        </w:rPr>
        <w:t>A worrisome development is that female labor force participation and employment rates declined faster than those for males since 2000</w:t>
      </w:r>
      <w:r w:rsidR="00401A6C">
        <w:rPr>
          <w:color w:val="000000"/>
          <w:sz w:val="22"/>
          <w:szCs w:val="22"/>
        </w:rPr>
        <w:t xml:space="preserve"> (</w:t>
      </w:r>
      <w:r w:rsidR="00401A6C" w:rsidRPr="004A792A">
        <w:rPr>
          <w:color w:val="000000"/>
          <w:sz w:val="22"/>
          <w:szCs w:val="22"/>
        </w:rPr>
        <w:fldChar w:fldCharType="begin"/>
      </w:r>
      <w:r w:rsidR="00401A6C" w:rsidRPr="004A792A">
        <w:rPr>
          <w:color w:val="000000"/>
          <w:sz w:val="22"/>
          <w:szCs w:val="22"/>
        </w:rPr>
        <w:instrText xml:space="preserve"> REF _Ref519149345 \h  \* MERGEFORMAT </w:instrText>
      </w:r>
      <w:r w:rsidR="00401A6C" w:rsidRPr="004A792A">
        <w:rPr>
          <w:color w:val="000000"/>
          <w:sz w:val="22"/>
          <w:szCs w:val="22"/>
        </w:rPr>
      </w:r>
      <w:r w:rsidR="00401A6C" w:rsidRPr="004A792A">
        <w:rPr>
          <w:color w:val="000000"/>
          <w:sz w:val="22"/>
          <w:szCs w:val="22"/>
        </w:rPr>
        <w:fldChar w:fldCharType="separate"/>
      </w:r>
      <w:r w:rsidR="00401A6C" w:rsidRPr="00F2278E">
        <w:rPr>
          <w:sz w:val="22"/>
          <w:szCs w:val="22"/>
        </w:rPr>
        <w:t xml:space="preserve">Figure </w:t>
      </w:r>
      <w:r w:rsidR="00401A6C" w:rsidRPr="00F2278E">
        <w:rPr>
          <w:noProof/>
          <w:sz w:val="22"/>
          <w:szCs w:val="22"/>
        </w:rPr>
        <w:t>2</w:t>
      </w:r>
      <w:r w:rsidR="00401A6C" w:rsidRPr="004A792A">
        <w:rPr>
          <w:color w:val="000000"/>
          <w:sz w:val="22"/>
          <w:szCs w:val="22"/>
        </w:rPr>
        <w:fldChar w:fldCharType="end"/>
      </w:r>
      <w:r w:rsidR="00401A6C">
        <w:rPr>
          <w:color w:val="000000"/>
          <w:sz w:val="22"/>
          <w:szCs w:val="22"/>
        </w:rPr>
        <w:t>, Panel A)</w:t>
      </w:r>
      <w:r w:rsidRPr="004A792A">
        <w:rPr>
          <w:color w:val="000000"/>
          <w:sz w:val="22"/>
          <w:szCs w:val="22"/>
        </w:rPr>
        <w:t>. This has brought about a substantial increase in the gender gap in key labor market indicators (</w:t>
      </w:r>
      <w:r w:rsidR="00637CE9" w:rsidRPr="004A792A">
        <w:rPr>
          <w:color w:val="000000"/>
          <w:sz w:val="22"/>
          <w:szCs w:val="22"/>
        </w:rPr>
        <w:fldChar w:fldCharType="begin"/>
      </w:r>
      <w:r w:rsidR="00637CE9" w:rsidRPr="004A792A">
        <w:rPr>
          <w:color w:val="000000"/>
          <w:sz w:val="22"/>
          <w:szCs w:val="22"/>
        </w:rPr>
        <w:instrText xml:space="preserve"> REF _Ref519149345 \h  \* MERGEFORMAT </w:instrText>
      </w:r>
      <w:r w:rsidR="00637CE9" w:rsidRPr="004A792A">
        <w:rPr>
          <w:color w:val="000000"/>
          <w:sz w:val="22"/>
          <w:szCs w:val="22"/>
        </w:rPr>
      </w:r>
      <w:r w:rsidR="00637CE9" w:rsidRPr="004A792A">
        <w:rPr>
          <w:color w:val="000000"/>
          <w:sz w:val="22"/>
          <w:szCs w:val="22"/>
        </w:rPr>
        <w:fldChar w:fldCharType="separate"/>
      </w:r>
      <w:r w:rsidR="00F2278E" w:rsidRPr="00F2278E">
        <w:rPr>
          <w:sz w:val="22"/>
          <w:szCs w:val="22"/>
        </w:rPr>
        <w:t xml:space="preserve">Figure </w:t>
      </w:r>
      <w:r w:rsidR="00F2278E" w:rsidRPr="00F2278E">
        <w:rPr>
          <w:noProof/>
          <w:sz w:val="22"/>
          <w:szCs w:val="22"/>
        </w:rPr>
        <w:t>2</w:t>
      </w:r>
      <w:r w:rsidR="00637CE9" w:rsidRPr="004A792A">
        <w:rPr>
          <w:color w:val="000000"/>
          <w:sz w:val="22"/>
          <w:szCs w:val="22"/>
        </w:rPr>
        <w:fldChar w:fldCharType="end"/>
      </w:r>
      <w:r w:rsidR="00401A6C">
        <w:rPr>
          <w:color w:val="000000"/>
          <w:sz w:val="22"/>
          <w:szCs w:val="22"/>
        </w:rPr>
        <w:t>, Panel B</w:t>
      </w:r>
      <w:r w:rsidRPr="004A792A">
        <w:rPr>
          <w:color w:val="000000"/>
          <w:sz w:val="22"/>
          <w:szCs w:val="22"/>
        </w:rPr>
        <w:t xml:space="preserve">). </w:t>
      </w:r>
    </w:p>
    <w:p w14:paraId="5EF350B6" w14:textId="77777777" w:rsidR="0088309F" w:rsidRDefault="000835D0" w:rsidP="000835D0">
      <w:pPr>
        <w:pStyle w:val="ad"/>
        <w:spacing w:before="240" w:after="0"/>
        <w:jc w:val="left"/>
        <w:rPr>
          <w:color w:val="000000"/>
          <w:lang w:val="en-US"/>
        </w:rPr>
      </w:pPr>
      <w:bookmarkStart w:id="12" w:name="_Ref519149345"/>
      <w:bookmarkStart w:id="13" w:name="_Toc533211758"/>
      <w:r w:rsidRPr="004A792A">
        <w:rPr>
          <w:lang w:val="en-US"/>
        </w:rPr>
        <w:lastRenderedPageBreak/>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2</w:t>
      </w:r>
      <w:r w:rsidRPr="004A792A">
        <w:rPr>
          <w:lang w:val="en-US"/>
        </w:rPr>
        <w:fldChar w:fldCharType="end"/>
      </w:r>
      <w:bookmarkEnd w:id="12"/>
      <w:r w:rsidR="0088309F" w:rsidRPr="004A792A">
        <w:rPr>
          <w:color w:val="000000"/>
          <w:lang w:val="en-US"/>
        </w:rPr>
        <w:t xml:space="preserve">: </w:t>
      </w:r>
      <w:r w:rsidR="008E58D0">
        <w:rPr>
          <w:color w:val="000000"/>
          <w:lang w:val="en-US"/>
        </w:rPr>
        <w:t>L</w:t>
      </w:r>
      <w:r w:rsidR="0088309F" w:rsidRPr="004A792A">
        <w:rPr>
          <w:color w:val="000000"/>
          <w:lang w:val="en-US"/>
        </w:rPr>
        <w:t>abor force participation and employment rates</w:t>
      </w:r>
      <w:r w:rsidR="008E58D0">
        <w:rPr>
          <w:color w:val="000000"/>
          <w:lang w:val="en-US"/>
        </w:rPr>
        <w:t xml:space="preserve"> by gender</w:t>
      </w:r>
      <w:r w:rsidR="0088309F" w:rsidRPr="004A792A">
        <w:rPr>
          <w:color w:val="000000"/>
          <w:lang w:val="en-US"/>
        </w:rPr>
        <w:t>, 2000-2017</w:t>
      </w:r>
      <w:bookmarkEnd w:id="13"/>
    </w:p>
    <w:tbl>
      <w:tblPr>
        <w:tblStyle w:val="ac"/>
        <w:tblW w:w="97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5"/>
        <w:gridCol w:w="4842"/>
      </w:tblGrid>
      <w:tr w:rsidR="00DF1D64" w14:paraId="4B4467C4" w14:textId="77777777" w:rsidTr="00933CB3">
        <w:tc>
          <w:tcPr>
            <w:tcW w:w="4935" w:type="dxa"/>
          </w:tcPr>
          <w:p w14:paraId="376C4B02" w14:textId="77777777" w:rsidR="00DF1D64" w:rsidRDefault="00DF1D64" w:rsidP="008E58D0">
            <w:pPr>
              <w:rPr>
                <w:lang w:val="en-US"/>
              </w:rPr>
            </w:pPr>
            <w:r>
              <w:rPr>
                <w:lang w:val="en-US"/>
              </w:rPr>
              <w:t xml:space="preserve">A) </w:t>
            </w:r>
            <w:r w:rsidR="008E58D0">
              <w:rPr>
                <w:color w:val="000000"/>
                <w:lang w:val="en-US"/>
              </w:rPr>
              <w:t>L</w:t>
            </w:r>
            <w:r w:rsidR="008E58D0" w:rsidRPr="004A792A">
              <w:rPr>
                <w:color w:val="000000"/>
                <w:lang w:val="en-US"/>
              </w:rPr>
              <w:t>abor force participation and employment rates</w:t>
            </w:r>
            <w:r w:rsidR="008E58D0">
              <w:rPr>
                <w:color w:val="000000"/>
                <w:lang w:val="en-US"/>
              </w:rPr>
              <w:t xml:space="preserve"> (% of population aged 15+)</w:t>
            </w:r>
          </w:p>
        </w:tc>
        <w:tc>
          <w:tcPr>
            <w:tcW w:w="4842" w:type="dxa"/>
          </w:tcPr>
          <w:p w14:paraId="50864CFD" w14:textId="77777777" w:rsidR="00DF1D64" w:rsidRDefault="00DF1D64" w:rsidP="008E58D0">
            <w:pPr>
              <w:rPr>
                <w:lang w:val="en-US"/>
              </w:rPr>
            </w:pPr>
            <w:r>
              <w:rPr>
                <w:lang w:val="en-US"/>
              </w:rPr>
              <w:t xml:space="preserve">B) </w:t>
            </w:r>
            <w:r w:rsidR="008E58D0">
              <w:rPr>
                <w:lang w:val="en-US"/>
              </w:rPr>
              <w:t>Gender gap (percentage points)</w:t>
            </w:r>
          </w:p>
        </w:tc>
      </w:tr>
      <w:tr w:rsidR="00DF1D64" w14:paraId="0576A00D" w14:textId="77777777" w:rsidTr="00933CB3">
        <w:tc>
          <w:tcPr>
            <w:tcW w:w="4935" w:type="dxa"/>
          </w:tcPr>
          <w:p w14:paraId="1A4DAC96" w14:textId="77777777" w:rsidR="00DF1D64" w:rsidRDefault="00933CB3" w:rsidP="000835D0">
            <w:pPr>
              <w:jc w:val="center"/>
              <w:rPr>
                <w:lang w:val="en-US"/>
              </w:rPr>
            </w:pPr>
            <w:r w:rsidRPr="00933CB3">
              <w:rPr>
                <w:noProof/>
                <w:lang w:val="ru-RU" w:eastAsia="ru-RU"/>
              </w:rPr>
              <w:drawing>
                <wp:inline distT="0" distB="0" distL="0" distR="0" wp14:anchorId="1AFA1FDF" wp14:editId="08A55F51">
                  <wp:extent cx="2991600" cy="22608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1600" cy="2260800"/>
                          </a:xfrm>
                          <a:prstGeom prst="rect">
                            <a:avLst/>
                          </a:prstGeom>
                          <a:noFill/>
                          <a:ln>
                            <a:noFill/>
                          </a:ln>
                        </pic:spPr>
                      </pic:pic>
                    </a:graphicData>
                  </a:graphic>
                </wp:inline>
              </w:drawing>
            </w:r>
          </w:p>
        </w:tc>
        <w:tc>
          <w:tcPr>
            <w:tcW w:w="4842" w:type="dxa"/>
          </w:tcPr>
          <w:p w14:paraId="30E2BCED" w14:textId="77777777" w:rsidR="00DF1D64" w:rsidRDefault="002F5338" w:rsidP="000835D0">
            <w:pPr>
              <w:jc w:val="center"/>
              <w:rPr>
                <w:lang w:val="en-US"/>
              </w:rPr>
            </w:pPr>
            <w:r w:rsidRPr="002F5338">
              <w:rPr>
                <w:noProof/>
                <w:lang w:val="ru-RU" w:eastAsia="ru-RU"/>
              </w:rPr>
              <w:drawing>
                <wp:inline distT="0" distB="0" distL="0" distR="0" wp14:anchorId="4B466DD5" wp14:editId="67F06230">
                  <wp:extent cx="2998800" cy="2253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8800" cy="2253600"/>
                          </a:xfrm>
                          <a:prstGeom prst="rect">
                            <a:avLst/>
                          </a:prstGeom>
                          <a:noFill/>
                          <a:ln>
                            <a:noFill/>
                          </a:ln>
                        </pic:spPr>
                      </pic:pic>
                    </a:graphicData>
                  </a:graphic>
                </wp:inline>
              </w:drawing>
            </w:r>
          </w:p>
        </w:tc>
      </w:tr>
    </w:tbl>
    <w:p w14:paraId="32E6BEEE" w14:textId="77777777" w:rsidR="001F591E" w:rsidRDefault="0088309F" w:rsidP="000835D0">
      <w:pPr>
        <w:pStyle w:val="63"/>
        <w:shd w:val="clear" w:color="auto" w:fill="auto"/>
        <w:spacing w:before="120" w:line="240" w:lineRule="auto"/>
        <w:rPr>
          <w:color w:val="000000"/>
          <w:sz w:val="20"/>
          <w:szCs w:val="20"/>
        </w:rPr>
      </w:pPr>
      <w:r w:rsidRPr="004A792A">
        <w:rPr>
          <w:color w:val="000000"/>
          <w:sz w:val="20"/>
          <w:szCs w:val="20"/>
        </w:rPr>
        <w:t xml:space="preserve">Source: World Development Indicators, series: Labor force participation rate, male/female (% of male/female population ages 15+) (modeled ILO estimate); Employment to population ratio, male/female (% of male/female population ages 15+) (modeled ILO estimate). </w:t>
      </w:r>
    </w:p>
    <w:p w14:paraId="593790BE" w14:textId="77777777" w:rsidR="0088309F" w:rsidRDefault="001F591E" w:rsidP="000835D0">
      <w:pPr>
        <w:pStyle w:val="63"/>
        <w:shd w:val="clear" w:color="auto" w:fill="auto"/>
        <w:spacing w:before="120" w:line="240" w:lineRule="auto"/>
        <w:rPr>
          <w:color w:val="000000"/>
          <w:sz w:val="20"/>
          <w:szCs w:val="20"/>
        </w:rPr>
      </w:pPr>
      <w:r>
        <w:rPr>
          <w:color w:val="000000"/>
          <w:sz w:val="20"/>
          <w:szCs w:val="20"/>
        </w:rPr>
        <w:t xml:space="preserve">Note: </w:t>
      </w:r>
      <w:r w:rsidR="0088309F" w:rsidRPr="004A792A">
        <w:rPr>
          <w:color w:val="000000"/>
          <w:sz w:val="20"/>
          <w:szCs w:val="20"/>
        </w:rPr>
        <w:t>The gender gap is the male rate minus the female rate.</w:t>
      </w:r>
    </w:p>
    <w:p w14:paraId="4855DC42" w14:textId="7BE4DB74" w:rsidR="00AD5669" w:rsidRPr="00D51DD9" w:rsidRDefault="00D51DD9" w:rsidP="00AD5669">
      <w:pPr>
        <w:pStyle w:val="61"/>
        <w:shd w:val="clear" w:color="auto" w:fill="auto"/>
        <w:spacing w:before="120" w:line="240" w:lineRule="auto"/>
        <w:jc w:val="both"/>
        <w:rPr>
          <w:color w:val="000000"/>
          <w:sz w:val="22"/>
          <w:szCs w:val="22"/>
        </w:rPr>
      </w:pPr>
      <w:r w:rsidRPr="00D51DD9">
        <w:rPr>
          <w:b/>
          <w:color w:val="000000"/>
          <w:sz w:val="22"/>
          <w:szCs w:val="22"/>
        </w:rPr>
        <w:t xml:space="preserve">The unemployment rate is </w:t>
      </w:r>
      <w:r w:rsidRPr="006535AF">
        <w:rPr>
          <w:b/>
          <w:color w:val="000000"/>
          <w:sz w:val="22"/>
          <w:szCs w:val="22"/>
        </w:rPr>
        <w:t xml:space="preserve">low </w:t>
      </w:r>
      <w:r w:rsidR="006535AF" w:rsidRPr="006535AF">
        <w:rPr>
          <w:b/>
          <w:color w:val="000000"/>
          <w:sz w:val="22"/>
          <w:szCs w:val="22"/>
        </w:rPr>
        <w:t>in Moldova</w:t>
      </w:r>
      <w:r w:rsidR="006535AF" w:rsidRPr="00D51DD9">
        <w:rPr>
          <w:b/>
          <w:color w:val="000000"/>
          <w:sz w:val="22"/>
          <w:szCs w:val="22"/>
        </w:rPr>
        <w:t xml:space="preserve"> </w:t>
      </w:r>
      <w:r w:rsidRPr="00D51DD9">
        <w:rPr>
          <w:b/>
          <w:color w:val="000000"/>
          <w:sz w:val="22"/>
          <w:szCs w:val="22"/>
        </w:rPr>
        <w:t>among both women and men</w:t>
      </w:r>
      <w:r>
        <w:rPr>
          <w:color w:val="000000"/>
          <w:sz w:val="22"/>
          <w:szCs w:val="22"/>
        </w:rPr>
        <w:t xml:space="preserve"> (3.3 and 4.8 percent in 2017, respectively). </w:t>
      </w:r>
      <w:r w:rsidR="00022A40">
        <w:rPr>
          <w:color w:val="000000"/>
          <w:sz w:val="22"/>
          <w:szCs w:val="22"/>
        </w:rPr>
        <w:t>But t</w:t>
      </w:r>
      <w:r w:rsidRPr="00D51DD9">
        <w:rPr>
          <w:color w:val="000000"/>
          <w:sz w:val="22"/>
          <w:szCs w:val="22"/>
        </w:rPr>
        <w:t>he low unemployment rate masks a depressed labor market</w:t>
      </w:r>
      <w:r w:rsidR="00022A40">
        <w:rPr>
          <w:color w:val="000000"/>
          <w:sz w:val="22"/>
          <w:szCs w:val="22"/>
        </w:rPr>
        <w:t xml:space="preserve">, with </w:t>
      </w:r>
      <w:r>
        <w:rPr>
          <w:color w:val="000000"/>
          <w:sz w:val="22"/>
          <w:szCs w:val="22"/>
        </w:rPr>
        <w:t xml:space="preserve">scarce job opportunities </w:t>
      </w:r>
      <w:r w:rsidR="00022A40" w:rsidRPr="00022A40">
        <w:rPr>
          <w:color w:val="000000"/>
          <w:sz w:val="22"/>
          <w:szCs w:val="22"/>
        </w:rPr>
        <w:t xml:space="preserve">a growing share of jobs is in less-productive firms </w:t>
      </w:r>
      <w:r w:rsidRPr="00AD5669">
        <w:rPr>
          <w:color w:val="000000"/>
          <w:sz w:val="22"/>
          <w:szCs w:val="22"/>
        </w:rPr>
        <w:t xml:space="preserve">(World Bank, 2016b, </w:t>
      </w:r>
      <w:proofErr w:type="gramStart"/>
      <w:r w:rsidRPr="00AD5669">
        <w:rPr>
          <w:color w:val="000000"/>
          <w:sz w:val="22"/>
          <w:szCs w:val="22"/>
        </w:rPr>
        <w:t>c</w:t>
      </w:r>
      <w:proofErr w:type="gramEnd"/>
      <w:r w:rsidRPr="00AD5669">
        <w:rPr>
          <w:color w:val="000000"/>
          <w:sz w:val="22"/>
          <w:szCs w:val="22"/>
        </w:rPr>
        <w:t>).</w:t>
      </w:r>
      <w:r>
        <w:rPr>
          <w:color w:val="000000"/>
          <w:sz w:val="22"/>
          <w:szCs w:val="22"/>
        </w:rPr>
        <w:t xml:space="preserve"> As a consequence, m</w:t>
      </w:r>
      <w:r w:rsidRPr="00D51DD9">
        <w:rPr>
          <w:color w:val="000000"/>
          <w:sz w:val="22"/>
          <w:szCs w:val="22"/>
        </w:rPr>
        <w:t>any workers bec</w:t>
      </w:r>
      <w:r w:rsidR="00022A40">
        <w:rPr>
          <w:color w:val="000000"/>
          <w:sz w:val="22"/>
          <w:szCs w:val="22"/>
        </w:rPr>
        <w:t>a</w:t>
      </w:r>
      <w:r w:rsidRPr="00D51DD9">
        <w:rPr>
          <w:color w:val="000000"/>
          <w:sz w:val="22"/>
          <w:szCs w:val="22"/>
        </w:rPr>
        <w:t>me discouraged and withdr</w:t>
      </w:r>
      <w:r w:rsidR="00022A40">
        <w:rPr>
          <w:color w:val="000000"/>
          <w:sz w:val="22"/>
          <w:szCs w:val="22"/>
        </w:rPr>
        <w:t>e</w:t>
      </w:r>
      <w:r w:rsidRPr="00D51DD9">
        <w:rPr>
          <w:color w:val="000000"/>
          <w:sz w:val="22"/>
          <w:szCs w:val="22"/>
        </w:rPr>
        <w:t>w from the</w:t>
      </w:r>
      <w:r>
        <w:rPr>
          <w:color w:val="000000"/>
          <w:sz w:val="22"/>
          <w:szCs w:val="22"/>
        </w:rPr>
        <w:t xml:space="preserve"> local</w:t>
      </w:r>
      <w:r w:rsidRPr="00D51DD9">
        <w:rPr>
          <w:color w:val="000000"/>
          <w:sz w:val="22"/>
          <w:szCs w:val="22"/>
        </w:rPr>
        <w:t xml:space="preserve"> labor </w:t>
      </w:r>
      <w:r>
        <w:rPr>
          <w:color w:val="000000"/>
          <w:sz w:val="22"/>
          <w:szCs w:val="22"/>
        </w:rPr>
        <w:t xml:space="preserve">market. Many men, especially from prime-age groups, work abroad but are classified by the NBS as </w:t>
      </w:r>
      <w:proofErr w:type="gramStart"/>
      <w:r>
        <w:rPr>
          <w:color w:val="000000"/>
          <w:sz w:val="22"/>
          <w:szCs w:val="22"/>
        </w:rPr>
        <w:t>inactive</w:t>
      </w:r>
      <w:r w:rsidR="006535AF">
        <w:rPr>
          <w:color w:val="000000"/>
          <w:sz w:val="22"/>
          <w:szCs w:val="22"/>
        </w:rPr>
        <w:t xml:space="preserve"> ,</w:t>
      </w:r>
      <w:proofErr w:type="gramEnd"/>
      <w:r w:rsidR="006535AF">
        <w:rPr>
          <w:color w:val="000000"/>
          <w:sz w:val="22"/>
          <w:szCs w:val="22"/>
        </w:rPr>
        <w:t xml:space="preserve"> or out of the Moldovan labor force</w:t>
      </w:r>
      <w:r>
        <w:rPr>
          <w:color w:val="000000"/>
          <w:sz w:val="22"/>
          <w:szCs w:val="22"/>
        </w:rPr>
        <w:t xml:space="preserve">. </w:t>
      </w:r>
      <w:r w:rsidR="00AD5669" w:rsidRPr="00D51DD9">
        <w:rPr>
          <w:color w:val="000000"/>
          <w:sz w:val="22"/>
          <w:szCs w:val="22"/>
        </w:rPr>
        <w:t xml:space="preserve">Family </w:t>
      </w:r>
      <w:r w:rsidRPr="00D51DD9">
        <w:rPr>
          <w:color w:val="000000"/>
          <w:sz w:val="22"/>
          <w:szCs w:val="22"/>
        </w:rPr>
        <w:t>obligations</w:t>
      </w:r>
      <w:r w:rsidR="00AD5669" w:rsidRPr="00D51DD9">
        <w:rPr>
          <w:color w:val="000000"/>
          <w:sz w:val="22"/>
          <w:szCs w:val="22"/>
        </w:rPr>
        <w:t xml:space="preserve"> including taking care of </w:t>
      </w:r>
      <w:r w:rsidRPr="00D51DD9">
        <w:rPr>
          <w:color w:val="000000"/>
          <w:sz w:val="22"/>
          <w:szCs w:val="22"/>
        </w:rPr>
        <w:t>children</w:t>
      </w:r>
      <w:r w:rsidR="00AD5669" w:rsidRPr="00D51DD9">
        <w:rPr>
          <w:color w:val="000000"/>
          <w:sz w:val="22"/>
          <w:szCs w:val="22"/>
        </w:rPr>
        <w:t xml:space="preserve"> and other family </w:t>
      </w:r>
      <w:r w:rsidRPr="00D51DD9">
        <w:rPr>
          <w:color w:val="000000"/>
          <w:sz w:val="22"/>
          <w:szCs w:val="22"/>
        </w:rPr>
        <w:t>members</w:t>
      </w:r>
      <w:r>
        <w:rPr>
          <w:color w:val="000000"/>
          <w:sz w:val="22"/>
          <w:szCs w:val="22"/>
        </w:rPr>
        <w:t xml:space="preserve"> are the main reasons for inactivity of women aged 25-44 years</w:t>
      </w:r>
      <w:r w:rsidR="00022A40">
        <w:rPr>
          <w:color w:val="000000"/>
          <w:sz w:val="22"/>
          <w:szCs w:val="22"/>
        </w:rPr>
        <w:t xml:space="preserve"> (</w:t>
      </w:r>
      <w:r w:rsidR="00022A40" w:rsidRPr="00D51DD9">
        <w:rPr>
          <w:color w:val="000000"/>
          <w:sz w:val="22"/>
          <w:szCs w:val="22"/>
        </w:rPr>
        <w:fldChar w:fldCharType="begin"/>
      </w:r>
      <w:r w:rsidR="00022A40" w:rsidRPr="00D51DD9">
        <w:rPr>
          <w:color w:val="000000"/>
          <w:sz w:val="22"/>
          <w:szCs w:val="22"/>
        </w:rPr>
        <w:instrText xml:space="preserve"> REF _Ref533167645 \h </w:instrText>
      </w:r>
      <w:r w:rsidR="00022A40">
        <w:rPr>
          <w:color w:val="000000"/>
          <w:sz w:val="22"/>
          <w:szCs w:val="22"/>
        </w:rPr>
        <w:instrText xml:space="preserve"> \* MERGEFORMAT </w:instrText>
      </w:r>
      <w:r w:rsidR="00022A40" w:rsidRPr="00D51DD9">
        <w:rPr>
          <w:color w:val="000000"/>
          <w:sz w:val="22"/>
          <w:szCs w:val="22"/>
        </w:rPr>
      </w:r>
      <w:r w:rsidR="00022A40" w:rsidRPr="00D51DD9">
        <w:rPr>
          <w:color w:val="000000"/>
          <w:sz w:val="22"/>
          <w:szCs w:val="22"/>
        </w:rPr>
        <w:fldChar w:fldCharType="separate"/>
      </w:r>
      <w:r w:rsidR="00022A40" w:rsidRPr="00D51DD9">
        <w:rPr>
          <w:sz w:val="22"/>
          <w:szCs w:val="22"/>
        </w:rPr>
        <w:t>Figure 3</w:t>
      </w:r>
      <w:r w:rsidR="00022A40" w:rsidRPr="00D51DD9">
        <w:rPr>
          <w:color w:val="000000"/>
          <w:sz w:val="22"/>
          <w:szCs w:val="22"/>
        </w:rPr>
        <w:fldChar w:fldCharType="end"/>
      </w:r>
      <w:r w:rsidR="00022A40" w:rsidRPr="00D51DD9">
        <w:rPr>
          <w:color w:val="000000"/>
          <w:sz w:val="22"/>
          <w:szCs w:val="22"/>
        </w:rPr>
        <w:t>)</w:t>
      </w:r>
      <w:r>
        <w:rPr>
          <w:color w:val="000000"/>
          <w:sz w:val="22"/>
          <w:szCs w:val="22"/>
        </w:rPr>
        <w:t>.</w:t>
      </w:r>
    </w:p>
    <w:p w14:paraId="2E28EE2A" w14:textId="033B9684" w:rsidR="007F56F7" w:rsidRPr="007F56F7" w:rsidRDefault="007F56F7" w:rsidP="00022A40">
      <w:pPr>
        <w:pStyle w:val="ad"/>
        <w:spacing w:before="240" w:after="0"/>
        <w:jc w:val="left"/>
        <w:rPr>
          <w:lang w:val="en-US"/>
        </w:rPr>
      </w:pPr>
      <w:bookmarkStart w:id="14" w:name="_Ref533167645"/>
      <w:bookmarkStart w:id="15" w:name="_Toc533211759"/>
      <w:r w:rsidRPr="007F56F7">
        <w:rPr>
          <w:lang w:val="en-US"/>
        </w:rPr>
        <w:t xml:space="preserve">Figure </w:t>
      </w:r>
      <w:r w:rsidRPr="007F56F7">
        <w:rPr>
          <w:lang w:val="en-US"/>
        </w:rPr>
        <w:fldChar w:fldCharType="begin"/>
      </w:r>
      <w:r w:rsidRPr="007F56F7">
        <w:rPr>
          <w:lang w:val="en-US"/>
        </w:rPr>
        <w:instrText xml:space="preserve"> SEQ Figure \* ARABIC </w:instrText>
      </w:r>
      <w:r w:rsidRPr="007F56F7">
        <w:rPr>
          <w:lang w:val="en-US"/>
        </w:rPr>
        <w:fldChar w:fldCharType="separate"/>
      </w:r>
      <w:r w:rsidRPr="007F56F7">
        <w:rPr>
          <w:lang w:val="en-US"/>
        </w:rPr>
        <w:t>3</w:t>
      </w:r>
      <w:r w:rsidRPr="007F56F7">
        <w:rPr>
          <w:lang w:val="en-US"/>
        </w:rPr>
        <w:fldChar w:fldCharType="end"/>
      </w:r>
      <w:bookmarkEnd w:id="14"/>
      <w:r w:rsidRPr="00AD5669">
        <w:rPr>
          <w:lang w:val="en-US"/>
        </w:rPr>
        <w:t xml:space="preserve">: </w:t>
      </w:r>
      <w:r>
        <w:rPr>
          <w:lang w:val="en-US"/>
        </w:rPr>
        <w:t xml:space="preserve">Inactive population </w:t>
      </w:r>
      <w:r w:rsidRPr="007F56F7">
        <w:rPr>
          <w:lang w:val="en-US"/>
        </w:rPr>
        <w:t>by sex, age and main reason</w:t>
      </w:r>
      <w:r>
        <w:rPr>
          <w:lang w:val="en-US"/>
        </w:rPr>
        <w:t>, 2017</w:t>
      </w:r>
      <w:bookmarkEnd w:id="15"/>
    </w:p>
    <w:p w14:paraId="1607C184" w14:textId="52953270" w:rsidR="007F56F7" w:rsidRDefault="007F56F7" w:rsidP="007F56F7">
      <w:pPr>
        <w:pStyle w:val="63"/>
        <w:shd w:val="clear" w:color="auto" w:fill="auto"/>
        <w:spacing w:before="120" w:line="240" w:lineRule="auto"/>
        <w:jc w:val="center"/>
        <w:rPr>
          <w:color w:val="000000"/>
          <w:sz w:val="20"/>
          <w:szCs w:val="20"/>
        </w:rPr>
      </w:pPr>
      <w:r>
        <w:rPr>
          <w:noProof/>
          <w:lang w:val="ru-RU" w:eastAsia="ru-RU"/>
        </w:rPr>
        <w:drawing>
          <wp:inline distT="0" distB="0" distL="0" distR="0" wp14:anchorId="40BCDDD6" wp14:editId="4A535A9D">
            <wp:extent cx="4572000" cy="27432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0643E5" w14:textId="7D592D1E" w:rsidR="007F56F7" w:rsidRDefault="007F56F7" w:rsidP="007F56F7">
      <w:pPr>
        <w:pStyle w:val="63"/>
        <w:shd w:val="clear" w:color="auto" w:fill="auto"/>
        <w:spacing w:before="120" w:line="240" w:lineRule="auto"/>
        <w:jc w:val="left"/>
        <w:rPr>
          <w:color w:val="000000"/>
          <w:sz w:val="20"/>
          <w:szCs w:val="20"/>
        </w:rPr>
      </w:pPr>
      <w:r w:rsidRPr="007F56F7">
        <w:rPr>
          <w:color w:val="000000"/>
          <w:sz w:val="20"/>
          <w:szCs w:val="20"/>
        </w:rPr>
        <w:t xml:space="preserve">Source: </w:t>
      </w:r>
      <w:r>
        <w:rPr>
          <w:color w:val="000000"/>
          <w:sz w:val="20"/>
          <w:szCs w:val="20"/>
        </w:rPr>
        <w:t xml:space="preserve">NBS, series: </w:t>
      </w:r>
      <w:r w:rsidRPr="007F56F7">
        <w:rPr>
          <w:rFonts w:asciiTheme="minorHAnsi" w:hAnsiTheme="minorHAnsi" w:cstheme="minorHAnsi"/>
          <w:bCs/>
          <w:color w:val="222222"/>
          <w:sz w:val="20"/>
          <w:szCs w:val="20"/>
          <w:shd w:val="clear" w:color="auto" w:fill="FFFFFF"/>
        </w:rPr>
        <w:t>Inactive population aged 15 years and over by Main reason for not working, Years, Sex, Area, Age groups and Level of education</w:t>
      </w:r>
      <w:r w:rsidRPr="007F56F7">
        <w:rPr>
          <w:rFonts w:asciiTheme="minorHAnsi" w:hAnsiTheme="minorHAnsi" w:cstheme="minorHAnsi"/>
          <w:color w:val="000000"/>
          <w:sz w:val="20"/>
          <w:szCs w:val="20"/>
        </w:rPr>
        <w:t>.</w:t>
      </w:r>
    </w:p>
    <w:p w14:paraId="43B8B286" w14:textId="6BD833F8" w:rsidR="00562CD7" w:rsidRPr="00DB2904" w:rsidRDefault="00DB2904" w:rsidP="00562CD7">
      <w:pPr>
        <w:pStyle w:val="61"/>
        <w:shd w:val="clear" w:color="auto" w:fill="auto"/>
        <w:spacing w:before="120" w:line="240" w:lineRule="auto"/>
        <w:jc w:val="both"/>
        <w:rPr>
          <w:color w:val="000000"/>
          <w:sz w:val="22"/>
          <w:szCs w:val="22"/>
        </w:rPr>
      </w:pPr>
      <w:r w:rsidRPr="00022A40">
        <w:rPr>
          <w:b/>
          <w:color w:val="000000"/>
          <w:sz w:val="22"/>
          <w:szCs w:val="22"/>
        </w:rPr>
        <w:t xml:space="preserve">If labor force participation rates of men and women decrease </w:t>
      </w:r>
      <w:r w:rsidR="006F15A5" w:rsidRPr="00022A40">
        <w:rPr>
          <w:b/>
          <w:color w:val="000000"/>
          <w:sz w:val="22"/>
          <w:szCs w:val="22"/>
        </w:rPr>
        <w:t xml:space="preserve">further </w:t>
      </w:r>
      <w:r w:rsidRPr="00022A40">
        <w:rPr>
          <w:b/>
          <w:color w:val="000000"/>
          <w:sz w:val="22"/>
          <w:szCs w:val="22"/>
        </w:rPr>
        <w:t xml:space="preserve">in all 5-year age groups, as </w:t>
      </w:r>
      <w:r w:rsidRPr="00022A40">
        <w:rPr>
          <w:b/>
          <w:color w:val="000000"/>
          <w:sz w:val="22"/>
          <w:szCs w:val="22"/>
        </w:rPr>
        <w:lastRenderedPageBreak/>
        <w:t xml:space="preserve">projected by the ILO, the labor force in Moldova </w:t>
      </w:r>
      <w:r w:rsidR="006406AF">
        <w:rPr>
          <w:b/>
          <w:color w:val="000000"/>
          <w:sz w:val="22"/>
          <w:szCs w:val="22"/>
        </w:rPr>
        <w:t xml:space="preserve">is </w:t>
      </w:r>
      <w:proofErr w:type="gramStart"/>
      <w:r w:rsidR="006406AF">
        <w:rPr>
          <w:b/>
          <w:color w:val="000000"/>
          <w:sz w:val="22"/>
          <w:szCs w:val="22"/>
        </w:rPr>
        <w:t>expected  to</w:t>
      </w:r>
      <w:proofErr w:type="gramEnd"/>
      <w:r w:rsidRPr="00022A40">
        <w:rPr>
          <w:b/>
          <w:color w:val="000000"/>
          <w:sz w:val="22"/>
          <w:szCs w:val="22"/>
        </w:rPr>
        <w:t xml:space="preserve"> shrink by over 18 percent between 2016 and 2030</w:t>
      </w:r>
      <w:r w:rsidRPr="000D18BB">
        <w:rPr>
          <w:color w:val="000000"/>
          <w:sz w:val="22"/>
          <w:szCs w:val="22"/>
        </w:rPr>
        <w:t xml:space="preserve"> (</w:t>
      </w:r>
      <w:r w:rsidRPr="000D18BB">
        <w:rPr>
          <w:color w:val="000000"/>
          <w:sz w:val="22"/>
          <w:szCs w:val="22"/>
        </w:rPr>
        <w:fldChar w:fldCharType="begin"/>
      </w:r>
      <w:r w:rsidRPr="000D18BB">
        <w:rPr>
          <w:color w:val="000000"/>
          <w:sz w:val="22"/>
          <w:szCs w:val="22"/>
        </w:rPr>
        <w:instrText xml:space="preserve"> REF _Ref529259733 \h  \* MERGEFORMAT </w:instrText>
      </w:r>
      <w:r w:rsidRPr="000D18BB">
        <w:rPr>
          <w:color w:val="000000"/>
          <w:sz w:val="22"/>
          <w:szCs w:val="22"/>
        </w:rPr>
      </w:r>
      <w:r w:rsidRPr="000D18BB">
        <w:rPr>
          <w:color w:val="000000"/>
          <w:sz w:val="22"/>
          <w:szCs w:val="22"/>
        </w:rPr>
        <w:fldChar w:fldCharType="separate"/>
      </w:r>
      <w:r w:rsidR="00022A40" w:rsidRPr="00022A40">
        <w:rPr>
          <w:sz w:val="22"/>
          <w:szCs w:val="22"/>
        </w:rPr>
        <w:t xml:space="preserve">Figure </w:t>
      </w:r>
      <w:r w:rsidR="00022A40" w:rsidRPr="00022A40">
        <w:rPr>
          <w:noProof/>
          <w:sz w:val="22"/>
          <w:szCs w:val="22"/>
        </w:rPr>
        <w:t>4</w:t>
      </w:r>
      <w:r w:rsidRPr="000D18BB">
        <w:rPr>
          <w:color w:val="000000"/>
          <w:sz w:val="22"/>
          <w:szCs w:val="22"/>
        </w:rPr>
        <w:fldChar w:fldCharType="end"/>
      </w:r>
      <w:r w:rsidR="006F15A5" w:rsidRPr="000D18BB">
        <w:rPr>
          <w:color w:val="000000"/>
          <w:sz w:val="22"/>
          <w:szCs w:val="22"/>
        </w:rPr>
        <w:t>, Scenario 1</w:t>
      </w:r>
      <w:r w:rsidRPr="000D18BB">
        <w:rPr>
          <w:color w:val="000000"/>
          <w:sz w:val="22"/>
          <w:szCs w:val="22"/>
        </w:rPr>
        <w:t>)</w:t>
      </w:r>
      <w:r w:rsidR="00022A40">
        <w:rPr>
          <w:color w:val="000000"/>
          <w:sz w:val="22"/>
          <w:szCs w:val="22"/>
        </w:rPr>
        <w:t>.</w:t>
      </w:r>
      <w:r w:rsidR="00022A40">
        <w:rPr>
          <w:rStyle w:val="af9"/>
          <w:color w:val="000000"/>
          <w:sz w:val="22"/>
          <w:szCs w:val="22"/>
        </w:rPr>
        <w:footnoteReference w:id="2"/>
      </w:r>
      <w:r w:rsidRPr="000D18BB">
        <w:rPr>
          <w:color w:val="000000"/>
          <w:sz w:val="22"/>
          <w:szCs w:val="22"/>
        </w:rPr>
        <w:t xml:space="preserve"> </w:t>
      </w:r>
      <w:r w:rsidR="006F15A5" w:rsidRPr="000D18BB">
        <w:rPr>
          <w:color w:val="000000"/>
          <w:sz w:val="22"/>
          <w:szCs w:val="22"/>
        </w:rPr>
        <w:t xml:space="preserve">Convergence of </w:t>
      </w:r>
      <w:r w:rsidR="006F15A5" w:rsidRPr="000D18BB">
        <w:rPr>
          <w:sz w:val="22"/>
          <w:szCs w:val="22"/>
        </w:rPr>
        <w:t xml:space="preserve">age-specific participation rates of Moldovan women to those of men by 2030 is likely </w:t>
      </w:r>
      <w:r w:rsidR="000D18BB">
        <w:rPr>
          <w:sz w:val="22"/>
          <w:szCs w:val="22"/>
        </w:rPr>
        <w:t xml:space="preserve">to </w:t>
      </w:r>
      <w:r w:rsidR="00E61FB5">
        <w:rPr>
          <w:sz w:val="22"/>
          <w:szCs w:val="22"/>
        </w:rPr>
        <w:t>have only a minor impact on</w:t>
      </w:r>
      <w:r w:rsidR="006F15A5" w:rsidRPr="000D18BB">
        <w:rPr>
          <w:sz w:val="22"/>
          <w:szCs w:val="22"/>
        </w:rPr>
        <w:t xml:space="preserve"> the projected loss because </w:t>
      </w:r>
      <w:r w:rsidR="00D86852" w:rsidRPr="000D18BB">
        <w:rPr>
          <w:sz w:val="22"/>
          <w:szCs w:val="22"/>
        </w:rPr>
        <w:t xml:space="preserve">Moldovan men have </w:t>
      </w:r>
      <w:r w:rsidR="00AD4841" w:rsidRPr="000D18BB">
        <w:rPr>
          <w:sz w:val="22"/>
          <w:szCs w:val="22"/>
        </w:rPr>
        <w:t xml:space="preserve">very </w:t>
      </w:r>
      <w:r w:rsidR="006F15A5" w:rsidRPr="000D18BB">
        <w:rPr>
          <w:sz w:val="22"/>
          <w:szCs w:val="22"/>
        </w:rPr>
        <w:t>low participation rates</w:t>
      </w:r>
      <w:r w:rsidR="00AD4841" w:rsidRPr="000D18BB">
        <w:rPr>
          <w:sz w:val="22"/>
          <w:szCs w:val="22"/>
        </w:rPr>
        <w:t xml:space="preserve"> compared to developed countries</w:t>
      </w:r>
      <w:r w:rsidR="00E61FB5">
        <w:rPr>
          <w:sz w:val="22"/>
          <w:szCs w:val="22"/>
        </w:rPr>
        <w:t>,</w:t>
      </w:r>
      <w:r w:rsidR="00AD4841" w:rsidRPr="000D18BB">
        <w:rPr>
          <w:sz w:val="22"/>
          <w:szCs w:val="22"/>
        </w:rPr>
        <w:t xml:space="preserve"> and because in five out of</w:t>
      </w:r>
      <w:r w:rsidR="00E61FB5">
        <w:rPr>
          <w:sz w:val="22"/>
          <w:szCs w:val="22"/>
        </w:rPr>
        <w:t xml:space="preserve"> </w:t>
      </w:r>
      <w:r w:rsidR="00AD4841" w:rsidRPr="000D18BB">
        <w:rPr>
          <w:sz w:val="22"/>
          <w:szCs w:val="22"/>
        </w:rPr>
        <w:t>11 age groups (35-39, 40-44, 45-49, 50-54, and 65+) males</w:t>
      </w:r>
      <w:r w:rsidR="00E61FB5">
        <w:rPr>
          <w:sz w:val="22"/>
          <w:szCs w:val="22"/>
        </w:rPr>
        <w:t xml:space="preserve"> actually</w:t>
      </w:r>
      <w:r w:rsidR="00AD4841" w:rsidRPr="000D18BB">
        <w:rPr>
          <w:sz w:val="22"/>
          <w:szCs w:val="22"/>
        </w:rPr>
        <w:t xml:space="preserve"> have lower participation rates than females </w:t>
      </w:r>
      <w:r w:rsidR="006F15A5" w:rsidRPr="000D18BB">
        <w:rPr>
          <w:color w:val="000000"/>
          <w:sz w:val="22"/>
          <w:szCs w:val="22"/>
        </w:rPr>
        <w:t>(</w:t>
      </w:r>
      <w:r w:rsidR="006F15A5" w:rsidRPr="000D18BB">
        <w:rPr>
          <w:color w:val="000000"/>
          <w:sz w:val="22"/>
          <w:szCs w:val="22"/>
        </w:rPr>
        <w:fldChar w:fldCharType="begin"/>
      </w:r>
      <w:r w:rsidR="006F15A5" w:rsidRPr="000D18BB">
        <w:rPr>
          <w:color w:val="000000"/>
          <w:sz w:val="22"/>
          <w:szCs w:val="22"/>
        </w:rPr>
        <w:instrText xml:space="preserve"> REF _Ref529259733 \h  \* MERGEFORMAT </w:instrText>
      </w:r>
      <w:r w:rsidR="006F15A5" w:rsidRPr="000D18BB">
        <w:rPr>
          <w:color w:val="000000"/>
          <w:sz w:val="22"/>
          <w:szCs w:val="22"/>
        </w:rPr>
      </w:r>
      <w:r w:rsidR="006F15A5" w:rsidRPr="000D18BB">
        <w:rPr>
          <w:color w:val="000000"/>
          <w:sz w:val="22"/>
          <w:szCs w:val="22"/>
        </w:rPr>
        <w:fldChar w:fldCharType="separate"/>
      </w:r>
      <w:r w:rsidR="006406AF" w:rsidRPr="006406AF">
        <w:rPr>
          <w:sz w:val="22"/>
          <w:szCs w:val="22"/>
        </w:rPr>
        <w:t xml:space="preserve">Figure </w:t>
      </w:r>
      <w:r w:rsidR="006406AF" w:rsidRPr="006406AF">
        <w:rPr>
          <w:noProof/>
          <w:sz w:val="22"/>
          <w:szCs w:val="22"/>
        </w:rPr>
        <w:t>4</w:t>
      </w:r>
      <w:r w:rsidR="006F15A5" w:rsidRPr="000D18BB">
        <w:rPr>
          <w:color w:val="000000"/>
          <w:sz w:val="22"/>
          <w:szCs w:val="22"/>
        </w:rPr>
        <w:fldChar w:fldCharType="end"/>
      </w:r>
      <w:r w:rsidR="006F15A5" w:rsidRPr="000D18BB">
        <w:rPr>
          <w:color w:val="000000"/>
          <w:sz w:val="22"/>
          <w:szCs w:val="22"/>
        </w:rPr>
        <w:t>, Scenario 2)</w:t>
      </w:r>
      <w:r w:rsidR="006F15A5" w:rsidRPr="000D18BB">
        <w:rPr>
          <w:sz w:val="22"/>
          <w:szCs w:val="22"/>
        </w:rPr>
        <w:t>. If participation rates for all age-gender groups in Moldova converge by 2030 to the average projected participation rates of EU-28 countries (Scenario 3) or to projected participat</w:t>
      </w:r>
      <w:r w:rsidR="005F4ED6" w:rsidRPr="000D18BB">
        <w:rPr>
          <w:sz w:val="22"/>
          <w:szCs w:val="22"/>
        </w:rPr>
        <w:t>ion</w:t>
      </w:r>
      <w:r w:rsidR="006F15A5" w:rsidRPr="000D18BB">
        <w:rPr>
          <w:sz w:val="22"/>
          <w:szCs w:val="22"/>
        </w:rPr>
        <w:t xml:space="preserve"> rates in Sweden – one of the top performers in terms of female participat</w:t>
      </w:r>
      <w:r w:rsidR="00E61FB5">
        <w:rPr>
          <w:sz w:val="22"/>
          <w:szCs w:val="22"/>
        </w:rPr>
        <w:t>ion</w:t>
      </w:r>
      <w:r w:rsidR="006F15A5" w:rsidRPr="000D18BB">
        <w:rPr>
          <w:sz w:val="22"/>
          <w:szCs w:val="22"/>
        </w:rPr>
        <w:t xml:space="preserve"> rates </w:t>
      </w:r>
      <w:r w:rsidR="005F4ED6" w:rsidRPr="000D18BB">
        <w:rPr>
          <w:sz w:val="22"/>
          <w:szCs w:val="22"/>
        </w:rPr>
        <w:t xml:space="preserve">and gender equality </w:t>
      </w:r>
      <w:r w:rsidR="006F15A5" w:rsidRPr="000D18BB">
        <w:rPr>
          <w:sz w:val="22"/>
          <w:szCs w:val="22"/>
        </w:rPr>
        <w:t>among developed countr</w:t>
      </w:r>
      <w:r w:rsidR="005F4ED6" w:rsidRPr="000D18BB">
        <w:rPr>
          <w:sz w:val="22"/>
          <w:szCs w:val="22"/>
        </w:rPr>
        <w:t>ies</w:t>
      </w:r>
      <w:r w:rsidR="006F15A5" w:rsidRPr="000D18BB">
        <w:rPr>
          <w:sz w:val="22"/>
          <w:szCs w:val="22"/>
        </w:rPr>
        <w:t xml:space="preserve"> – </w:t>
      </w:r>
      <w:r w:rsidR="00562CD7" w:rsidRPr="000D18BB">
        <w:rPr>
          <w:color w:val="000000"/>
          <w:sz w:val="22"/>
          <w:szCs w:val="22"/>
        </w:rPr>
        <w:t>the</w:t>
      </w:r>
      <w:r w:rsidR="006F15A5" w:rsidRPr="000D18BB">
        <w:rPr>
          <w:color w:val="000000"/>
          <w:sz w:val="22"/>
          <w:szCs w:val="22"/>
        </w:rPr>
        <w:t>re is</w:t>
      </w:r>
      <w:r w:rsidR="00562CD7" w:rsidRPr="000D18BB">
        <w:rPr>
          <w:color w:val="000000"/>
          <w:sz w:val="22"/>
          <w:szCs w:val="22"/>
        </w:rPr>
        <w:t xml:space="preserve"> </w:t>
      </w:r>
      <w:r w:rsidR="005F4ED6" w:rsidRPr="000D18BB">
        <w:rPr>
          <w:color w:val="000000"/>
          <w:sz w:val="22"/>
          <w:szCs w:val="22"/>
        </w:rPr>
        <w:t xml:space="preserve">a </w:t>
      </w:r>
      <w:r w:rsidR="00562CD7" w:rsidRPr="000D18BB">
        <w:rPr>
          <w:color w:val="000000"/>
          <w:sz w:val="22"/>
          <w:szCs w:val="22"/>
        </w:rPr>
        <w:t xml:space="preserve">potential to reverse </w:t>
      </w:r>
      <w:r w:rsidR="00590496" w:rsidRPr="000D18BB">
        <w:rPr>
          <w:color w:val="000000"/>
          <w:sz w:val="22"/>
          <w:szCs w:val="22"/>
        </w:rPr>
        <w:t xml:space="preserve">a long-term trend of shrinking labor force </w:t>
      </w:r>
      <w:r w:rsidR="006F15A5" w:rsidRPr="000D18BB">
        <w:rPr>
          <w:color w:val="000000"/>
          <w:sz w:val="22"/>
          <w:szCs w:val="22"/>
        </w:rPr>
        <w:t>in Moldova (</w:t>
      </w:r>
      <w:r w:rsidR="006F15A5" w:rsidRPr="000D18BB">
        <w:rPr>
          <w:color w:val="000000"/>
          <w:sz w:val="22"/>
          <w:szCs w:val="22"/>
        </w:rPr>
        <w:fldChar w:fldCharType="begin"/>
      </w:r>
      <w:r w:rsidR="006F15A5" w:rsidRPr="000D18BB">
        <w:rPr>
          <w:color w:val="000000"/>
          <w:sz w:val="22"/>
          <w:szCs w:val="22"/>
        </w:rPr>
        <w:instrText xml:space="preserve"> REF _Ref529259733 \h  \* MERGEFORMAT </w:instrText>
      </w:r>
      <w:r w:rsidR="006F15A5" w:rsidRPr="000D18BB">
        <w:rPr>
          <w:color w:val="000000"/>
          <w:sz w:val="22"/>
          <w:szCs w:val="22"/>
        </w:rPr>
      </w:r>
      <w:r w:rsidR="006F15A5" w:rsidRPr="000D18BB">
        <w:rPr>
          <w:color w:val="000000"/>
          <w:sz w:val="22"/>
          <w:szCs w:val="22"/>
        </w:rPr>
        <w:fldChar w:fldCharType="separate"/>
      </w:r>
      <w:r w:rsidR="006406AF" w:rsidRPr="006406AF">
        <w:rPr>
          <w:sz w:val="22"/>
          <w:szCs w:val="22"/>
        </w:rPr>
        <w:t xml:space="preserve">Figure </w:t>
      </w:r>
      <w:r w:rsidR="006406AF" w:rsidRPr="006406AF">
        <w:rPr>
          <w:noProof/>
          <w:sz w:val="22"/>
          <w:szCs w:val="22"/>
        </w:rPr>
        <w:t>4</w:t>
      </w:r>
      <w:r w:rsidR="006F15A5" w:rsidRPr="000D18BB">
        <w:rPr>
          <w:color w:val="000000"/>
          <w:sz w:val="22"/>
          <w:szCs w:val="22"/>
        </w:rPr>
        <w:fldChar w:fldCharType="end"/>
      </w:r>
      <w:r w:rsidR="006F15A5" w:rsidRPr="000D18BB">
        <w:rPr>
          <w:color w:val="000000"/>
          <w:sz w:val="22"/>
          <w:szCs w:val="22"/>
        </w:rPr>
        <w:t>, Scenario</w:t>
      </w:r>
      <w:r w:rsidR="000D18BB">
        <w:rPr>
          <w:color w:val="000000"/>
          <w:sz w:val="22"/>
          <w:szCs w:val="22"/>
        </w:rPr>
        <w:t>s</w:t>
      </w:r>
      <w:r w:rsidR="006F15A5" w:rsidRPr="000D18BB">
        <w:rPr>
          <w:color w:val="000000"/>
          <w:sz w:val="22"/>
          <w:szCs w:val="22"/>
        </w:rPr>
        <w:t xml:space="preserve"> 3 and 4)</w:t>
      </w:r>
      <w:r w:rsidR="00896AFE" w:rsidRPr="000D18BB">
        <w:rPr>
          <w:color w:val="000000"/>
          <w:sz w:val="22"/>
          <w:szCs w:val="22"/>
        </w:rPr>
        <w:t>. But this requires a huge increase in labor force participation rates of Moldovan men and women</w:t>
      </w:r>
      <w:r w:rsidR="000D18BB">
        <w:rPr>
          <w:color w:val="000000"/>
          <w:sz w:val="22"/>
          <w:szCs w:val="22"/>
        </w:rPr>
        <w:t xml:space="preserve">, </w:t>
      </w:r>
      <w:r w:rsidR="000D18BB" w:rsidRPr="000D18BB">
        <w:rPr>
          <w:color w:val="000000"/>
          <w:sz w:val="22"/>
          <w:szCs w:val="22"/>
        </w:rPr>
        <w:t>by 0.6-2.8 p</w:t>
      </w:r>
      <w:r w:rsidR="007831F8">
        <w:rPr>
          <w:color w:val="000000"/>
          <w:sz w:val="22"/>
          <w:szCs w:val="22"/>
        </w:rPr>
        <w:t>ercentage points</w:t>
      </w:r>
      <w:r w:rsidR="000D18BB" w:rsidRPr="000D18BB">
        <w:rPr>
          <w:color w:val="000000"/>
          <w:sz w:val="22"/>
          <w:szCs w:val="22"/>
        </w:rPr>
        <w:t xml:space="preserve"> </w:t>
      </w:r>
      <w:r w:rsidR="006D2DEF">
        <w:rPr>
          <w:color w:val="000000"/>
          <w:sz w:val="22"/>
          <w:szCs w:val="22"/>
        </w:rPr>
        <w:t>annually</w:t>
      </w:r>
      <w:r w:rsidR="00C11513">
        <w:rPr>
          <w:color w:val="000000"/>
          <w:sz w:val="22"/>
          <w:szCs w:val="22"/>
        </w:rPr>
        <w:t xml:space="preserve"> from 2017 to 2030 </w:t>
      </w:r>
      <w:r w:rsidR="000D18BB" w:rsidRPr="000D18BB">
        <w:rPr>
          <w:color w:val="000000"/>
          <w:sz w:val="22"/>
          <w:szCs w:val="22"/>
        </w:rPr>
        <w:t xml:space="preserve">for males and </w:t>
      </w:r>
      <w:r w:rsidR="00C11513">
        <w:rPr>
          <w:color w:val="000000"/>
          <w:sz w:val="22"/>
          <w:szCs w:val="22"/>
        </w:rPr>
        <w:t xml:space="preserve">by </w:t>
      </w:r>
      <w:r w:rsidR="000D18BB" w:rsidRPr="000D18BB">
        <w:rPr>
          <w:color w:val="000000"/>
          <w:sz w:val="22"/>
          <w:szCs w:val="22"/>
        </w:rPr>
        <w:t xml:space="preserve">0.8-2.4 </w:t>
      </w:r>
      <w:r w:rsidR="007831F8" w:rsidRPr="000D18BB">
        <w:rPr>
          <w:color w:val="000000"/>
          <w:sz w:val="22"/>
          <w:szCs w:val="22"/>
        </w:rPr>
        <w:t>p</w:t>
      </w:r>
      <w:r w:rsidR="007831F8">
        <w:rPr>
          <w:color w:val="000000"/>
          <w:sz w:val="22"/>
          <w:szCs w:val="22"/>
        </w:rPr>
        <w:t>ercentage points</w:t>
      </w:r>
      <w:r w:rsidR="007831F8" w:rsidRPr="000D18BB">
        <w:rPr>
          <w:color w:val="000000"/>
          <w:sz w:val="22"/>
          <w:szCs w:val="22"/>
        </w:rPr>
        <w:t xml:space="preserve"> </w:t>
      </w:r>
      <w:r w:rsidR="000D18BB" w:rsidRPr="000D18BB">
        <w:rPr>
          <w:color w:val="000000"/>
          <w:sz w:val="22"/>
          <w:szCs w:val="22"/>
        </w:rPr>
        <w:t>for females, depending on the age group</w:t>
      </w:r>
      <w:r w:rsidR="00C11513">
        <w:rPr>
          <w:color w:val="000000"/>
          <w:sz w:val="22"/>
          <w:szCs w:val="22"/>
        </w:rPr>
        <w:t xml:space="preserve"> (</w:t>
      </w:r>
      <w:r w:rsidR="006D2DEF">
        <w:rPr>
          <w:color w:val="000000"/>
          <w:sz w:val="22"/>
          <w:szCs w:val="22"/>
        </w:rPr>
        <w:t xml:space="preserve">if </w:t>
      </w:r>
      <w:r w:rsidR="00C11513">
        <w:rPr>
          <w:color w:val="000000"/>
          <w:sz w:val="22"/>
          <w:szCs w:val="22"/>
        </w:rPr>
        <w:t>convergence to the average EU-28 levels</w:t>
      </w:r>
      <w:r w:rsidR="006D2DEF">
        <w:rPr>
          <w:color w:val="000000"/>
          <w:sz w:val="22"/>
          <w:szCs w:val="22"/>
        </w:rPr>
        <w:t xml:space="preserve"> is assumed</w:t>
      </w:r>
      <w:r w:rsidR="00C11513">
        <w:rPr>
          <w:color w:val="000000"/>
          <w:sz w:val="22"/>
          <w:szCs w:val="22"/>
        </w:rPr>
        <w:t>)</w:t>
      </w:r>
      <w:r w:rsidR="006F15A5" w:rsidRPr="000D18BB">
        <w:rPr>
          <w:color w:val="000000"/>
          <w:sz w:val="22"/>
          <w:szCs w:val="22"/>
        </w:rPr>
        <w:t>.</w:t>
      </w:r>
    </w:p>
    <w:p w14:paraId="1FA58EEE" w14:textId="604E9785" w:rsidR="001D7884" w:rsidRPr="006D2DEF" w:rsidRDefault="00896AFE" w:rsidP="00896AFE">
      <w:pPr>
        <w:pStyle w:val="ad"/>
        <w:spacing w:before="240" w:after="0"/>
        <w:jc w:val="left"/>
        <w:rPr>
          <w:color w:val="000000"/>
          <w:lang w:val="en-US"/>
        </w:rPr>
      </w:pPr>
      <w:bookmarkStart w:id="16" w:name="_Ref529259733"/>
      <w:bookmarkStart w:id="17" w:name="_Toc533211760"/>
      <w:r w:rsidRPr="006D2DEF">
        <w:t xml:space="preserve">Figure </w:t>
      </w:r>
      <w:r w:rsidRPr="006D2DEF">
        <w:fldChar w:fldCharType="begin"/>
      </w:r>
      <w:r w:rsidRPr="006D2DEF">
        <w:instrText xml:space="preserve"> SEQ Figure \* ARABIC </w:instrText>
      </w:r>
      <w:r w:rsidRPr="006D2DEF">
        <w:fldChar w:fldCharType="separate"/>
      </w:r>
      <w:r w:rsidR="007F56F7">
        <w:rPr>
          <w:noProof/>
        </w:rPr>
        <w:t>4</w:t>
      </w:r>
      <w:r w:rsidRPr="006D2DEF">
        <w:fldChar w:fldCharType="end"/>
      </w:r>
      <w:bookmarkEnd w:id="16"/>
      <w:r w:rsidR="001D7884" w:rsidRPr="006D2DEF">
        <w:rPr>
          <w:color w:val="000000"/>
          <w:lang w:val="en-US"/>
        </w:rPr>
        <w:t>: Labor force projections (thousand people aged 15 years and above), 2000-2030</w:t>
      </w:r>
      <w:bookmarkEnd w:id="17"/>
    </w:p>
    <w:p w14:paraId="2D69088B" w14:textId="77777777" w:rsidR="001D7884" w:rsidRPr="007F56F7" w:rsidRDefault="006D2DEF" w:rsidP="001D7884">
      <w:pPr>
        <w:pStyle w:val="61"/>
        <w:shd w:val="clear" w:color="auto" w:fill="auto"/>
        <w:spacing w:before="120" w:line="240" w:lineRule="auto"/>
        <w:jc w:val="center"/>
        <w:rPr>
          <w:color w:val="000000"/>
          <w:sz w:val="22"/>
          <w:szCs w:val="22"/>
          <w:lang w:val="ru-RU"/>
        </w:rPr>
      </w:pPr>
      <w:r w:rsidRPr="006D2DEF">
        <w:rPr>
          <w:color w:val="000000"/>
        </w:rPr>
        <w:t xml:space="preserve"> </w:t>
      </w:r>
      <w:r w:rsidR="007F56F7">
        <w:rPr>
          <w:noProof/>
          <w:lang w:val="ru-RU" w:eastAsia="ru-RU"/>
        </w:rPr>
        <w:drawing>
          <wp:inline distT="0" distB="0" distL="0" distR="0" wp14:anchorId="0B07F347" wp14:editId="40BB70BC">
            <wp:extent cx="4371975" cy="2838450"/>
            <wp:effectExtent l="0" t="0" r="9525"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798C4C" w14:textId="4762F564" w:rsidR="00DB2904" w:rsidRPr="000D18BB" w:rsidRDefault="00DB2904" w:rsidP="00DB2904">
      <w:pPr>
        <w:pStyle w:val="63"/>
        <w:shd w:val="clear" w:color="auto" w:fill="auto"/>
        <w:spacing w:before="120" w:line="240" w:lineRule="auto"/>
        <w:rPr>
          <w:color w:val="000000"/>
          <w:sz w:val="20"/>
          <w:szCs w:val="20"/>
        </w:rPr>
      </w:pPr>
      <w:r w:rsidRPr="000D18BB">
        <w:rPr>
          <w:color w:val="000000"/>
          <w:sz w:val="20"/>
          <w:szCs w:val="20"/>
        </w:rPr>
        <w:t>Source: Author’s calculations based on population projections from UN (2017) –</w:t>
      </w:r>
      <w:r w:rsidR="006406AF">
        <w:rPr>
          <w:color w:val="000000"/>
          <w:sz w:val="20"/>
          <w:szCs w:val="20"/>
        </w:rPr>
        <w:t xml:space="preserve"> </w:t>
      </w:r>
      <w:r w:rsidRPr="000D18BB">
        <w:rPr>
          <w:color w:val="000000"/>
          <w:sz w:val="20"/>
          <w:szCs w:val="20"/>
        </w:rPr>
        <w:t>medium variant</w:t>
      </w:r>
      <w:r w:rsidR="00206AA9" w:rsidRPr="000D18BB">
        <w:rPr>
          <w:color w:val="000000"/>
          <w:sz w:val="20"/>
          <w:szCs w:val="20"/>
        </w:rPr>
        <w:t xml:space="preserve">, including </w:t>
      </w:r>
      <w:proofErr w:type="spellStart"/>
      <w:r w:rsidR="00206AA9" w:rsidRPr="000D18BB">
        <w:rPr>
          <w:color w:val="000000"/>
          <w:sz w:val="20"/>
          <w:szCs w:val="20"/>
        </w:rPr>
        <w:t>Transnistria</w:t>
      </w:r>
      <w:proofErr w:type="spellEnd"/>
      <w:r w:rsidRPr="000D18BB">
        <w:rPr>
          <w:color w:val="000000"/>
          <w:sz w:val="20"/>
          <w:szCs w:val="20"/>
        </w:rPr>
        <w:t xml:space="preserve"> –</w:t>
      </w:r>
      <w:r w:rsidR="001F591E">
        <w:rPr>
          <w:color w:val="000000"/>
          <w:sz w:val="20"/>
          <w:szCs w:val="20"/>
        </w:rPr>
        <w:t xml:space="preserve"> </w:t>
      </w:r>
      <w:r w:rsidRPr="000D18BB">
        <w:rPr>
          <w:color w:val="000000"/>
          <w:sz w:val="20"/>
          <w:szCs w:val="20"/>
        </w:rPr>
        <w:t xml:space="preserve">and labor force participation rates </w:t>
      </w:r>
      <w:r w:rsidR="007B0245" w:rsidRPr="000D18BB">
        <w:rPr>
          <w:color w:val="000000"/>
          <w:sz w:val="20"/>
          <w:szCs w:val="20"/>
        </w:rPr>
        <w:t xml:space="preserve">for males and females for ten five-year age groups and 65+ age groups </w:t>
      </w:r>
      <w:r w:rsidRPr="000D18BB">
        <w:rPr>
          <w:color w:val="000000"/>
          <w:sz w:val="20"/>
          <w:szCs w:val="20"/>
        </w:rPr>
        <w:t>from ILO (2017).</w:t>
      </w:r>
    </w:p>
    <w:p w14:paraId="1F08043F" w14:textId="77777777" w:rsidR="000D18BB" w:rsidRDefault="00DB2904" w:rsidP="00DB2904">
      <w:pPr>
        <w:pStyle w:val="63"/>
        <w:shd w:val="clear" w:color="auto" w:fill="auto"/>
        <w:spacing w:before="120" w:line="240" w:lineRule="auto"/>
        <w:rPr>
          <w:color w:val="000000"/>
          <w:sz w:val="20"/>
          <w:szCs w:val="20"/>
        </w:rPr>
      </w:pPr>
      <w:r w:rsidRPr="000D18BB">
        <w:rPr>
          <w:color w:val="000000"/>
          <w:sz w:val="20"/>
          <w:szCs w:val="20"/>
        </w:rPr>
        <w:t xml:space="preserve">Note: </w:t>
      </w:r>
      <w:r w:rsidR="007B0245" w:rsidRPr="000D18BB">
        <w:rPr>
          <w:color w:val="000000"/>
          <w:sz w:val="20"/>
          <w:szCs w:val="20"/>
        </w:rPr>
        <w:t xml:space="preserve">The size of the labor force is estimated by interacting the age-gender specific labor force participation rates with the population data from the UN (by the same age groups and gender) and then summing up the data for all age and gender groups. </w:t>
      </w:r>
    </w:p>
    <w:p w14:paraId="1197A70D" w14:textId="77777777" w:rsidR="000D18BB" w:rsidRDefault="007B0245" w:rsidP="000D18BB">
      <w:pPr>
        <w:pStyle w:val="63"/>
        <w:shd w:val="clear" w:color="auto" w:fill="auto"/>
        <w:spacing w:line="240" w:lineRule="auto"/>
        <w:rPr>
          <w:color w:val="000000"/>
          <w:sz w:val="20"/>
          <w:szCs w:val="20"/>
        </w:rPr>
      </w:pPr>
      <w:r w:rsidRPr="000D18BB">
        <w:rPr>
          <w:color w:val="000000"/>
          <w:sz w:val="20"/>
          <w:szCs w:val="20"/>
        </w:rPr>
        <w:t xml:space="preserve">Scenario 1 uses the ILO labor force participation rates (estimates in 2000-2016 and projections in </w:t>
      </w:r>
      <w:r w:rsidR="00DB2904" w:rsidRPr="000D18BB">
        <w:rPr>
          <w:color w:val="000000"/>
          <w:sz w:val="20"/>
          <w:szCs w:val="20"/>
        </w:rPr>
        <w:t>201</w:t>
      </w:r>
      <w:r w:rsidRPr="000D18BB">
        <w:rPr>
          <w:color w:val="000000"/>
          <w:sz w:val="20"/>
          <w:szCs w:val="20"/>
        </w:rPr>
        <w:t>7</w:t>
      </w:r>
      <w:r w:rsidR="00DB2904" w:rsidRPr="000D18BB">
        <w:rPr>
          <w:color w:val="000000"/>
          <w:sz w:val="20"/>
          <w:szCs w:val="20"/>
        </w:rPr>
        <w:t>-20</w:t>
      </w:r>
      <w:r w:rsidRPr="000D18BB">
        <w:rPr>
          <w:color w:val="000000"/>
          <w:sz w:val="20"/>
          <w:szCs w:val="20"/>
        </w:rPr>
        <w:t>3</w:t>
      </w:r>
      <w:r w:rsidR="00DB2904" w:rsidRPr="000D18BB">
        <w:rPr>
          <w:color w:val="000000"/>
          <w:sz w:val="20"/>
          <w:szCs w:val="20"/>
        </w:rPr>
        <w:t>0</w:t>
      </w:r>
      <w:r w:rsidRPr="000D18BB">
        <w:rPr>
          <w:color w:val="000000"/>
          <w:sz w:val="20"/>
          <w:szCs w:val="20"/>
        </w:rPr>
        <w:t>). Scenario 2 keeps the ILO labor force participation rates for males (in five out of 11 age groups participations rates among males are lower than among females in 2030) and assumes a linear convergence of participation rates for females</w:t>
      </w:r>
      <w:r w:rsidR="00DB2904" w:rsidRPr="000D18BB">
        <w:rPr>
          <w:color w:val="000000"/>
          <w:sz w:val="20"/>
          <w:szCs w:val="20"/>
        </w:rPr>
        <w:t xml:space="preserve"> </w:t>
      </w:r>
      <w:r w:rsidRPr="000D18BB">
        <w:rPr>
          <w:color w:val="000000"/>
          <w:sz w:val="20"/>
          <w:szCs w:val="20"/>
        </w:rPr>
        <w:t>to those of males between 2016 and 2030.</w:t>
      </w:r>
    </w:p>
    <w:p w14:paraId="01F0601D" w14:textId="77777777" w:rsidR="000D18BB" w:rsidRDefault="00E25375" w:rsidP="000D18BB">
      <w:pPr>
        <w:pStyle w:val="63"/>
        <w:shd w:val="clear" w:color="auto" w:fill="auto"/>
        <w:spacing w:line="240" w:lineRule="auto"/>
        <w:rPr>
          <w:color w:val="000000"/>
          <w:sz w:val="20"/>
          <w:szCs w:val="20"/>
        </w:rPr>
      </w:pPr>
      <w:r w:rsidRPr="000D18BB">
        <w:rPr>
          <w:color w:val="000000"/>
          <w:sz w:val="20"/>
          <w:szCs w:val="20"/>
        </w:rPr>
        <w:t>Scenario 3 assumes that participation rates for all age-gender groups in Moldova will converge by 2030 to the average projected participation rates of EU-28 countries (with a necessary annual increase in participation rates by 0.6-2.8 p.p. for males and 0.8-2.4 p.p. for females, depending on the age group).</w:t>
      </w:r>
    </w:p>
    <w:p w14:paraId="7DA3E976" w14:textId="77777777" w:rsidR="001D7884" w:rsidRPr="00E61FB5" w:rsidRDefault="00E25375" w:rsidP="000D18BB">
      <w:pPr>
        <w:pStyle w:val="63"/>
        <w:shd w:val="clear" w:color="auto" w:fill="auto"/>
        <w:spacing w:line="240" w:lineRule="auto"/>
        <w:rPr>
          <w:color w:val="000000"/>
          <w:sz w:val="20"/>
          <w:szCs w:val="20"/>
        </w:rPr>
      </w:pPr>
      <w:r w:rsidRPr="000D18BB">
        <w:rPr>
          <w:color w:val="000000"/>
          <w:sz w:val="20"/>
          <w:szCs w:val="20"/>
        </w:rPr>
        <w:t>Scenario 4 assumes that participation rates for all age-gender groups in Moldova will converge by 2030 to the projected participation rates in Sweden (with a necessary annual increase in participation rates by 1.2-3.5 p.p. for males and 1.9-3.7 p.p. for females, depending on the age group).</w:t>
      </w:r>
    </w:p>
    <w:p w14:paraId="1440452A" w14:textId="77777777" w:rsidR="00CB7ECD" w:rsidRPr="00CB7ECD" w:rsidRDefault="003E2E50" w:rsidP="0064734A">
      <w:pPr>
        <w:pStyle w:val="61"/>
        <w:shd w:val="clear" w:color="auto" w:fill="auto"/>
        <w:spacing w:before="120" w:line="240" w:lineRule="auto"/>
        <w:jc w:val="both"/>
        <w:rPr>
          <w:color w:val="000000"/>
          <w:sz w:val="22"/>
          <w:szCs w:val="22"/>
        </w:rPr>
      </w:pPr>
      <w:r w:rsidRPr="006406AF">
        <w:rPr>
          <w:b/>
          <w:color w:val="000000"/>
          <w:sz w:val="22"/>
          <w:szCs w:val="22"/>
        </w:rPr>
        <w:lastRenderedPageBreak/>
        <w:t xml:space="preserve">There is a hot debate in Moldova and other countries facing low fertility rates and declining population whether </w:t>
      </w:r>
      <w:r w:rsidR="00912A3A" w:rsidRPr="006406AF">
        <w:rPr>
          <w:b/>
          <w:color w:val="000000"/>
          <w:sz w:val="22"/>
          <w:szCs w:val="22"/>
        </w:rPr>
        <w:t>public polic</w:t>
      </w:r>
      <w:r w:rsidR="0064734A" w:rsidRPr="006406AF">
        <w:rPr>
          <w:b/>
          <w:color w:val="000000"/>
          <w:sz w:val="22"/>
          <w:szCs w:val="22"/>
        </w:rPr>
        <w:t>ies</w:t>
      </w:r>
      <w:r w:rsidR="00912A3A" w:rsidRPr="006406AF">
        <w:rPr>
          <w:b/>
          <w:color w:val="000000"/>
          <w:sz w:val="22"/>
          <w:szCs w:val="22"/>
        </w:rPr>
        <w:t xml:space="preserve"> and programs should be directed on encouraging female labor force participation </w:t>
      </w:r>
      <w:r w:rsidRPr="006406AF">
        <w:rPr>
          <w:b/>
          <w:color w:val="000000"/>
          <w:sz w:val="22"/>
          <w:szCs w:val="22"/>
        </w:rPr>
        <w:t xml:space="preserve">or </w:t>
      </w:r>
      <w:r w:rsidR="00912A3A" w:rsidRPr="006406AF">
        <w:rPr>
          <w:b/>
          <w:color w:val="000000"/>
          <w:sz w:val="22"/>
          <w:szCs w:val="22"/>
        </w:rPr>
        <w:t xml:space="preserve">on support of families in having more </w:t>
      </w:r>
      <w:r w:rsidRPr="006406AF">
        <w:rPr>
          <w:b/>
          <w:color w:val="000000"/>
          <w:sz w:val="22"/>
          <w:szCs w:val="22"/>
        </w:rPr>
        <w:t>children</w:t>
      </w:r>
      <w:r w:rsidRPr="000D18BB">
        <w:rPr>
          <w:color w:val="000000"/>
          <w:sz w:val="22"/>
          <w:szCs w:val="22"/>
        </w:rPr>
        <w:t>.</w:t>
      </w:r>
      <w:r w:rsidR="00912A3A" w:rsidRPr="000D18BB">
        <w:rPr>
          <w:color w:val="000000"/>
          <w:sz w:val="22"/>
          <w:szCs w:val="22"/>
        </w:rPr>
        <w:t xml:space="preserve"> Recent studies in </w:t>
      </w:r>
      <w:r w:rsidR="00CB7ECD" w:rsidRPr="000D18BB">
        <w:rPr>
          <w:color w:val="000000"/>
          <w:sz w:val="22"/>
          <w:szCs w:val="22"/>
        </w:rPr>
        <w:t xml:space="preserve">developed </w:t>
      </w:r>
      <w:r w:rsidR="00912A3A" w:rsidRPr="000D18BB">
        <w:rPr>
          <w:color w:val="000000"/>
          <w:sz w:val="22"/>
          <w:szCs w:val="22"/>
        </w:rPr>
        <w:t xml:space="preserve">countries </w:t>
      </w:r>
      <w:r w:rsidR="00CB7ECD" w:rsidRPr="000D18BB">
        <w:rPr>
          <w:color w:val="000000"/>
          <w:sz w:val="22"/>
          <w:szCs w:val="22"/>
        </w:rPr>
        <w:t>find a positive link between fertility and female employment</w:t>
      </w:r>
      <w:r w:rsidR="00582142">
        <w:rPr>
          <w:color w:val="000000"/>
          <w:sz w:val="22"/>
          <w:szCs w:val="22"/>
        </w:rPr>
        <w:t>,</w:t>
      </w:r>
      <w:r w:rsidR="00CB7ECD" w:rsidRPr="000D18BB">
        <w:rPr>
          <w:color w:val="000000"/>
          <w:sz w:val="22"/>
          <w:szCs w:val="22"/>
        </w:rPr>
        <w:t xml:space="preserve"> </w:t>
      </w:r>
      <w:r w:rsidR="00912A3A" w:rsidRPr="000D18BB">
        <w:rPr>
          <w:color w:val="000000"/>
          <w:sz w:val="22"/>
          <w:szCs w:val="22"/>
        </w:rPr>
        <w:t>suggest</w:t>
      </w:r>
      <w:r w:rsidR="00CB7ECD" w:rsidRPr="000D18BB">
        <w:rPr>
          <w:color w:val="000000"/>
          <w:sz w:val="22"/>
          <w:szCs w:val="22"/>
        </w:rPr>
        <w:t>ing</w:t>
      </w:r>
      <w:r w:rsidR="00912A3A" w:rsidRPr="000D18BB">
        <w:rPr>
          <w:color w:val="000000"/>
          <w:sz w:val="22"/>
          <w:szCs w:val="22"/>
        </w:rPr>
        <w:t xml:space="preserve"> that </w:t>
      </w:r>
      <w:r w:rsidR="00CB7ECD" w:rsidRPr="000D18BB">
        <w:rPr>
          <w:color w:val="000000"/>
          <w:sz w:val="22"/>
          <w:szCs w:val="22"/>
        </w:rPr>
        <w:t xml:space="preserve">employment </w:t>
      </w:r>
      <w:r w:rsidR="00912A3A" w:rsidRPr="000D18BB">
        <w:rPr>
          <w:color w:val="000000"/>
          <w:sz w:val="22"/>
          <w:szCs w:val="22"/>
        </w:rPr>
        <w:t>of women is likely to facilitate the decision to start or enlarge a family</w:t>
      </w:r>
      <w:r w:rsidR="00CB7ECD" w:rsidRPr="000D18BB">
        <w:rPr>
          <w:color w:val="000000"/>
          <w:sz w:val="22"/>
          <w:szCs w:val="22"/>
        </w:rPr>
        <w:t xml:space="preserve"> if parents do not face barriers in combining work and family life (</w:t>
      </w:r>
      <w:proofErr w:type="spellStart"/>
      <w:r w:rsidR="00CB7ECD" w:rsidRPr="000D18BB">
        <w:rPr>
          <w:color w:val="000000"/>
          <w:sz w:val="22"/>
          <w:szCs w:val="22"/>
        </w:rPr>
        <w:t>Greulich</w:t>
      </w:r>
      <w:proofErr w:type="spellEnd"/>
      <w:r w:rsidR="00CB7ECD" w:rsidRPr="000D18BB">
        <w:rPr>
          <w:color w:val="000000"/>
          <w:sz w:val="22"/>
          <w:szCs w:val="22"/>
        </w:rPr>
        <w:t xml:space="preserve"> et al., 2017)</w:t>
      </w:r>
      <w:r w:rsidR="00912A3A" w:rsidRPr="000D18BB">
        <w:rPr>
          <w:color w:val="000000"/>
          <w:sz w:val="22"/>
          <w:szCs w:val="22"/>
        </w:rPr>
        <w:t>.</w:t>
      </w:r>
      <w:r w:rsidR="00CB7ECD" w:rsidRPr="000D18BB">
        <w:rPr>
          <w:color w:val="000000"/>
          <w:sz w:val="22"/>
          <w:szCs w:val="22"/>
        </w:rPr>
        <w:t xml:space="preserve"> According to a cross-country study in EU countries (</w:t>
      </w:r>
      <w:proofErr w:type="spellStart"/>
      <w:r w:rsidR="00CB7ECD" w:rsidRPr="000D18BB">
        <w:rPr>
          <w:color w:val="000000"/>
          <w:sz w:val="22"/>
          <w:szCs w:val="22"/>
        </w:rPr>
        <w:t>Greulich</w:t>
      </w:r>
      <w:proofErr w:type="spellEnd"/>
      <w:r w:rsidR="00CB7ECD" w:rsidRPr="000D18BB">
        <w:rPr>
          <w:color w:val="000000"/>
          <w:sz w:val="22"/>
          <w:szCs w:val="22"/>
        </w:rPr>
        <w:t xml:space="preserve"> et al., 2017), employed women aged 17-45 </w:t>
      </w:r>
      <w:r w:rsidR="0064734A" w:rsidRPr="000D18BB">
        <w:rPr>
          <w:color w:val="000000"/>
          <w:sz w:val="22"/>
          <w:szCs w:val="22"/>
        </w:rPr>
        <w:t xml:space="preserve">years </w:t>
      </w:r>
      <w:r w:rsidR="00CB7ECD" w:rsidRPr="000D18BB">
        <w:rPr>
          <w:color w:val="000000"/>
          <w:sz w:val="22"/>
          <w:szCs w:val="22"/>
        </w:rPr>
        <w:t xml:space="preserve">who already have one child are more likely to have a second childbirth than women not in employment, and this association </w:t>
      </w:r>
      <w:r w:rsidRPr="000D18BB">
        <w:rPr>
          <w:color w:val="000000"/>
          <w:sz w:val="22"/>
          <w:szCs w:val="22"/>
        </w:rPr>
        <w:t>is stronger for highly</w:t>
      </w:r>
      <w:r w:rsidR="00EC16E2">
        <w:rPr>
          <w:color w:val="000000"/>
          <w:sz w:val="22"/>
          <w:szCs w:val="22"/>
        </w:rPr>
        <w:t>-</w:t>
      </w:r>
      <w:r w:rsidRPr="000D18BB">
        <w:rPr>
          <w:color w:val="000000"/>
          <w:sz w:val="22"/>
          <w:szCs w:val="22"/>
        </w:rPr>
        <w:t>educated women and for women with partners who are themselves in employment.</w:t>
      </w:r>
      <w:r w:rsidR="00CB7ECD" w:rsidRPr="000D18BB">
        <w:rPr>
          <w:color w:val="000000"/>
          <w:sz w:val="22"/>
          <w:szCs w:val="22"/>
        </w:rPr>
        <w:t xml:space="preserve"> An important finding is that the probability of having a second child </w:t>
      </w:r>
      <w:r w:rsidRPr="000D18BB">
        <w:rPr>
          <w:color w:val="000000"/>
          <w:sz w:val="22"/>
          <w:szCs w:val="22"/>
        </w:rPr>
        <w:t>is reinforced in countri</w:t>
      </w:r>
      <w:r w:rsidR="00CB7ECD" w:rsidRPr="000D18BB">
        <w:rPr>
          <w:color w:val="000000"/>
          <w:sz w:val="22"/>
          <w:szCs w:val="22"/>
        </w:rPr>
        <w:t>es with high childcare coverage</w:t>
      </w:r>
      <w:r w:rsidRPr="000D18BB">
        <w:rPr>
          <w:color w:val="000000"/>
          <w:sz w:val="22"/>
          <w:szCs w:val="22"/>
        </w:rPr>
        <w:t xml:space="preserve">, whereas </w:t>
      </w:r>
      <w:r w:rsidR="00CB7ECD" w:rsidRPr="000D18BB">
        <w:rPr>
          <w:color w:val="000000"/>
          <w:sz w:val="22"/>
          <w:szCs w:val="22"/>
        </w:rPr>
        <w:t>other family policy instruments – such as length of parental leave schemes and total cash transfers to families</w:t>
      </w:r>
      <w:r w:rsidR="0064734A" w:rsidRPr="000D18BB">
        <w:rPr>
          <w:color w:val="000000"/>
          <w:sz w:val="22"/>
          <w:szCs w:val="22"/>
        </w:rPr>
        <w:t xml:space="preserve"> –</w:t>
      </w:r>
      <w:r w:rsidR="00CB7ECD" w:rsidRPr="000D18BB">
        <w:rPr>
          <w:color w:val="000000"/>
          <w:sz w:val="22"/>
          <w:szCs w:val="22"/>
        </w:rPr>
        <w:t xml:space="preserve"> do not have a significant effect</w:t>
      </w:r>
      <w:r w:rsidR="00EC16E2">
        <w:rPr>
          <w:color w:val="000000"/>
          <w:sz w:val="22"/>
          <w:szCs w:val="22"/>
        </w:rPr>
        <w:t xml:space="preserve"> on fertility</w:t>
      </w:r>
      <w:r w:rsidR="00CB7ECD" w:rsidRPr="000D18BB">
        <w:rPr>
          <w:color w:val="000000"/>
          <w:sz w:val="22"/>
          <w:szCs w:val="22"/>
        </w:rPr>
        <w:t xml:space="preserve">. </w:t>
      </w:r>
      <w:r w:rsidR="0064734A" w:rsidRPr="000D18BB">
        <w:rPr>
          <w:color w:val="000000"/>
          <w:sz w:val="22"/>
          <w:szCs w:val="22"/>
        </w:rPr>
        <w:t xml:space="preserve">According to a similar study in Russia by </w:t>
      </w:r>
      <w:proofErr w:type="spellStart"/>
      <w:r w:rsidR="0064734A" w:rsidRPr="000D18BB">
        <w:rPr>
          <w:color w:val="000000"/>
          <w:sz w:val="22"/>
          <w:szCs w:val="22"/>
        </w:rPr>
        <w:t>Elizarov</w:t>
      </w:r>
      <w:proofErr w:type="spellEnd"/>
      <w:r w:rsidR="0064734A" w:rsidRPr="000D18BB">
        <w:rPr>
          <w:color w:val="000000"/>
          <w:sz w:val="22"/>
          <w:szCs w:val="22"/>
        </w:rPr>
        <w:t xml:space="preserve"> and Levin (2015), stable employment of women is among the main determinants of the propensity to have a second child. Hence, encouraging labor force participation of women should be seen as a complementary policy to tackle low fertility rates in Moldova, </w:t>
      </w:r>
      <w:r w:rsidR="00E111EC" w:rsidRPr="000D18BB">
        <w:rPr>
          <w:color w:val="000000"/>
          <w:sz w:val="22"/>
          <w:szCs w:val="22"/>
        </w:rPr>
        <w:t>given simultaneous progress in policies aimed at developing childcare facilities and at securing</w:t>
      </w:r>
      <w:r w:rsidR="00EC16E2">
        <w:rPr>
          <w:color w:val="000000"/>
          <w:sz w:val="22"/>
          <w:szCs w:val="22"/>
        </w:rPr>
        <w:t xml:space="preserve"> equality in</w:t>
      </w:r>
      <w:r w:rsidR="00E111EC" w:rsidRPr="000D18BB">
        <w:rPr>
          <w:color w:val="000000"/>
          <w:sz w:val="22"/>
          <w:szCs w:val="22"/>
        </w:rPr>
        <w:t xml:space="preserve"> employment and wage income</w:t>
      </w:r>
      <w:r w:rsidR="0064734A" w:rsidRPr="000D18BB">
        <w:rPr>
          <w:color w:val="000000"/>
          <w:sz w:val="22"/>
          <w:szCs w:val="22"/>
        </w:rPr>
        <w:t>.</w:t>
      </w:r>
    </w:p>
    <w:p w14:paraId="00AA1907" w14:textId="5B48D7EB" w:rsidR="001D7884" w:rsidRPr="004A792A" w:rsidRDefault="00896AFE" w:rsidP="001D7884">
      <w:pPr>
        <w:pStyle w:val="61"/>
        <w:shd w:val="clear" w:color="auto" w:fill="auto"/>
        <w:spacing w:before="120" w:line="240" w:lineRule="auto"/>
        <w:jc w:val="both"/>
        <w:rPr>
          <w:color w:val="000000"/>
          <w:sz w:val="22"/>
          <w:szCs w:val="22"/>
        </w:rPr>
      </w:pPr>
      <w:r w:rsidRPr="006406AF">
        <w:rPr>
          <w:b/>
          <w:color w:val="000000"/>
          <w:sz w:val="22"/>
          <w:szCs w:val="22"/>
        </w:rPr>
        <w:t>Moldova faces increasing level of gender inequality on many indicators due to a lack of effective implementation and enforcement of existing legislation and due to social norms, perpetuated through the education system, media, and labor markets</w:t>
      </w:r>
      <w:r w:rsidR="006406AF">
        <w:rPr>
          <w:color w:val="000000"/>
          <w:sz w:val="22"/>
          <w:szCs w:val="22"/>
        </w:rPr>
        <w:t xml:space="preserve"> (</w:t>
      </w:r>
      <w:r w:rsidR="006406AF" w:rsidRPr="004A792A">
        <w:rPr>
          <w:color w:val="000000"/>
          <w:sz w:val="22"/>
          <w:szCs w:val="22"/>
        </w:rPr>
        <w:t>World Bank, 2014a</w:t>
      </w:r>
      <w:r w:rsidR="006406AF">
        <w:rPr>
          <w:color w:val="000000"/>
          <w:sz w:val="22"/>
          <w:szCs w:val="22"/>
        </w:rPr>
        <w:t>, 2017)</w:t>
      </w:r>
      <w:r w:rsidRPr="004A792A">
        <w:rPr>
          <w:color w:val="000000"/>
          <w:sz w:val="22"/>
          <w:szCs w:val="22"/>
        </w:rPr>
        <w:t>.</w:t>
      </w:r>
      <w:r>
        <w:rPr>
          <w:color w:val="000000"/>
          <w:sz w:val="22"/>
          <w:szCs w:val="22"/>
        </w:rPr>
        <w:t xml:space="preserve"> </w:t>
      </w:r>
      <w:r w:rsidR="001D7884" w:rsidRPr="004A792A">
        <w:rPr>
          <w:color w:val="000000"/>
          <w:sz w:val="22"/>
          <w:szCs w:val="22"/>
        </w:rPr>
        <w:t>The 2017 Moldova Country Gender Action Plan (World Bank, 2017) defines five priority gender challenges for Moldova: occupational segregation and earnings gap; discrepancies in labor force participation; entrepreneurship and livelihoods; voice, agency, and gender-based violence</w:t>
      </w:r>
      <w:r w:rsidR="001D7884">
        <w:rPr>
          <w:color w:val="000000"/>
          <w:sz w:val="22"/>
          <w:szCs w:val="22"/>
        </w:rPr>
        <w:t>; h</w:t>
      </w:r>
      <w:r w:rsidR="001D7884" w:rsidRPr="004E1A13">
        <w:rPr>
          <w:color w:val="000000"/>
          <w:sz w:val="22"/>
          <w:szCs w:val="22"/>
        </w:rPr>
        <w:t>ealthy lifestyles and behaviors</w:t>
      </w:r>
      <w:r w:rsidR="000B2F75">
        <w:rPr>
          <w:color w:val="000000"/>
          <w:sz w:val="22"/>
          <w:szCs w:val="22"/>
        </w:rPr>
        <w:t>.</w:t>
      </w:r>
    </w:p>
    <w:p w14:paraId="188EE0EF" w14:textId="5D627951" w:rsidR="0088309F" w:rsidRDefault="0088309F" w:rsidP="0088309F">
      <w:pPr>
        <w:pStyle w:val="61"/>
        <w:shd w:val="clear" w:color="auto" w:fill="auto"/>
        <w:spacing w:before="120" w:line="240" w:lineRule="auto"/>
        <w:jc w:val="both"/>
        <w:rPr>
          <w:color w:val="000000"/>
          <w:sz w:val="22"/>
          <w:szCs w:val="22"/>
        </w:rPr>
      </w:pPr>
      <w:r w:rsidRPr="006406AF">
        <w:rPr>
          <w:b/>
          <w:color w:val="000000"/>
          <w:sz w:val="22"/>
          <w:szCs w:val="22"/>
        </w:rPr>
        <w:t xml:space="preserve">The objective of this </w:t>
      </w:r>
      <w:r w:rsidR="002E7FEC" w:rsidRPr="006406AF">
        <w:rPr>
          <w:b/>
          <w:color w:val="000000"/>
          <w:sz w:val="22"/>
          <w:szCs w:val="22"/>
        </w:rPr>
        <w:t>report</w:t>
      </w:r>
      <w:r w:rsidRPr="00941ECF">
        <w:rPr>
          <w:b/>
          <w:color w:val="000000"/>
          <w:sz w:val="22"/>
          <w:szCs w:val="22"/>
        </w:rPr>
        <w:t xml:space="preserve"> is </w:t>
      </w:r>
      <w:r w:rsidR="006D2DEF" w:rsidRPr="00941ECF">
        <w:rPr>
          <w:b/>
          <w:color w:val="000000"/>
          <w:sz w:val="22"/>
          <w:szCs w:val="22"/>
        </w:rPr>
        <w:t xml:space="preserve">to </w:t>
      </w:r>
      <w:r w:rsidR="00EC16E2" w:rsidRPr="00941ECF">
        <w:rPr>
          <w:b/>
          <w:color w:val="000000"/>
          <w:sz w:val="22"/>
          <w:szCs w:val="22"/>
        </w:rPr>
        <w:t xml:space="preserve">address the knowledge gaps for the first </w:t>
      </w:r>
      <w:r w:rsidR="004C5836" w:rsidRPr="00941ECF">
        <w:rPr>
          <w:b/>
          <w:color w:val="000000"/>
          <w:sz w:val="22"/>
          <w:szCs w:val="22"/>
        </w:rPr>
        <w:t xml:space="preserve">and second </w:t>
      </w:r>
      <w:r w:rsidR="00EC16E2" w:rsidRPr="00941ECF">
        <w:rPr>
          <w:b/>
          <w:color w:val="000000"/>
          <w:sz w:val="22"/>
          <w:szCs w:val="22"/>
        </w:rPr>
        <w:t>priority challenge</w:t>
      </w:r>
      <w:r w:rsidR="00084148" w:rsidRPr="00941ECF">
        <w:rPr>
          <w:b/>
          <w:color w:val="000000"/>
          <w:sz w:val="22"/>
          <w:szCs w:val="22"/>
        </w:rPr>
        <w:t>s</w:t>
      </w:r>
      <w:r w:rsidR="00EC16E2">
        <w:rPr>
          <w:color w:val="000000"/>
          <w:sz w:val="22"/>
          <w:szCs w:val="22"/>
        </w:rPr>
        <w:t xml:space="preserve"> </w:t>
      </w:r>
      <w:r w:rsidRPr="006406AF">
        <w:rPr>
          <w:b/>
          <w:color w:val="000000"/>
          <w:sz w:val="22"/>
          <w:szCs w:val="22"/>
        </w:rPr>
        <w:t>and thereby contribut</w:t>
      </w:r>
      <w:r w:rsidR="00941ECF">
        <w:rPr>
          <w:b/>
          <w:color w:val="000000"/>
          <w:sz w:val="22"/>
          <w:szCs w:val="22"/>
        </w:rPr>
        <w:t>e</w:t>
      </w:r>
      <w:r w:rsidRPr="006406AF">
        <w:rPr>
          <w:b/>
          <w:color w:val="000000"/>
          <w:sz w:val="22"/>
          <w:szCs w:val="22"/>
        </w:rPr>
        <w:t xml:space="preserve"> to </w:t>
      </w:r>
      <w:r w:rsidR="009C070C" w:rsidRPr="006406AF">
        <w:rPr>
          <w:b/>
          <w:color w:val="000000"/>
          <w:sz w:val="22"/>
          <w:szCs w:val="22"/>
        </w:rPr>
        <w:t xml:space="preserve">the </w:t>
      </w:r>
      <w:r w:rsidRPr="006406AF">
        <w:rPr>
          <w:b/>
          <w:color w:val="000000"/>
          <w:sz w:val="22"/>
          <w:szCs w:val="22"/>
        </w:rPr>
        <w:t>evidence-based policymaking on the labor supply and gender equality agendas</w:t>
      </w:r>
      <w:r w:rsidRPr="004A792A">
        <w:rPr>
          <w:color w:val="000000"/>
          <w:sz w:val="22"/>
          <w:szCs w:val="22"/>
        </w:rPr>
        <w:t xml:space="preserve">. </w:t>
      </w:r>
      <w:r w:rsidR="00084148">
        <w:rPr>
          <w:color w:val="000000"/>
          <w:sz w:val="22"/>
          <w:szCs w:val="22"/>
        </w:rPr>
        <w:t xml:space="preserve">Specifically, </w:t>
      </w:r>
      <w:r w:rsidR="00EC16E2">
        <w:rPr>
          <w:color w:val="000000"/>
          <w:sz w:val="22"/>
          <w:szCs w:val="22"/>
        </w:rPr>
        <w:t>the report</w:t>
      </w:r>
      <w:r w:rsidR="00EC16E2" w:rsidRPr="004A792A">
        <w:rPr>
          <w:color w:val="000000"/>
          <w:sz w:val="22"/>
          <w:szCs w:val="22"/>
        </w:rPr>
        <w:t xml:space="preserve"> </w:t>
      </w:r>
      <w:r w:rsidRPr="004A792A">
        <w:rPr>
          <w:color w:val="000000"/>
          <w:sz w:val="22"/>
          <w:szCs w:val="22"/>
        </w:rPr>
        <w:t>explores the key labor market gender challenges such as occupational segregation (looking at segregation of current occupations and educational specializations)</w:t>
      </w:r>
      <w:r w:rsidR="00135129">
        <w:rPr>
          <w:color w:val="000000"/>
          <w:sz w:val="22"/>
          <w:szCs w:val="22"/>
        </w:rPr>
        <w:t xml:space="preserve"> and</w:t>
      </w:r>
      <w:r w:rsidRPr="004A792A">
        <w:rPr>
          <w:color w:val="000000"/>
          <w:sz w:val="22"/>
          <w:szCs w:val="22"/>
        </w:rPr>
        <w:t xml:space="preserve"> </w:t>
      </w:r>
      <w:r w:rsidR="00003FD5">
        <w:rPr>
          <w:color w:val="000000"/>
          <w:sz w:val="22"/>
          <w:szCs w:val="22"/>
        </w:rPr>
        <w:t>the parenthood</w:t>
      </w:r>
      <w:r w:rsidR="00003FD5" w:rsidRPr="004A792A">
        <w:rPr>
          <w:color w:val="000000"/>
          <w:sz w:val="22"/>
          <w:szCs w:val="22"/>
        </w:rPr>
        <w:t xml:space="preserve"> penalty (looking at differences in labor force participation, employment, and earnings for women </w:t>
      </w:r>
      <w:r w:rsidR="00003FD5">
        <w:rPr>
          <w:color w:val="000000"/>
          <w:sz w:val="22"/>
          <w:szCs w:val="22"/>
        </w:rPr>
        <w:t xml:space="preserve">and men </w:t>
      </w:r>
      <w:r w:rsidR="00003FD5" w:rsidRPr="004A792A">
        <w:rPr>
          <w:color w:val="000000"/>
          <w:sz w:val="22"/>
          <w:szCs w:val="22"/>
        </w:rPr>
        <w:t>with no children, 1 child, 2 or more children)</w:t>
      </w:r>
      <w:r w:rsidR="00084148">
        <w:rPr>
          <w:color w:val="000000"/>
          <w:sz w:val="22"/>
          <w:szCs w:val="22"/>
        </w:rPr>
        <w:t>,</w:t>
      </w:r>
      <w:r w:rsidR="00084148" w:rsidRPr="00084148">
        <w:rPr>
          <w:color w:val="000000"/>
          <w:sz w:val="22"/>
          <w:szCs w:val="22"/>
        </w:rPr>
        <w:t xml:space="preserve"> </w:t>
      </w:r>
      <w:r w:rsidR="00084148">
        <w:rPr>
          <w:color w:val="000000"/>
          <w:sz w:val="22"/>
          <w:szCs w:val="22"/>
        </w:rPr>
        <w:t>u</w:t>
      </w:r>
      <w:r w:rsidR="00084148" w:rsidRPr="004A792A">
        <w:rPr>
          <w:color w:val="000000"/>
          <w:sz w:val="22"/>
          <w:szCs w:val="22"/>
        </w:rPr>
        <w:t xml:space="preserve">sing the </w:t>
      </w:r>
      <w:r w:rsidR="00084148">
        <w:rPr>
          <w:color w:val="000000"/>
          <w:sz w:val="22"/>
          <w:szCs w:val="22"/>
        </w:rPr>
        <w:t xml:space="preserve">nationally-representative </w:t>
      </w:r>
      <w:r w:rsidR="00084148" w:rsidRPr="004A792A">
        <w:rPr>
          <w:color w:val="000000"/>
          <w:sz w:val="22"/>
          <w:szCs w:val="22"/>
        </w:rPr>
        <w:t>individual-level Labor Force Survey (LFS) data in 2006-2016</w:t>
      </w:r>
      <w:r w:rsidRPr="004A792A">
        <w:rPr>
          <w:color w:val="000000"/>
          <w:sz w:val="22"/>
          <w:szCs w:val="22"/>
        </w:rPr>
        <w:t xml:space="preserve">. The novelty of this study is that an LFS-based analysis that applies a conventional methodology of occupational segregation indicators and earnings regressions </w:t>
      </w:r>
      <w:r w:rsidR="00EC16E2">
        <w:rPr>
          <w:color w:val="000000"/>
          <w:sz w:val="22"/>
          <w:szCs w:val="22"/>
        </w:rPr>
        <w:t xml:space="preserve">and decompositions </w:t>
      </w:r>
      <w:r w:rsidRPr="004A792A">
        <w:rPr>
          <w:color w:val="000000"/>
          <w:sz w:val="22"/>
          <w:szCs w:val="22"/>
        </w:rPr>
        <w:t>in chapters</w:t>
      </w:r>
      <w:r w:rsidR="00BC7493">
        <w:rPr>
          <w:color w:val="000000"/>
          <w:sz w:val="22"/>
          <w:szCs w:val="22"/>
        </w:rPr>
        <w:t xml:space="preserve"> 2 through 4</w:t>
      </w:r>
      <w:r w:rsidRPr="004A792A">
        <w:rPr>
          <w:color w:val="000000"/>
          <w:sz w:val="22"/>
          <w:szCs w:val="22"/>
        </w:rPr>
        <w:t xml:space="preserve"> is complemented by an original analysis of job seeker profiles</w:t>
      </w:r>
      <w:r w:rsidR="00BC7493">
        <w:rPr>
          <w:color w:val="000000"/>
          <w:sz w:val="22"/>
          <w:szCs w:val="22"/>
        </w:rPr>
        <w:t xml:space="preserve"> in chapter 5</w:t>
      </w:r>
      <w:r w:rsidRPr="004A792A">
        <w:rPr>
          <w:color w:val="000000"/>
          <w:sz w:val="22"/>
          <w:szCs w:val="22"/>
        </w:rPr>
        <w:t>, scraped from the largest online job portal in Moldova in June 2018</w:t>
      </w:r>
      <w:r w:rsidR="00EC16E2">
        <w:rPr>
          <w:color w:val="000000"/>
          <w:sz w:val="22"/>
          <w:szCs w:val="22"/>
        </w:rPr>
        <w:t>, to examine the role of gender in labor market aspirations and expectations of young job seekers</w:t>
      </w:r>
      <w:r w:rsidRPr="004A792A">
        <w:rPr>
          <w:color w:val="000000"/>
          <w:sz w:val="22"/>
          <w:szCs w:val="22"/>
        </w:rPr>
        <w:t>.</w:t>
      </w:r>
      <w:bookmarkStart w:id="18" w:name="bookmark6"/>
      <w:bookmarkEnd w:id="18"/>
    </w:p>
    <w:p w14:paraId="230CE6C1" w14:textId="25D5109D" w:rsidR="006406AF" w:rsidRDefault="00084148" w:rsidP="001A66E6">
      <w:pPr>
        <w:pStyle w:val="61"/>
        <w:shd w:val="clear" w:color="auto" w:fill="auto"/>
        <w:spacing w:before="120" w:line="240" w:lineRule="auto"/>
        <w:jc w:val="both"/>
        <w:rPr>
          <w:color w:val="000000"/>
          <w:sz w:val="22"/>
          <w:szCs w:val="22"/>
        </w:rPr>
      </w:pPr>
      <w:r>
        <w:rPr>
          <w:color w:val="000000"/>
          <w:sz w:val="22"/>
          <w:szCs w:val="22"/>
        </w:rPr>
        <w:t>Even though the third priority challenge (</w:t>
      </w:r>
      <w:r w:rsidRPr="004A792A">
        <w:rPr>
          <w:color w:val="000000"/>
          <w:sz w:val="22"/>
          <w:szCs w:val="22"/>
        </w:rPr>
        <w:t>entrepreneurship</w:t>
      </w:r>
      <w:r>
        <w:rPr>
          <w:color w:val="000000"/>
          <w:sz w:val="22"/>
          <w:szCs w:val="22"/>
        </w:rPr>
        <w:t xml:space="preserve">) is also linked to the labor market </w:t>
      </w:r>
      <w:r w:rsidR="008631B5">
        <w:rPr>
          <w:color w:val="000000"/>
          <w:sz w:val="22"/>
          <w:szCs w:val="22"/>
        </w:rPr>
        <w:t xml:space="preserve">and there are substantial </w:t>
      </w:r>
      <w:r w:rsidR="008631B5" w:rsidRPr="008631B5">
        <w:rPr>
          <w:color w:val="000000"/>
          <w:sz w:val="22"/>
          <w:szCs w:val="22"/>
        </w:rPr>
        <w:t xml:space="preserve">disparities in </w:t>
      </w:r>
      <w:r w:rsidR="008631B5">
        <w:rPr>
          <w:color w:val="000000"/>
          <w:sz w:val="22"/>
          <w:szCs w:val="22"/>
        </w:rPr>
        <w:t xml:space="preserve">the </w:t>
      </w:r>
      <w:r w:rsidR="008631B5" w:rsidRPr="008631B5">
        <w:rPr>
          <w:color w:val="000000"/>
          <w:sz w:val="22"/>
          <w:szCs w:val="22"/>
        </w:rPr>
        <w:t xml:space="preserve">success rate </w:t>
      </w:r>
      <w:r w:rsidR="00605939">
        <w:rPr>
          <w:color w:val="000000"/>
          <w:sz w:val="22"/>
          <w:szCs w:val="22"/>
        </w:rPr>
        <w:t>of setting up a business as well as</w:t>
      </w:r>
      <w:r w:rsidR="008631B5" w:rsidRPr="008631B5">
        <w:rPr>
          <w:color w:val="000000"/>
          <w:sz w:val="22"/>
          <w:szCs w:val="22"/>
        </w:rPr>
        <w:t xml:space="preserve"> </w:t>
      </w:r>
      <w:r w:rsidR="008631B5">
        <w:rPr>
          <w:color w:val="000000"/>
          <w:sz w:val="22"/>
          <w:szCs w:val="22"/>
        </w:rPr>
        <w:t xml:space="preserve">in the </w:t>
      </w:r>
      <w:r w:rsidR="008631B5" w:rsidRPr="008631B5">
        <w:rPr>
          <w:color w:val="000000"/>
          <w:sz w:val="22"/>
          <w:szCs w:val="22"/>
        </w:rPr>
        <w:t>size and</w:t>
      </w:r>
      <w:r w:rsidR="008631B5">
        <w:rPr>
          <w:color w:val="000000"/>
          <w:sz w:val="22"/>
          <w:szCs w:val="22"/>
        </w:rPr>
        <w:t xml:space="preserve"> </w:t>
      </w:r>
      <w:r w:rsidR="008631B5" w:rsidRPr="008631B5">
        <w:rPr>
          <w:color w:val="000000"/>
          <w:sz w:val="22"/>
          <w:szCs w:val="22"/>
        </w:rPr>
        <w:t xml:space="preserve">nature of businesses that </w:t>
      </w:r>
      <w:r w:rsidR="008631B5">
        <w:rPr>
          <w:color w:val="000000"/>
          <w:sz w:val="22"/>
          <w:szCs w:val="22"/>
        </w:rPr>
        <w:t xml:space="preserve">Moldovan </w:t>
      </w:r>
      <w:r w:rsidR="008631B5" w:rsidRPr="008631B5">
        <w:rPr>
          <w:color w:val="000000"/>
          <w:sz w:val="22"/>
          <w:szCs w:val="22"/>
        </w:rPr>
        <w:t>women and men lead</w:t>
      </w:r>
      <w:r w:rsidR="008631B5">
        <w:rPr>
          <w:color w:val="000000"/>
          <w:sz w:val="22"/>
          <w:szCs w:val="22"/>
        </w:rPr>
        <w:t xml:space="preserve"> (</w:t>
      </w:r>
      <w:r w:rsidR="008631B5" w:rsidRPr="004A792A">
        <w:rPr>
          <w:color w:val="000000"/>
          <w:sz w:val="22"/>
          <w:szCs w:val="22"/>
        </w:rPr>
        <w:t>World Bank, 2014a</w:t>
      </w:r>
      <w:r w:rsidR="008631B5">
        <w:rPr>
          <w:color w:val="000000"/>
          <w:sz w:val="22"/>
          <w:szCs w:val="22"/>
        </w:rPr>
        <w:t xml:space="preserve">), this report does not address the issue of entrepreneurship in detail due to </w:t>
      </w:r>
      <w:r w:rsidR="00605939">
        <w:rPr>
          <w:color w:val="000000"/>
          <w:sz w:val="22"/>
          <w:szCs w:val="22"/>
        </w:rPr>
        <w:t xml:space="preserve">LFS data containing only a very small sample of non-agricultural employers (either women or men) and very few </w:t>
      </w:r>
      <w:r w:rsidR="008631B5">
        <w:rPr>
          <w:color w:val="000000"/>
          <w:sz w:val="22"/>
          <w:szCs w:val="22"/>
        </w:rPr>
        <w:t xml:space="preserve">relevant </w:t>
      </w:r>
      <w:r w:rsidR="00605939">
        <w:rPr>
          <w:color w:val="000000"/>
          <w:sz w:val="22"/>
          <w:szCs w:val="22"/>
        </w:rPr>
        <w:t>variables on this topic</w:t>
      </w:r>
      <w:r w:rsidR="008631B5">
        <w:rPr>
          <w:color w:val="000000"/>
          <w:sz w:val="22"/>
          <w:szCs w:val="22"/>
        </w:rPr>
        <w:t xml:space="preserve">. Another limitation of this report </w:t>
      </w:r>
      <w:r w:rsidR="00086BF2">
        <w:rPr>
          <w:color w:val="000000"/>
          <w:sz w:val="22"/>
          <w:szCs w:val="22"/>
        </w:rPr>
        <w:t xml:space="preserve">is that it </w:t>
      </w:r>
      <w:r w:rsidR="00086BF2" w:rsidRPr="004C5836">
        <w:rPr>
          <w:color w:val="000000"/>
          <w:sz w:val="22"/>
          <w:szCs w:val="22"/>
        </w:rPr>
        <w:t xml:space="preserve">does not </w:t>
      </w:r>
      <w:r w:rsidR="00915B4D">
        <w:rPr>
          <w:color w:val="000000"/>
          <w:sz w:val="22"/>
          <w:szCs w:val="22"/>
        </w:rPr>
        <w:t xml:space="preserve">study the </w:t>
      </w:r>
      <w:r w:rsidR="00086BF2">
        <w:rPr>
          <w:color w:val="000000"/>
          <w:sz w:val="22"/>
          <w:szCs w:val="22"/>
        </w:rPr>
        <w:t xml:space="preserve">impact </w:t>
      </w:r>
      <w:r w:rsidR="00086BF2" w:rsidRPr="004C5836">
        <w:rPr>
          <w:color w:val="000000"/>
          <w:sz w:val="22"/>
          <w:szCs w:val="22"/>
        </w:rPr>
        <w:t xml:space="preserve">of </w:t>
      </w:r>
      <w:r w:rsidRPr="004C5836">
        <w:rPr>
          <w:color w:val="000000"/>
          <w:sz w:val="22"/>
          <w:szCs w:val="22"/>
        </w:rPr>
        <w:t xml:space="preserve">international labor migration and remittances </w:t>
      </w:r>
      <w:r w:rsidR="00086BF2">
        <w:rPr>
          <w:color w:val="000000"/>
          <w:sz w:val="22"/>
          <w:szCs w:val="22"/>
        </w:rPr>
        <w:t>on</w:t>
      </w:r>
      <w:r w:rsidRPr="004C5836">
        <w:rPr>
          <w:color w:val="000000"/>
          <w:sz w:val="22"/>
          <w:szCs w:val="22"/>
        </w:rPr>
        <w:t xml:space="preserve"> labor market outcomes of remaining household members and other social an</w:t>
      </w:r>
      <w:r w:rsidR="00915B4D">
        <w:rPr>
          <w:color w:val="000000"/>
          <w:sz w:val="22"/>
          <w:szCs w:val="22"/>
        </w:rPr>
        <w:t xml:space="preserve">d economic indicators in Moldova. </w:t>
      </w:r>
      <w:proofErr w:type="spellStart"/>
      <w:r w:rsidRPr="004C5836">
        <w:rPr>
          <w:color w:val="000000"/>
          <w:sz w:val="22"/>
          <w:szCs w:val="22"/>
        </w:rPr>
        <w:t>Besedina</w:t>
      </w:r>
      <w:proofErr w:type="spellEnd"/>
      <w:r w:rsidRPr="004C5836">
        <w:rPr>
          <w:color w:val="000000"/>
          <w:sz w:val="22"/>
          <w:szCs w:val="22"/>
        </w:rPr>
        <w:t xml:space="preserve"> and Levin</w:t>
      </w:r>
      <w:r w:rsidR="00915B4D">
        <w:rPr>
          <w:color w:val="000000"/>
          <w:sz w:val="22"/>
          <w:szCs w:val="22"/>
        </w:rPr>
        <w:t xml:space="preserve"> (</w:t>
      </w:r>
      <w:r w:rsidRPr="004C5836">
        <w:rPr>
          <w:color w:val="000000"/>
          <w:sz w:val="22"/>
          <w:szCs w:val="22"/>
        </w:rPr>
        <w:t>2016</w:t>
      </w:r>
      <w:r w:rsidR="00915B4D">
        <w:rPr>
          <w:color w:val="000000"/>
          <w:sz w:val="22"/>
          <w:szCs w:val="22"/>
        </w:rPr>
        <w:t xml:space="preserve">) and </w:t>
      </w:r>
      <w:proofErr w:type="spellStart"/>
      <w:r w:rsidRPr="004C5836">
        <w:rPr>
          <w:color w:val="000000"/>
          <w:sz w:val="22"/>
          <w:szCs w:val="22"/>
        </w:rPr>
        <w:t>Stratan</w:t>
      </w:r>
      <w:proofErr w:type="spellEnd"/>
      <w:r w:rsidRPr="004C5836">
        <w:rPr>
          <w:color w:val="000000"/>
          <w:sz w:val="22"/>
          <w:szCs w:val="22"/>
        </w:rPr>
        <w:t xml:space="preserve"> et al.</w:t>
      </w:r>
      <w:r w:rsidR="00915B4D">
        <w:rPr>
          <w:color w:val="000000"/>
          <w:sz w:val="22"/>
          <w:szCs w:val="22"/>
        </w:rPr>
        <w:t xml:space="preserve"> (</w:t>
      </w:r>
      <w:r w:rsidRPr="004C5836">
        <w:rPr>
          <w:color w:val="000000"/>
          <w:sz w:val="22"/>
          <w:szCs w:val="22"/>
        </w:rPr>
        <w:t>2013)</w:t>
      </w:r>
      <w:r w:rsidR="00915B4D">
        <w:rPr>
          <w:color w:val="000000"/>
          <w:sz w:val="22"/>
          <w:szCs w:val="22"/>
        </w:rPr>
        <w:t xml:space="preserve"> find that migration and remittances are associated with lower labor force participation rates of </w:t>
      </w:r>
      <w:r w:rsidR="00605939">
        <w:rPr>
          <w:color w:val="000000"/>
          <w:sz w:val="22"/>
          <w:szCs w:val="22"/>
        </w:rPr>
        <w:t>remaining</w:t>
      </w:r>
      <w:r w:rsidR="00B37041">
        <w:rPr>
          <w:color w:val="000000"/>
          <w:sz w:val="22"/>
          <w:szCs w:val="22"/>
        </w:rPr>
        <w:t xml:space="preserve"> household members</w:t>
      </w:r>
      <w:r w:rsidR="00605939">
        <w:rPr>
          <w:color w:val="000000"/>
          <w:sz w:val="22"/>
          <w:szCs w:val="22"/>
        </w:rPr>
        <w:t xml:space="preserve"> (who are more likely to be female, compared to households without migrants)</w:t>
      </w:r>
      <w:r w:rsidR="00B37041">
        <w:rPr>
          <w:color w:val="000000"/>
          <w:sz w:val="22"/>
          <w:szCs w:val="22"/>
        </w:rPr>
        <w:t xml:space="preserve"> </w:t>
      </w:r>
      <w:r w:rsidR="00CB2752">
        <w:rPr>
          <w:color w:val="000000"/>
          <w:sz w:val="22"/>
          <w:szCs w:val="22"/>
        </w:rPr>
        <w:t xml:space="preserve">and higher incidence of part-time employment </w:t>
      </w:r>
      <w:r w:rsidR="00B37041">
        <w:rPr>
          <w:color w:val="000000"/>
          <w:sz w:val="22"/>
          <w:szCs w:val="22"/>
        </w:rPr>
        <w:t xml:space="preserve">as </w:t>
      </w:r>
      <w:r w:rsidR="00915B4D" w:rsidRPr="00CB2752">
        <w:rPr>
          <w:color w:val="000000"/>
          <w:sz w:val="22"/>
          <w:szCs w:val="22"/>
        </w:rPr>
        <w:t xml:space="preserve">remittance recipients rationally reduce </w:t>
      </w:r>
      <w:r w:rsidR="00CB2752">
        <w:rPr>
          <w:color w:val="000000"/>
          <w:sz w:val="22"/>
          <w:szCs w:val="22"/>
        </w:rPr>
        <w:t xml:space="preserve">their </w:t>
      </w:r>
      <w:r w:rsidR="00915B4D" w:rsidRPr="00CB2752">
        <w:rPr>
          <w:color w:val="000000"/>
          <w:sz w:val="22"/>
          <w:szCs w:val="22"/>
        </w:rPr>
        <w:t>labor effort</w:t>
      </w:r>
      <w:r w:rsidR="00CB2752">
        <w:rPr>
          <w:color w:val="000000"/>
          <w:sz w:val="22"/>
          <w:szCs w:val="22"/>
        </w:rPr>
        <w:t>.</w:t>
      </w:r>
      <w:r w:rsidR="001A66E6">
        <w:rPr>
          <w:color w:val="000000"/>
          <w:sz w:val="22"/>
          <w:szCs w:val="22"/>
        </w:rPr>
        <w:t xml:space="preserve"> </w:t>
      </w:r>
      <w:r w:rsidR="00A65106">
        <w:rPr>
          <w:color w:val="000000"/>
          <w:sz w:val="22"/>
          <w:szCs w:val="22"/>
        </w:rPr>
        <w:t>To answer the question w</w:t>
      </w:r>
      <w:r w:rsidR="001A66E6">
        <w:rPr>
          <w:color w:val="000000"/>
          <w:sz w:val="22"/>
          <w:szCs w:val="22"/>
        </w:rPr>
        <w:t xml:space="preserve">hether </w:t>
      </w:r>
      <w:r w:rsidR="00A65106">
        <w:rPr>
          <w:color w:val="000000"/>
          <w:sz w:val="22"/>
          <w:szCs w:val="22"/>
        </w:rPr>
        <w:t xml:space="preserve">migration and remittances contribute to gender inequalities in the Moldovan labor market, including gender gaps in labor force participation, employment and earnings, other data and </w:t>
      </w:r>
      <w:r w:rsidR="00A65106" w:rsidRPr="00A65106">
        <w:rPr>
          <w:color w:val="000000"/>
          <w:sz w:val="22"/>
          <w:szCs w:val="22"/>
        </w:rPr>
        <w:t>further research</w:t>
      </w:r>
      <w:r w:rsidR="00A65106">
        <w:rPr>
          <w:color w:val="000000"/>
          <w:sz w:val="22"/>
          <w:szCs w:val="22"/>
        </w:rPr>
        <w:t xml:space="preserve"> are needed</w:t>
      </w:r>
      <w:r w:rsidR="001A66E6" w:rsidRPr="006406AF">
        <w:rPr>
          <w:color w:val="000000"/>
          <w:sz w:val="22"/>
          <w:szCs w:val="22"/>
        </w:rPr>
        <w:t>.</w:t>
      </w:r>
      <w:r w:rsidR="006406AF" w:rsidRPr="006406AF">
        <w:rPr>
          <w:color w:val="000000"/>
          <w:sz w:val="22"/>
          <w:szCs w:val="22"/>
        </w:rPr>
        <w:t xml:space="preserve"> Finally, the report contributes to the literature </w:t>
      </w:r>
      <w:r w:rsidR="006406AF" w:rsidRPr="006406AF">
        <w:rPr>
          <w:color w:val="000000"/>
          <w:sz w:val="22"/>
          <w:szCs w:val="22"/>
        </w:rPr>
        <w:lastRenderedPageBreak/>
        <w:t>about the supply side of the Moldovan labor market whereas it draws on the findings of other studies on the labor demand developments. According to World Bank (2016b, c), rapid economic growth in recent years in Moldova was not accompanied by job creation, net job losses have taken place in most sectors and across regions, and only some categories of workers (predominantly skilled older male workers in urban areas) were able to benefit from access to higher-paying jobs in productivity-increasing firms.</w:t>
      </w:r>
    </w:p>
    <w:p w14:paraId="44C0DE62" w14:textId="0855BF0C" w:rsidR="002E35FD" w:rsidRPr="0066124A" w:rsidRDefault="002E35FD" w:rsidP="001A66E6">
      <w:pPr>
        <w:pStyle w:val="61"/>
        <w:shd w:val="clear" w:color="auto" w:fill="auto"/>
        <w:spacing w:before="120" w:line="240" w:lineRule="auto"/>
        <w:jc w:val="both"/>
        <w:rPr>
          <w:color w:val="000000"/>
          <w:sz w:val="22"/>
          <w:szCs w:val="22"/>
          <w:highlight w:val="yellow"/>
        </w:rPr>
      </w:pPr>
      <w:r w:rsidRPr="0041250C">
        <w:rPr>
          <w:color w:val="000000"/>
          <w:sz w:val="22"/>
          <w:szCs w:val="22"/>
        </w:rPr>
        <w:t>The report is intended for technically-inclined readers from government agencies, think tanks and researchers active in gender and labor market domains. The Executive summary summarizes the findings of the analysis in non-technical language for the general public and policy makers.</w:t>
      </w:r>
      <w:r w:rsidR="00B257B7">
        <w:rPr>
          <w:color w:val="000000"/>
          <w:sz w:val="22"/>
          <w:szCs w:val="22"/>
        </w:rPr>
        <w:t xml:space="preserve"> Annex I provides technical details on which methodology and data are used for the </w:t>
      </w:r>
      <w:r w:rsidR="00634882">
        <w:rPr>
          <w:color w:val="000000"/>
          <w:sz w:val="22"/>
          <w:szCs w:val="22"/>
        </w:rPr>
        <w:t>analysis</w:t>
      </w:r>
      <w:r w:rsidR="00B257B7">
        <w:rPr>
          <w:color w:val="000000"/>
          <w:sz w:val="22"/>
          <w:szCs w:val="22"/>
        </w:rPr>
        <w:t>.</w:t>
      </w:r>
    </w:p>
    <w:p w14:paraId="16B54EEB" w14:textId="50F79B20" w:rsidR="00057ADF" w:rsidRPr="004A792A" w:rsidRDefault="00057ADF" w:rsidP="000D15B2">
      <w:pPr>
        <w:pStyle w:val="Headingoverview"/>
        <w:rPr>
          <w:smallCaps w:val="0"/>
          <w:color w:val="0070C0"/>
        </w:rPr>
      </w:pPr>
      <w:bookmarkStart w:id="19" w:name="_Toc533211730"/>
      <w:r w:rsidRPr="004A792A">
        <w:rPr>
          <w:smallCaps w:val="0"/>
          <w:color w:val="0070C0"/>
        </w:rPr>
        <w:lastRenderedPageBreak/>
        <w:t xml:space="preserve">2. </w:t>
      </w:r>
      <w:bookmarkStart w:id="20" w:name="bookmark7"/>
      <w:r w:rsidRPr="004A792A">
        <w:rPr>
          <w:color w:val="0070C0"/>
        </w:rPr>
        <w:t xml:space="preserve">Gender </w:t>
      </w:r>
      <w:r w:rsidRPr="004A792A">
        <w:rPr>
          <w:bCs/>
          <w:color w:val="0070C0"/>
        </w:rPr>
        <w:t xml:space="preserve">segregation </w:t>
      </w:r>
      <w:r w:rsidRPr="004A792A">
        <w:rPr>
          <w:color w:val="0070C0"/>
        </w:rPr>
        <w:t>of current occupations and</w:t>
      </w:r>
      <w:bookmarkEnd w:id="20"/>
      <w:r w:rsidRPr="004A792A">
        <w:rPr>
          <w:color w:val="0070C0"/>
        </w:rPr>
        <w:t xml:space="preserve"> </w:t>
      </w:r>
      <w:bookmarkStart w:id="21" w:name="bookmark8"/>
      <w:r w:rsidRPr="004A792A">
        <w:rPr>
          <w:color w:val="0070C0"/>
        </w:rPr>
        <w:t>educational specializations</w:t>
      </w:r>
      <w:bookmarkEnd w:id="21"/>
      <w:r w:rsidR="00684929">
        <w:rPr>
          <w:rStyle w:val="af9"/>
          <w:color w:val="0070C0"/>
        </w:rPr>
        <w:footnoteReference w:id="3"/>
      </w:r>
      <w:bookmarkEnd w:id="19"/>
    </w:p>
    <w:p w14:paraId="780382ED" w14:textId="25137AA3" w:rsidR="00CB76CB" w:rsidRPr="00684929" w:rsidRDefault="0061460D" w:rsidP="00684929">
      <w:pPr>
        <w:pStyle w:val="2"/>
        <w:numPr>
          <w:ilvl w:val="0"/>
          <w:numId w:val="0"/>
        </w:numPr>
        <w:spacing w:before="360"/>
        <w:rPr>
          <w:color w:val="0070C0"/>
          <w:sz w:val="32"/>
          <w:szCs w:val="32"/>
        </w:rPr>
      </w:pPr>
      <w:bookmarkStart w:id="22" w:name="bookmark11"/>
      <w:bookmarkStart w:id="23" w:name="_Toc533211731"/>
      <w:r w:rsidRPr="00684929">
        <w:rPr>
          <w:color w:val="0070C0"/>
          <w:sz w:val="32"/>
          <w:szCs w:val="32"/>
        </w:rPr>
        <w:t xml:space="preserve">2.1. </w:t>
      </w:r>
      <w:r w:rsidR="00CB76CB" w:rsidRPr="00684929">
        <w:rPr>
          <w:color w:val="0070C0"/>
          <w:sz w:val="32"/>
          <w:szCs w:val="32"/>
        </w:rPr>
        <w:t>Trends in the gender composition of occupations</w:t>
      </w:r>
      <w:bookmarkEnd w:id="22"/>
      <w:bookmarkEnd w:id="23"/>
    </w:p>
    <w:p w14:paraId="2637A88D" w14:textId="728BB7B3" w:rsidR="00CB76CB" w:rsidRPr="004A792A" w:rsidRDefault="00CB76CB" w:rsidP="00CB76CB">
      <w:pPr>
        <w:pStyle w:val="61"/>
        <w:shd w:val="clear" w:color="auto" w:fill="auto"/>
        <w:spacing w:before="120" w:line="240" w:lineRule="auto"/>
        <w:jc w:val="both"/>
        <w:rPr>
          <w:color w:val="000000"/>
          <w:sz w:val="22"/>
          <w:szCs w:val="22"/>
        </w:rPr>
      </w:pPr>
      <w:r w:rsidRPr="00634882">
        <w:rPr>
          <w:b/>
          <w:color w:val="000000"/>
          <w:sz w:val="22"/>
          <w:szCs w:val="22"/>
        </w:rPr>
        <w:t xml:space="preserve">Comparison of female shares in </w:t>
      </w:r>
      <w:r w:rsidR="00634882" w:rsidRPr="00634882">
        <w:rPr>
          <w:b/>
          <w:color w:val="000000"/>
          <w:sz w:val="22"/>
          <w:szCs w:val="22"/>
        </w:rPr>
        <w:t xml:space="preserve">3-digit occupations </w:t>
      </w:r>
      <w:r w:rsidRPr="00634882">
        <w:rPr>
          <w:b/>
          <w:color w:val="000000"/>
          <w:sz w:val="22"/>
          <w:szCs w:val="22"/>
        </w:rPr>
        <w:t xml:space="preserve">suggests that there has been remarkably </w:t>
      </w:r>
      <w:r w:rsidR="0041706A" w:rsidRPr="00634882">
        <w:rPr>
          <w:b/>
          <w:color w:val="000000"/>
          <w:sz w:val="22"/>
          <w:szCs w:val="22"/>
        </w:rPr>
        <w:t xml:space="preserve">little </w:t>
      </w:r>
      <w:r w:rsidRPr="00634882">
        <w:rPr>
          <w:b/>
          <w:color w:val="000000"/>
          <w:sz w:val="22"/>
          <w:szCs w:val="22"/>
        </w:rPr>
        <w:t xml:space="preserve">change in the gender composition of the most common occupations for women and men during the </w:t>
      </w:r>
      <w:r w:rsidR="00007E98" w:rsidRPr="00634882">
        <w:rPr>
          <w:b/>
          <w:color w:val="000000"/>
          <w:sz w:val="22"/>
          <w:szCs w:val="22"/>
        </w:rPr>
        <w:t xml:space="preserve">last </w:t>
      </w:r>
      <w:r w:rsidRPr="00634882">
        <w:rPr>
          <w:b/>
          <w:color w:val="000000"/>
          <w:sz w:val="22"/>
          <w:szCs w:val="22"/>
        </w:rPr>
        <w:t>decade</w:t>
      </w:r>
      <w:r w:rsidR="00634882">
        <w:rPr>
          <w:color w:val="000000"/>
          <w:sz w:val="22"/>
          <w:szCs w:val="22"/>
        </w:rPr>
        <w:t xml:space="preserve"> (</w:t>
      </w:r>
      <w:r w:rsidR="00634882" w:rsidRPr="004A792A">
        <w:rPr>
          <w:color w:val="000000"/>
          <w:highlight w:val="yellow"/>
        </w:rPr>
        <w:fldChar w:fldCharType="begin"/>
      </w:r>
      <w:r w:rsidR="00634882" w:rsidRPr="004A792A">
        <w:rPr>
          <w:color w:val="000000"/>
          <w:sz w:val="22"/>
          <w:szCs w:val="22"/>
          <w:highlight w:val="yellow"/>
        </w:rPr>
        <w:instrText xml:space="preserve"> REF _Ref519151608 \h  \* MERGEFORMAT </w:instrText>
      </w:r>
      <w:r w:rsidR="00634882" w:rsidRPr="004A792A">
        <w:rPr>
          <w:color w:val="000000"/>
          <w:highlight w:val="yellow"/>
        </w:rPr>
      </w:r>
      <w:r w:rsidR="00634882" w:rsidRPr="004A792A">
        <w:rPr>
          <w:color w:val="000000"/>
          <w:highlight w:val="yellow"/>
        </w:rPr>
        <w:fldChar w:fldCharType="separate"/>
      </w:r>
      <w:r w:rsidR="00634882" w:rsidRPr="00206AA9">
        <w:rPr>
          <w:sz w:val="22"/>
          <w:szCs w:val="22"/>
        </w:rPr>
        <w:t xml:space="preserve">Table </w:t>
      </w:r>
      <w:r w:rsidR="00634882" w:rsidRPr="00206AA9">
        <w:rPr>
          <w:noProof/>
          <w:sz w:val="22"/>
          <w:szCs w:val="22"/>
        </w:rPr>
        <w:t>1</w:t>
      </w:r>
      <w:r w:rsidR="00634882" w:rsidRPr="004A792A">
        <w:rPr>
          <w:color w:val="000000"/>
          <w:highlight w:val="yellow"/>
        </w:rPr>
        <w:fldChar w:fldCharType="end"/>
      </w:r>
      <w:r w:rsidR="00634882">
        <w:rPr>
          <w:color w:val="000000"/>
          <w:sz w:val="22"/>
          <w:szCs w:val="22"/>
        </w:rPr>
        <w:t>)</w:t>
      </w:r>
      <w:r w:rsidR="00634882" w:rsidRPr="00066C30">
        <w:rPr>
          <w:color w:val="000000"/>
          <w:sz w:val="22"/>
          <w:szCs w:val="22"/>
        </w:rPr>
        <w:t>.</w:t>
      </w:r>
      <w:r w:rsidR="00634882">
        <w:rPr>
          <w:color w:val="000000"/>
          <w:sz w:val="22"/>
          <w:szCs w:val="22"/>
        </w:rPr>
        <w:t xml:space="preserve"> </w:t>
      </w:r>
      <w:r w:rsidRPr="004A792A">
        <w:rPr>
          <w:color w:val="000000"/>
          <w:sz w:val="22"/>
          <w:szCs w:val="22"/>
        </w:rPr>
        <w:t>Women traditionally prevail in childcare and primary education (Child care workers and teachers' aides, Primary school and early childhood teachers), Libraries, archives, museums and other cultural activities (Librarians, archivists and curators), mid-level health care and social work (Personal care workers in health services, Nursing and midwifery associate professionals), clerical work (Secretaries, Other clerical support workers), cleaning and food preparation (Domestic, hotel and office cleaners and helpers</w:t>
      </w:r>
      <w:r w:rsidR="000142FF">
        <w:rPr>
          <w:color w:val="000000"/>
          <w:sz w:val="22"/>
          <w:szCs w:val="22"/>
        </w:rPr>
        <w:t xml:space="preserve">, Food preparation assistants). </w:t>
      </w:r>
      <w:r w:rsidR="004E7C62" w:rsidRPr="00C42258">
        <w:rPr>
          <w:color w:val="000000"/>
          <w:sz w:val="22"/>
          <w:szCs w:val="22"/>
        </w:rPr>
        <w:t xml:space="preserve">It is important </w:t>
      </w:r>
      <w:r w:rsidR="001B39CF" w:rsidRPr="00C42258">
        <w:rPr>
          <w:color w:val="000000"/>
          <w:sz w:val="22"/>
          <w:szCs w:val="22"/>
        </w:rPr>
        <w:t xml:space="preserve">to note </w:t>
      </w:r>
      <w:r w:rsidR="004E7C62" w:rsidRPr="00C42258">
        <w:rPr>
          <w:color w:val="000000"/>
          <w:sz w:val="22"/>
          <w:szCs w:val="22"/>
        </w:rPr>
        <w:t>that almost all pre-primary and primary school teachers in Moldova</w:t>
      </w:r>
      <w:r w:rsidR="0041706A">
        <w:rPr>
          <w:color w:val="000000"/>
          <w:sz w:val="22"/>
          <w:szCs w:val="22"/>
        </w:rPr>
        <w:t xml:space="preserve"> </w:t>
      </w:r>
      <w:r w:rsidR="0041706A" w:rsidRPr="00C42258">
        <w:rPr>
          <w:color w:val="000000"/>
          <w:sz w:val="22"/>
          <w:szCs w:val="22"/>
        </w:rPr>
        <w:t>are women</w:t>
      </w:r>
      <w:r w:rsidR="004E7C62" w:rsidRPr="00C42258">
        <w:rPr>
          <w:color w:val="000000"/>
          <w:sz w:val="22"/>
          <w:szCs w:val="22"/>
        </w:rPr>
        <w:t>.</w:t>
      </w:r>
      <w:r w:rsidR="004E7C62" w:rsidRPr="00C42258">
        <w:rPr>
          <w:rStyle w:val="af9"/>
          <w:color w:val="000000"/>
          <w:sz w:val="22"/>
          <w:szCs w:val="22"/>
        </w:rPr>
        <w:footnoteReference w:id="4"/>
      </w:r>
      <w:r w:rsidR="004E7C62" w:rsidRPr="00C42258">
        <w:rPr>
          <w:color w:val="000000"/>
          <w:sz w:val="22"/>
          <w:szCs w:val="22"/>
        </w:rPr>
        <w:t xml:space="preserve"> </w:t>
      </w:r>
      <w:r w:rsidR="001B39CF" w:rsidRPr="00C42258">
        <w:rPr>
          <w:color w:val="000000"/>
          <w:sz w:val="22"/>
          <w:szCs w:val="22"/>
        </w:rPr>
        <w:t xml:space="preserve">The prevalence of female teachers at </w:t>
      </w:r>
      <w:r w:rsidR="00850240" w:rsidRPr="00C42258">
        <w:rPr>
          <w:color w:val="000000"/>
          <w:sz w:val="22"/>
          <w:szCs w:val="22"/>
        </w:rPr>
        <w:t xml:space="preserve">the </w:t>
      </w:r>
      <w:r w:rsidR="001B39CF" w:rsidRPr="00C42258">
        <w:rPr>
          <w:color w:val="000000"/>
          <w:sz w:val="22"/>
          <w:szCs w:val="22"/>
        </w:rPr>
        <w:t xml:space="preserve">early stages of education can </w:t>
      </w:r>
      <w:r w:rsidR="001B39CF" w:rsidRPr="00C42258">
        <w:rPr>
          <w:sz w:val="22"/>
          <w:szCs w:val="22"/>
        </w:rPr>
        <w:t xml:space="preserve">reinforce gender stereotypes </w:t>
      </w:r>
      <w:r w:rsidR="00140F6B" w:rsidRPr="00C42258">
        <w:rPr>
          <w:sz w:val="22"/>
          <w:szCs w:val="22"/>
        </w:rPr>
        <w:t>(</w:t>
      </w:r>
      <w:proofErr w:type="spellStart"/>
      <w:r w:rsidR="00140F6B" w:rsidRPr="00C42258">
        <w:rPr>
          <w:sz w:val="22"/>
          <w:szCs w:val="22"/>
        </w:rPr>
        <w:t>Osaďan</w:t>
      </w:r>
      <w:proofErr w:type="spellEnd"/>
      <w:r w:rsidR="00140F6B" w:rsidRPr="00C42258">
        <w:rPr>
          <w:sz w:val="22"/>
          <w:szCs w:val="22"/>
        </w:rPr>
        <w:t xml:space="preserve">, 2012) </w:t>
      </w:r>
      <w:r w:rsidR="001B39CF" w:rsidRPr="00C42258">
        <w:rPr>
          <w:sz w:val="22"/>
          <w:szCs w:val="22"/>
        </w:rPr>
        <w:t xml:space="preserve">and </w:t>
      </w:r>
      <w:r w:rsidR="00850240" w:rsidRPr="00C42258">
        <w:rPr>
          <w:sz w:val="22"/>
          <w:szCs w:val="22"/>
        </w:rPr>
        <w:t xml:space="preserve">contribute to the choice of teaching profession </w:t>
      </w:r>
      <w:r w:rsidR="0041706A">
        <w:rPr>
          <w:sz w:val="22"/>
          <w:szCs w:val="22"/>
        </w:rPr>
        <w:t>only</w:t>
      </w:r>
      <w:r w:rsidR="00850240" w:rsidRPr="00C42258">
        <w:rPr>
          <w:sz w:val="22"/>
          <w:szCs w:val="22"/>
        </w:rPr>
        <w:t xml:space="preserve"> by girls</w:t>
      </w:r>
      <w:r w:rsidR="004E7C62" w:rsidRPr="00C42258">
        <w:rPr>
          <w:sz w:val="22"/>
          <w:szCs w:val="22"/>
        </w:rPr>
        <w:t>.</w:t>
      </w:r>
      <w:r w:rsidR="00634882">
        <w:rPr>
          <w:sz w:val="22"/>
          <w:szCs w:val="22"/>
        </w:rPr>
        <w:t xml:space="preserve"> </w:t>
      </w:r>
      <w:r w:rsidRPr="004A792A">
        <w:rPr>
          <w:color w:val="000000"/>
          <w:sz w:val="22"/>
          <w:szCs w:val="22"/>
        </w:rPr>
        <w:t>The female share among Legal, social and religious associate professionals has increased significantly between 2006 and 2016</w:t>
      </w:r>
      <w:r w:rsidR="0041706A">
        <w:rPr>
          <w:color w:val="000000"/>
          <w:sz w:val="22"/>
          <w:szCs w:val="22"/>
        </w:rPr>
        <w:t>,</w:t>
      </w:r>
      <w:r w:rsidRPr="004A792A">
        <w:rPr>
          <w:color w:val="000000"/>
          <w:sz w:val="22"/>
          <w:szCs w:val="22"/>
        </w:rPr>
        <w:t xml:space="preserve"> but </w:t>
      </w:r>
      <w:r w:rsidR="0041706A">
        <w:rPr>
          <w:color w:val="000000"/>
          <w:sz w:val="22"/>
          <w:szCs w:val="22"/>
        </w:rPr>
        <w:t>this</w:t>
      </w:r>
      <w:r w:rsidR="0041706A" w:rsidRPr="004A792A">
        <w:rPr>
          <w:color w:val="000000"/>
          <w:sz w:val="22"/>
          <w:szCs w:val="22"/>
        </w:rPr>
        <w:t xml:space="preserve"> </w:t>
      </w:r>
      <w:r w:rsidRPr="004A792A">
        <w:rPr>
          <w:color w:val="000000"/>
          <w:sz w:val="22"/>
          <w:szCs w:val="22"/>
        </w:rPr>
        <w:t xml:space="preserve">can be attributed not only to an increase in the share of women with a college degree in social sciences and law but also due to reclassification </w:t>
      </w:r>
      <w:r w:rsidR="0041706A">
        <w:rPr>
          <w:color w:val="000000"/>
          <w:sz w:val="22"/>
          <w:szCs w:val="22"/>
        </w:rPr>
        <w:t>error</w:t>
      </w:r>
      <w:r w:rsidR="0041706A" w:rsidRPr="004A792A">
        <w:rPr>
          <w:color w:val="000000"/>
          <w:sz w:val="22"/>
          <w:szCs w:val="22"/>
        </w:rPr>
        <w:t xml:space="preserve"> </w:t>
      </w:r>
      <w:r w:rsidRPr="004A792A">
        <w:rPr>
          <w:color w:val="000000"/>
          <w:sz w:val="22"/>
          <w:szCs w:val="22"/>
        </w:rPr>
        <w:t>from ISCO-88 in 2013 to ISCO-0</w:t>
      </w:r>
      <w:r w:rsidRPr="004A792A">
        <w:rPr>
          <w:sz w:val="22"/>
          <w:szCs w:val="22"/>
        </w:rPr>
        <w:t>8</w:t>
      </w:r>
      <w:r w:rsidRPr="004A792A">
        <w:rPr>
          <w:color w:val="000000"/>
          <w:sz w:val="22"/>
          <w:szCs w:val="22"/>
        </w:rPr>
        <w:t xml:space="preserve"> in 2014.</w:t>
      </w:r>
    </w:p>
    <w:p w14:paraId="4049FCC5" w14:textId="1C8CDB84" w:rsidR="00CB76CB" w:rsidRPr="00305139" w:rsidRDefault="00CB76CB" w:rsidP="00CB76CB">
      <w:pPr>
        <w:pStyle w:val="61"/>
        <w:shd w:val="clear" w:color="auto" w:fill="auto"/>
        <w:spacing w:before="120" w:line="240" w:lineRule="auto"/>
        <w:jc w:val="both"/>
        <w:rPr>
          <w:color w:val="000000"/>
          <w:sz w:val="22"/>
          <w:szCs w:val="22"/>
        </w:rPr>
      </w:pPr>
      <w:r w:rsidRPr="00C83333">
        <w:rPr>
          <w:b/>
          <w:color w:val="000000"/>
          <w:sz w:val="22"/>
          <w:szCs w:val="22"/>
        </w:rPr>
        <w:t>On the other hand, few women are employed in traditionally male occupations in manufacturing, construction, transport and protective services</w:t>
      </w:r>
      <w:r w:rsidR="0041706A">
        <w:rPr>
          <w:color w:val="000000"/>
          <w:sz w:val="22"/>
          <w:szCs w:val="22"/>
        </w:rPr>
        <w:t>,</w:t>
      </w:r>
      <w:r w:rsidRPr="004A792A">
        <w:rPr>
          <w:color w:val="000000"/>
          <w:sz w:val="22"/>
          <w:szCs w:val="22"/>
        </w:rPr>
        <w:t xml:space="preserve"> such as Metal, machinery and related trades workers, building frame and related trades workers, Wood </w:t>
      </w:r>
      <w:proofErr w:type="spellStart"/>
      <w:r w:rsidRPr="004A792A">
        <w:rPr>
          <w:color w:val="000000"/>
          <w:sz w:val="22"/>
          <w:szCs w:val="22"/>
        </w:rPr>
        <w:t>treaters</w:t>
      </w:r>
      <w:proofErr w:type="spellEnd"/>
      <w:r w:rsidRPr="004A792A">
        <w:rPr>
          <w:color w:val="000000"/>
          <w:sz w:val="22"/>
          <w:szCs w:val="22"/>
        </w:rPr>
        <w:t>, cabinet-makers and related trades workers, Drivers and Mobile plant operators, Transport and storage laborers, Protective services workers and Armed forces occupations (</w:t>
      </w:r>
      <w:r w:rsidR="00E4386C" w:rsidRPr="004A792A">
        <w:rPr>
          <w:color w:val="000000"/>
          <w:sz w:val="22"/>
          <w:szCs w:val="22"/>
        </w:rPr>
        <w:fldChar w:fldCharType="begin"/>
      </w:r>
      <w:r w:rsidR="00E4386C" w:rsidRPr="004A792A">
        <w:rPr>
          <w:color w:val="000000"/>
          <w:sz w:val="22"/>
          <w:szCs w:val="22"/>
        </w:rPr>
        <w:instrText xml:space="preserve"> REF _Ref519151608 \h  \* MERGEFORMAT </w:instrText>
      </w:r>
      <w:r w:rsidR="00E4386C" w:rsidRPr="004A792A">
        <w:rPr>
          <w:color w:val="000000"/>
          <w:sz w:val="22"/>
          <w:szCs w:val="22"/>
        </w:rPr>
      </w:r>
      <w:r w:rsidR="00E4386C" w:rsidRPr="004A792A">
        <w:rPr>
          <w:color w:val="000000"/>
          <w:sz w:val="22"/>
          <w:szCs w:val="22"/>
        </w:rPr>
        <w:fldChar w:fldCharType="separate"/>
      </w:r>
      <w:r w:rsidR="00206AA9" w:rsidRPr="00206AA9">
        <w:rPr>
          <w:sz w:val="22"/>
          <w:szCs w:val="22"/>
        </w:rPr>
        <w:t xml:space="preserve">Table </w:t>
      </w:r>
      <w:r w:rsidR="00206AA9" w:rsidRPr="00206AA9">
        <w:rPr>
          <w:noProof/>
          <w:sz w:val="22"/>
          <w:szCs w:val="22"/>
        </w:rPr>
        <w:t>1</w:t>
      </w:r>
      <w:r w:rsidR="00E4386C" w:rsidRPr="004A792A">
        <w:rPr>
          <w:color w:val="000000"/>
          <w:sz w:val="22"/>
          <w:szCs w:val="22"/>
        </w:rPr>
        <w:fldChar w:fldCharType="end"/>
      </w:r>
      <w:r w:rsidRPr="004A792A">
        <w:rPr>
          <w:color w:val="000000"/>
          <w:sz w:val="22"/>
          <w:szCs w:val="22"/>
        </w:rPr>
        <w:t>).</w:t>
      </w:r>
      <w:r w:rsidR="005F763E">
        <w:rPr>
          <w:color w:val="000000"/>
          <w:sz w:val="22"/>
          <w:szCs w:val="22"/>
        </w:rPr>
        <w:t xml:space="preserve"> </w:t>
      </w:r>
      <w:r w:rsidR="00634882" w:rsidRPr="00C83333">
        <w:rPr>
          <w:color w:val="000000"/>
          <w:sz w:val="22"/>
          <w:szCs w:val="22"/>
        </w:rPr>
        <w:t xml:space="preserve">A very small share of women in these and many other occupations can be partly attributed to </w:t>
      </w:r>
      <w:r w:rsidR="00634882" w:rsidRPr="00C83333">
        <w:rPr>
          <w:sz w:val="22"/>
          <w:szCs w:val="22"/>
        </w:rPr>
        <w:t>legal restrictions on women’s employment in</w:t>
      </w:r>
      <w:r w:rsidR="00C83333">
        <w:rPr>
          <w:sz w:val="22"/>
          <w:szCs w:val="22"/>
        </w:rPr>
        <w:t xml:space="preserve"> a long list of jobs in</w:t>
      </w:r>
      <w:r w:rsidR="00634882" w:rsidRPr="00C83333">
        <w:rPr>
          <w:sz w:val="22"/>
          <w:szCs w:val="22"/>
        </w:rPr>
        <w:t xml:space="preserve"> mining, metal processing, </w:t>
      </w:r>
      <w:proofErr w:type="spellStart"/>
      <w:r w:rsidR="00634882" w:rsidRPr="00C83333">
        <w:rPr>
          <w:sz w:val="22"/>
          <w:szCs w:val="22"/>
        </w:rPr>
        <w:t>electrotechnical</w:t>
      </w:r>
      <w:proofErr w:type="spellEnd"/>
      <w:r w:rsidR="00634882" w:rsidRPr="00C83333">
        <w:rPr>
          <w:sz w:val="22"/>
          <w:szCs w:val="22"/>
        </w:rPr>
        <w:t>, chemical and some other industries in manufacturing, construction, and transport as specified in the Moldova Government’s Decision No. 264 of 6 October 1993</w:t>
      </w:r>
      <w:r w:rsidR="005F763E" w:rsidRPr="00C83333">
        <w:rPr>
          <w:sz w:val="22"/>
          <w:szCs w:val="22"/>
        </w:rPr>
        <w:t>.</w:t>
      </w:r>
      <w:r w:rsidR="00305139" w:rsidRPr="00C83333">
        <w:rPr>
          <w:rStyle w:val="af9"/>
          <w:sz w:val="22"/>
          <w:szCs w:val="22"/>
        </w:rPr>
        <w:footnoteReference w:id="5"/>
      </w:r>
    </w:p>
    <w:p w14:paraId="7172D958" w14:textId="3D8EBC02" w:rsidR="00E13694" w:rsidRPr="004A792A" w:rsidRDefault="00CB76CB" w:rsidP="00850240">
      <w:pPr>
        <w:pStyle w:val="61"/>
        <w:shd w:val="clear" w:color="auto" w:fill="auto"/>
        <w:spacing w:before="120" w:line="240" w:lineRule="auto"/>
        <w:jc w:val="both"/>
        <w:rPr>
          <w:b/>
          <w:iCs/>
        </w:rPr>
      </w:pPr>
      <w:r w:rsidRPr="00C83333">
        <w:rPr>
          <w:b/>
          <w:color w:val="000000"/>
          <w:sz w:val="22"/>
          <w:szCs w:val="22"/>
        </w:rPr>
        <w:t>Employment in Science, Technology, Engineering</w:t>
      </w:r>
      <w:r w:rsidR="0041706A" w:rsidRPr="00C83333">
        <w:rPr>
          <w:b/>
          <w:color w:val="000000"/>
          <w:sz w:val="22"/>
          <w:szCs w:val="22"/>
        </w:rPr>
        <w:t>,</w:t>
      </w:r>
      <w:r w:rsidRPr="00C83333">
        <w:rPr>
          <w:b/>
          <w:color w:val="000000"/>
          <w:sz w:val="22"/>
          <w:szCs w:val="22"/>
        </w:rPr>
        <w:t xml:space="preserve"> and Mathematics (STEM) occupations is also male- dominated</w:t>
      </w:r>
      <w:r w:rsidRPr="004A792A">
        <w:rPr>
          <w:color w:val="000000"/>
          <w:sz w:val="22"/>
          <w:szCs w:val="22"/>
        </w:rPr>
        <w:t xml:space="preserve">, and no significant improvement has occurred since 2006 </w:t>
      </w:r>
      <w:r w:rsidR="006D2CC9">
        <w:rPr>
          <w:color w:val="000000"/>
          <w:sz w:val="22"/>
          <w:szCs w:val="22"/>
        </w:rPr>
        <w:t xml:space="preserve">in </w:t>
      </w:r>
      <w:r w:rsidR="00031299">
        <w:rPr>
          <w:color w:val="000000"/>
          <w:sz w:val="22"/>
          <w:szCs w:val="22"/>
        </w:rPr>
        <w:t xml:space="preserve">any </w:t>
      </w:r>
      <w:r w:rsidR="006D2CC9">
        <w:rPr>
          <w:color w:val="000000"/>
          <w:sz w:val="22"/>
          <w:szCs w:val="22"/>
        </w:rPr>
        <w:t>2-digit STEM occupation except for the group 31 “</w:t>
      </w:r>
      <w:r w:rsidR="006D2CC9" w:rsidRPr="006D2CC9">
        <w:rPr>
          <w:color w:val="000000"/>
          <w:sz w:val="22"/>
          <w:szCs w:val="22"/>
        </w:rPr>
        <w:t>Science and engineering associate professionals</w:t>
      </w:r>
      <w:r w:rsidR="006D2CC9">
        <w:rPr>
          <w:color w:val="000000"/>
          <w:sz w:val="22"/>
          <w:szCs w:val="22"/>
        </w:rPr>
        <w:t>”</w:t>
      </w:r>
      <w:r w:rsidR="00C42258">
        <w:rPr>
          <w:color w:val="000000"/>
          <w:sz w:val="22"/>
          <w:szCs w:val="22"/>
        </w:rPr>
        <w:t xml:space="preserve"> (</w:t>
      </w:r>
      <w:r w:rsidR="00C42258" w:rsidRPr="00C42258">
        <w:rPr>
          <w:color w:val="000000"/>
          <w:sz w:val="22"/>
          <w:szCs w:val="22"/>
        </w:rPr>
        <w:fldChar w:fldCharType="begin"/>
      </w:r>
      <w:r w:rsidR="00C42258" w:rsidRPr="00C42258">
        <w:rPr>
          <w:color w:val="000000"/>
          <w:sz w:val="22"/>
          <w:szCs w:val="22"/>
        </w:rPr>
        <w:instrText xml:space="preserve"> REF _Ref525117835 \h </w:instrText>
      </w:r>
      <w:r w:rsidR="00C42258">
        <w:rPr>
          <w:color w:val="000000"/>
          <w:sz w:val="22"/>
          <w:szCs w:val="22"/>
        </w:rPr>
        <w:instrText xml:space="preserve"> \* MERGEFORMAT </w:instrText>
      </w:r>
      <w:r w:rsidR="00C42258" w:rsidRPr="00C42258">
        <w:rPr>
          <w:color w:val="000000"/>
          <w:sz w:val="22"/>
          <w:szCs w:val="22"/>
        </w:rPr>
      </w:r>
      <w:r w:rsidR="00C42258" w:rsidRPr="00C42258">
        <w:rPr>
          <w:color w:val="000000"/>
          <w:sz w:val="22"/>
          <w:szCs w:val="22"/>
        </w:rPr>
        <w:fldChar w:fldCharType="separate"/>
      </w:r>
      <w:r w:rsidR="00C00C0D" w:rsidRPr="00135129">
        <w:rPr>
          <w:sz w:val="22"/>
          <w:szCs w:val="22"/>
        </w:rPr>
        <w:t xml:space="preserve">Figure </w:t>
      </w:r>
      <w:r w:rsidR="00C00C0D" w:rsidRPr="00135129">
        <w:rPr>
          <w:noProof/>
          <w:sz w:val="22"/>
          <w:szCs w:val="22"/>
        </w:rPr>
        <w:t>5</w:t>
      </w:r>
      <w:r w:rsidR="00C42258" w:rsidRPr="00C42258">
        <w:rPr>
          <w:color w:val="000000"/>
          <w:sz w:val="22"/>
          <w:szCs w:val="22"/>
        </w:rPr>
        <w:fldChar w:fldCharType="end"/>
      </w:r>
      <w:r w:rsidR="00C42258">
        <w:rPr>
          <w:color w:val="000000"/>
          <w:sz w:val="22"/>
          <w:szCs w:val="22"/>
        </w:rPr>
        <w:t>)</w:t>
      </w:r>
      <w:r w:rsidRPr="004A792A">
        <w:rPr>
          <w:color w:val="000000"/>
          <w:sz w:val="22"/>
          <w:szCs w:val="22"/>
        </w:rPr>
        <w:t>. Women accounted for just 1</w:t>
      </w:r>
      <w:r w:rsidR="006D2CC9">
        <w:rPr>
          <w:color w:val="000000"/>
          <w:sz w:val="22"/>
          <w:szCs w:val="22"/>
        </w:rPr>
        <w:t>4</w:t>
      </w:r>
      <w:r w:rsidRPr="004A792A">
        <w:rPr>
          <w:color w:val="000000"/>
          <w:sz w:val="22"/>
          <w:szCs w:val="22"/>
        </w:rPr>
        <w:t>.</w:t>
      </w:r>
      <w:r w:rsidR="006D2CC9">
        <w:rPr>
          <w:color w:val="000000"/>
          <w:sz w:val="22"/>
          <w:szCs w:val="22"/>
        </w:rPr>
        <w:t>6</w:t>
      </w:r>
      <w:r w:rsidRPr="004A792A">
        <w:rPr>
          <w:color w:val="000000"/>
          <w:sz w:val="22"/>
          <w:szCs w:val="22"/>
        </w:rPr>
        <w:t xml:space="preserve"> percent of Information and communications technology (ICT) professionals and for 3</w:t>
      </w:r>
      <w:r w:rsidR="006D2CC9">
        <w:rPr>
          <w:color w:val="000000"/>
          <w:sz w:val="22"/>
          <w:szCs w:val="22"/>
        </w:rPr>
        <w:t>5</w:t>
      </w:r>
      <w:r w:rsidRPr="004A792A">
        <w:rPr>
          <w:color w:val="000000"/>
          <w:sz w:val="22"/>
          <w:szCs w:val="22"/>
        </w:rPr>
        <w:t>.</w:t>
      </w:r>
      <w:r w:rsidR="006D2CC9">
        <w:rPr>
          <w:color w:val="000000"/>
          <w:sz w:val="22"/>
          <w:szCs w:val="22"/>
        </w:rPr>
        <w:t>6</w:t>
      </w:r>
      <w:r w:rsidRPr="004A792A">
        <w:rPr>
          <w:color w:val="000000"/>
          <w:sz w:val="22"/>
          <w:szCs w:val="22"/>
        </w:rPr>
        <w:t xml:space="preserve"> percent of Science and engineering professionals in 201</w:t>
      </w:r>
      <w:r w:rsidR="006D2CC9">
        <w:rPr>
          <w:color w:val="000000"/>
          <w:sz w:val="22"/>
          <w:szCs w:val="22"/>
        </w:rPr>
        <w:t>6</w:t>
      </w:r>
      <w:r w:rsidRPr="004A792A">
        <w:rPr>
          <w:color w:val="000000"/>
          <w:sz w:val="22"/>
          <w:szCs w:val="22"/>
        </w:rPr>
        <w:t>.</w:t>
      </w:r>
      <w:r w:rsidR="00754216">
        <w:rPr>
          <w:color w:val="000000"/>
          <w:sz w:val="22"/>
          <w:szCs w:val="22"/>
        </w:rPr>
        <w:t xml:space="preserve"> </w:t>
      </w:r>
      <w:r w:rsidR="00754216" w:rsidRPr="00C42258">
        <w:rPr>
          <w:color w:val="000000"/>
          <w:sz w:val="22"/>
          <w:szCs w:val="22"/>
        </w:rPr>
        <w:t>Comparison of available statistics in Moldova, Ukraine</w:t>
      </w:r>
      <w:r w:rsidR="00031299">
        <w:rPr>
          <w:color w:val="000000"/>
          <w:sz w:val="22"/>
          <w:szCs w:val="22"/>
        </w:rPr>
        <w:t>,</w:t>
      </w:r>
      <w:r w:rsidR="00754216" w:rsidRPr="00C42258">
        <w:rPr>
          <w:color w:val="000000"/>
          <w:sz w:val="22"/>
          <w:szCs w:val="22"/>
        </w:rPr>
        <w:t xml:space="preserve"> and EU countries (</w:t>
      </w:r>
      <w:r w:rsidR="005B54BE" w:rsidRPr="004D7AFF">
        <w:rPr>
          <w:color w:val="000000"/>
          <w:sz w:val="22"/>
          <w:szCs w:val="22"/>
        </w:rPr>
        <w:fldChar w:fldCharType="begin"/>
      </w:r>
      <w:r w:rsidR="005B54BE" w:rsidRPr="005B54BE">
        <w:rPr>
          <w:color w:val="000000"/>
          <w:sz w:val="22"/>
          <w:szCs w:val="22"/>
        </w:rPr>
        <w:instrText xml:space="preserve"> REF _Ref533171613 \h </w:instrText>
      </w:r>
      <w:r w:rsidR="005B54BE">
        <w:rPr>
          <w:color w:val="000000"/>
          <w:sz w:val="22"/>
          <w:szCs w:val="22"/>
        </w:rPr>
        <w:instrText xml:space="preserve"> \* MERGEFORMAT </w:instrText>
      </w:r>
      <w:r w:rsidR="005B54BE" w:rsidRPr="004D7AFF">
        <w:rPr>
          <w:color w:val="000000"/>
          <w:sz w:val="22"/>
          <w:szCs w:val="22"/>
        </w:rPr>
      </w:r>
      <w:r w:rsidR="005B54BE" w:rsidRPr="004D7AFF">
        <w:rPr>
          <w:color w:val="000000"/>
          <w:sz w:val="22"/>
          <w:szCs w:val="22"/>
        </w:rPr>
        <w:fldChar w:fldCharType="separate"/>
      </w:r>
      <w:r w:rsidR="005B54BE" w:rsidRPr="00135129">
        <w:rPr>
          <w:sz w:val="22"/>
          <w:szCs w:val="22"/>
        </w:rPr>
        <w:t>Table A-</w:t>
      </w:r>
      <w:r w:rsidR="005B54BE" w:rsidRPr="00135129">
        <w:rPr>
          <w:noProof/>
          <w:sz w:val="22"/>
          <w:szCs w:val="22"/>
        </w:rPr>
        <w:t>1</w:t>
      </w:r>
      <w:r w:rsidR="005B54BE" w:rsidRPr="004D7AFF">
        <w:rPr>
          <w:color w:val="000000"/>
          <w:sz w:val="22"/>
          <w:szCs w:val="22"/>
        </w:rPr>
        <w:fldChar w:fldCharType="end"/>
      </w:r>
      <w:r w:rsidR="00754216" w:rsidRPr="00C42258">
        <w:rPr>
          <w:color w:val="000000"/>
          <w:sz w:val="22"/>
          <w:szCs w:val="22"/>
        </w:rPr>
        <w:t xml:space="preserve">) shows that female shares in STEM occupations were quite similar in Moldova and Ukraine, and </w:t>
      </w:r>
      <w:r w:rsidR="00031299">
        <w:rPr>
          <w:color w:val="000000"/>
          <w:sz w:val="22"/>
          <w:szCs w:val="22"/>
        </w:rPr>
        <w:t>both</w:t>
      </w:r>
      <w:r w:rsidR="00031299" w:rsidRPr="00C42258">
        <w:rPr>
          <w:color w:val="000000"/>
          <w:sz w:val="22"/>
          <w:szCs w:val="22"/>
        </w:rPr>
        <w:t xml:space="preserve"> </w:t>
      </w:r>
      <w:r w:rsidR="00754216" w:rsidRPr="00C42258">
        <w:rPr>
          <w:color w:val="000000"/>
          <w:sz w:val="22"/>
          <w:szCs w:val="22"/>
        </w:rPr>
        <w:t xml:space="preserve">were substantially higher than the </w:t>
      </w:r>
      <w:r w:rsidR="005B54BE" w:rsidRPr="00C42258">
        <w:rPr>
          <w:color w:val="000000"/>
          <w:sz w:val="22"/>
          <w:szCs w:val="22"/>
        </w:rPr>
        <w:t>average in EU-26</w:t>
      </w:r>
      <w:r w:rsidR="005B54BE">
        <w:rPr>
          <w:color w:val="000000"/>
          <w:sz w:val="22"/>
          <w:szCs w:val="22"/>
        </w:rPr>
        <w:t xml:space="preserve"> </w:t>
      </w:r>
      <w:r w:rsidR="005B54BE" w:rsidRPr="0067696A">
        <w:rPr>
          <w:color w:val="000000"/>
          <w:sz w:val="22"/>
          <w:szCs w:val="22"/>
        </w:rPr>
        <w:t>(excluding Malta and Croatia)</w:t>
      </w:r>
      <w:r w:rsidR="005B54BE" w:rsidRPr="00C42258">
        <w:rPr>
          <w:color w:val="000000"/>
          <w:sz w:val="22"/>
          <w:szCs w:val="22"/>
        </w:rPr>
        <w:t>.</w:t>
      </w:r>
    </w:p>
    <w:p w14:paraId="5E09059E" w14:textId="77777777" w:rsidR="0088309F" w:rsidRPr="004A792A" w:rsidRDefault="0088309F" w:rsidP="00D44BBB">
      <w:pPr>
        <w:pStyle w:val="ad"/>
        <w:jc w:val="both"/>
        <w:rPr>
          <w:lang w:val="en-US"/>
        </w:rPr>
        <w:sectPr w:rsidR="0088309F" w:rsidRPr="004A792A" w:rsidSect="00725886">
          <w:footerReference w:type="default" r:id="rId19"/>
          <w:pgSz w:w="11909" w:h="16834" w:code="9"/>
          <w:pgMar w:top="1440" w:right="1440" w:bottom="1440" w:left="1440" w:header="720" w:footer="720" w:gutter="0"/>
          <w:pgNumType w:start="1"/>
          <w:cols w:space="720"/>
          <w:titlePg/>
          <w:docGrid w:linePitch="360"/>
        </w:sectPr>
      </w:pPr>
    </w:p>
    <w:p w14:paraId="1B2979F5" w14:textId="289881F8" w:rsidR="00E44B6A" w:rsidRPr="004A792A" w:rsidRDefault="006F4EE0" w:rsidP="006F4EE0">
      <w:pPr>
        <w:pStyle w:val="ad"/>
        <w:jc w:val="left"/>
        <w:rPr>
          <w:lang w:val="en-US"/>
        </w:rPr>
      </w:pPr>
      <w:bookmarkStart w:id="24" w:name="_Ref519151608"/>
      <w:bookmarkStart w:id="25" w:name="_Toc533211791"/>
      <w:r w:rsidRPr="00C83333">
        <w:rPr>
          <w:lang w:val="en-US"/>
        </w:rPr>
        <w:lastRenderedPageBreak/>
        <w:t xml:space="preserve">Table </w:t>
      </w:r>
      <w:r w:rsidR="007B7CCA" w:rsidRPr="00C83333">
        <w:rPr>
          <w:lang w:val="en-US"/>
        </w:rPr>
        <w:fldChar w:fldCharType="begin"/>
      </w:r>
      <w:r w:rsidR="007B7CCA" w:rsidRPr="00C83333">
        <w:rPr>
          <w:lang w:val="en-US"/>
        </w:rPr>
        <w:instrText xml:space="preserve"> SEQ Table \* ARABIC </w:instrText>
      </w:r>
      <w:r w:rsidR="007B7CCA" w:rsidRPr="00C83333">
        <w:rPr>
          <w:lang w:val="en-US"/>
        </w:rPr>
        <w:fldChar w:fldCharType="separate"/>
      </w:r>
      <w:r w:rsidR="007B7CCA" w:rsidRPr="00C83333">
        <w:rPr>
          <w:noProof/>
          <w:lang w:val="en-US"/>
        </w:rPr>
        <w:t>1</w:t>
      </w:r>
      <w:r w:rsidR="007B7CCA" w:rsidRPr="00C83333">
        <w:rPr>
          <w:lang w:val="en-US"/>
        </w:rPr>
        <w:fldChar w:fldCharType="end"/>
      </w:r>
      <w:bookmarkEnd w:id="9"/>
      <w:bookmarkEnd w:id="24"/>
      <w:r w:rsidR="00E44B6A" w:rsidRPr="00C83333">
        <w:rPr>
          <w:lang w:val="en-US"/>
        </w:rPr>
        <w:t xml:space="preserve">: </w:t>
      </w:r>
      <w:r w:rsidR="00E74E73" w:rsidRPr="00C83333">
        <w:rPr>
          <w:lang w:val="en-US"/>
        </w:rPr>
        <w:t xml:space="preserve">Top ten </w:t>
      </w:r>
      <w:r w:rsidR="005B54BE">
        <w:rPr>
          <w:lang w:val="en-US"/>
        </w:rPr>
        <w:t xml:space="preserve">3-digit </w:t>
      </w:r>
      <w:r w:rsidR="00E74E73" w:rsidRPr="00C83333">
        <w:rPr>
          <w:lang w:val="en-US"/>
        </w:rPr>
        <w:t>o</w:t>
      </w:r>
      <w:r w:rsidRPr="00C83333">
        <w:rPr>
          <w:lang w:val="en-US"/>
        </w:rPr>
        <w:t>ccupations with the highest and lowest female shares</w:t>
      </w:r>
      <w:r w:rsidR="005B54BE">
        <w:rPr>
          <w:lang w:val="en-US"/>
        </w:rPr>
        <w:t xml:space="preserve"> as of 2016</w:t>
      </w:r>
      <w:r w:rsidRPr="00C83333">
        <w:rPr>
          <w:lang w:val="en-US"/>
        </w:rPr>
        <w:t xml:space="preserve"> (%), 2006-2016</w:t>
      </w:r>
      <w:bookmarkEnd w:id="25"/>
    </w:p>
    <w:tbl>
      <w:tblPr>
        <w:tblOverlap w:val="never"/>
        <w:tblW w:w="15026" w:type="dxa"/>
        <w:tblInd w:w="10" w:type="dxa"/>
        <w:tblLayout w:type="fixed"/>
        <w:tblCellMar>
          <w:left w:w="10" w:type="dxa"/>
          <w:right w:w="10" w:type="dxa"/>
        </w:tblCellMar>
        <w:tblLook w:val="04A0" w:firstRow="1" w:lastRow="0" w:firstColumn="1" w:lastColumn="0" w:noHBand="0" w:noVBand="1"/>
      </w:tblPr>
      <w:tblGrid>
        <w:gridCol w:w="557"/>
        <w:gridCol w:w="4176"/>
        <w:gridCol w:w="792"/>
        <w:gridCol w:w="793"/>
        <w:gridCol w:w="791"/>
        <w:gridCol w:w="792"/>
        <w:gridCol w:w="791"/>
        <w:gridCol w:w="792"/>
        <w:gridCol w:w="791"/>
        <w:gridCol w:w="792"/>
        <w:gridCol w:w="791"/>
        <w:gridCol w:w="792"/>
        <w:gridCol w:w="523"/>
        <w:gridCol w:w="1061"/>
        <w:gridCol w:w="792"/>
      </w:tblGrid>
      <w:tr w:rsidR="001D6F82" w:rsidRPr="004A792A" w14:paraId="56F8783C" w14:textId="77777777" w:rsidTr="001D6F82">
        <w:trPr>
          <w:trHeight w:val="230"/>
        </w:trPr>
        <w:tc>
          <w:tcPr>
            <w:tcW w:w="557" w:type="dxa"/>
            <w:vMerge w:val="restart"/>
            <w:tcBorders>
              <w:top w:val="single" w:sz="4" w:space="0" w:color="auto"/>
            </w:tcBorders>
            <w:shd w:val="clear" w:color="auto" w:fill="FFFFFF"/>
          </w:tcPr>
          <w:p w14:paraId="5CE067FF" w14:textId="41CFD6B4" w:rsidR="001D6F82" w:rsidRPr="004A792A" w:rsidRDefault="001D6F82" w:rsidP="001D6F82">
            <w:pPr>
              <w:pStyle w:val="61"/>
              <w:spacing w:line="180" w:lineRule="exact"/>
              <w:rPr>
                <w:rStyle w:val="25"/>
                <w:rFonts w:asciiTheme="minorHAnsi" w:hAnsiTheme="minorHAnsi" w:cstheme="minorHAnsi"/>
                <w:b/>
                <w:sz w:val="20"/>
                <w:szCs w:val="20"/>
              </w:rPr>
            </w:pPr>
            <w:r w:rsidRPr="004A792A">
              <w:rPr>
                <w:rStyle w:val="25"/>
                <w:rFonts w:asciiTheme="minorHAnsi" w:hAnsiTheme="minorHAnsi" w:cstheme="minorHAnsi"/>
                <w:b/>
                <w:sz w:val="20"/>
                <w:szCs w:val="20"/>
              </w:rPr>
              <w:t>ISCO-</w:t>
            </w:r>
            <w:r>
              <w:rPr>
                <w:rStyle w:val="25"/>
                <w:rFonts w:asciiTheme="minorHAnsi" w:hAnsiTheme="minorHAnsi" w:cstheme="minorHAnsi"/>
                <w:b/>
                <w:sz w:val="20"/>
                <w:szCs w:val="20"/>
              </w:rPr>
              <w:t>0</w:t>
            </w:r>
            <w:r w:rsidRPr="004A792A">
              <w:rPr>
                <w:rStyle w:val="Constantia8pt0"/>
                <w:rFonts w:asciiTheme="minorHAnsi" w:hAnsiTheme="minorHAnsi" w:cstheme="minorHAnsi"/>
                <w:b/>
                <w:sz w:val="20"/>
                <w:szCs w:val="20"/>
              </w:rPr>
              <w:t>8 code</w:t>
            </w:r>
          </w:p>
        </w:tc>
        <w:tc>
          <w:tcPr>
            <w:tcW w:w="4176" w:type="dxa"/>
            <w:vMerge w:val="restart"/>
            <w:tcBorders>
              <w:top w:val="single" w:sz="4" w:space="0" w:color="auto"/>
            </w:tcBorders>
            <w:shd w:val="clear" w:color="auto" w:fill="FFFFFF"/>
          </w:tcPr>
          <w:p w14:paraId="28028A50" w14:textId="3A449A1C" w:rsidR="001D6F82" w:rsidRPr="004A792A" w:rsidRDefault="001D6F82" w:rsidP="001D6F82">
            <w:pPr>
              <w:pStyle w:val="61"/>
              <w:spacing w:line="180" w:lineRule="exact"/>
              <w:jc w:val="center"/>
              <w:rPr>
                <w:rStyle w:val="25"/>
                <w:rFonts w:asciiTheme="minorHAnsi" w:hAnsiTheme="minorHAnsi" w:cstheme="minorHAnsi"/>
                <w:b/>
                <w:sz w:val="20"/>
                <w:szCs w:val="20"/>
              </w:rPr>
            </w:pPr>
            <w:r w:rsidRPr="004A792A">
              <w:rPr>
                <w:rStyle w:val="25"/>
                <w:rFonts w:asciiTheme="minorHAnsi" w:hAnsiTheme="minorHAnsi" w:cstheme="minorHAnsi"/>
                <w:b/>
                <w:sz w:val="20"/>
                <w:szCs w:val="20"/>
              </w:rPr>
              <w:t>Occupation</w:t>
            </w:r>
          </w:p>
        </w:tc>
        <w:tc>
          <w:tcPr>
            <w:tcW w:w="8440" w:type="dxa"/>
            <w:gridSpan w:val="11"/>
            <w:tcBorders>
              <w:top w:val="single" w:sz="4" w:space="0" w:color="auto"/>
              <w:right w:val="single" w:sz="4" w:space="0" w:color="auto"/>
            </w:tcBorders>
            <w:shd w:val="clear" w:color="auto" w:fill="FFFFFF"/>
          </w:tcPr>
          <w:p w14:paraId="197B7ECF" w14:textId="34B5EA8A" w:rsidR="001D6F82" w:rsidRPr="004A792A" w:rsidRDefault="001D6F82" w:rsidP="001D6F82">
            <w:pPr>
              <w:pStyle w:val="61"/>
              <w:shd w:val="clear" w:color="auto" w:fill="auto"/>
              <w:spacing w:line="180" w:lineRule="exact"/>
              <w:jc w:val="center"/>
              <w:rPr>
                <w:rStyle w:val="25"/>
                <w:rFonts w:asciiTheme="minorHAnsi" w:hAnsiTheme="minorHAnsi" w:cstheme="minorHAnsi"/>
                <w:b/>
                <w:sz w:val="20"/>
                <w:szCs w:val="20"/>
              </w:rPr>
            </w:pPr>
            <w:r>
              <w:rPr>
                <w:rStyle w:val="25"/>
                <w:rFonts w:asciiTheme="minorHAnsi" w:hAnsiTheme="minorHAnsi" w:cstheme="minorHAnsi"/>
                <w:b/>
                <w:sz w:val="20"/>
                <w:szCs w:val="20"/>
              </w:rPr>
              <w:t>Female share (%)</w:t>
            </w:r>
          </w:p>
        </w:tc>
        <w:tc>
          <w:tcPr>
            <w:tcW w:w="1853" w:type="dxa"/>
            <w:gridSpan w:val="2"/>
            <w:tcBorders>
              <w:top w:val="single" w:sz="4" w:space="0" w:color="auto"/>
              <w:left w:val="single" w:sz="4" w:space="0" w:color="auto"/>
            </w:tcBorders>
            <w:shd w:val="clear" w:color="auto" w:fill="FFFFFF"/>
          </w:tcPr>
          <w:p w14:paraId="26744E9C" w14:textId="118ECD03" w:rsidR="001D6F82" w:rsidRPr="005D67FD" w:rsidRDefault="001D6F82" w:rsidP="001D6F82">
            <w:pPr>
              <w:pStyle w:val="61"/>
              <w:shd w:val="clear" w:color="auto" w:fill="auto"/>
              <w:spacing w:line="180" w:lineRule="exact"/>
              <w:jc w:val="center"/>
              <w:rPr>
                <w:rStyle w:val="25"/>
                <w:rFonts w:asciiTheme="minorHAnsi" w:hAnsiTheme="minorHAnsi" w:cstheme="minorHAnsi"/>
                <w:b/>
                <w:sz w:val="20"/>
                <w:szCs w:val="20"/>
              </w:rPr>
            </w:pPr>
            <w:r w:rsidRPr="005D67FD">
              <w:rPr>
                <w:rStyle w:val="25"/>
                <w:rFonts w:asciiTheme="minorHAnsi" w:hAnsiTheme="minorHAnsi" w:cstheme="minorHAnsi"/>
                <w:b/>
                <w:sz w:val="20"/>
                <w:szCs w:val="20"/>
              </w:rPr>
              <w:t>Share of occupation in total employment in 2016 (%)</w:t>
            </w:r>
          </w:p>
        </w:tc>
      </w:tr>
      <w:tr w:rsidR="001D6F82" w:rsidRPr="004A792A" w14:paraId="5C568457" w14:textId="5FD7EF9D" w:rsidTr="001D6F82">
        <w:trPr>
          <w:trHeight w:val="230"/>
        </w:trPr>
        <w:tc>
          <w:tcPr>
            <w:tcW w:w="557" w:type="dxa"/>
            <w:vMerge/>
            <w:tcBorders>
              <w:bottom w:val="single" w:sz="4" w:space="0" w:color="auto"/>
            </w:tcBorders>
            <w:shd w:val="clear" w:color="auto" w:fill="FFFFFF"/>
          </w:tcPr>
          <w:p w14:paraId="213873A3" w14:textId="1F445851" w:rsidR="001D6F82" w:rsidRPr="004A792A" w:rsidRDefault="001D6F82" w:rsidP="006F4EE0">
            <w:pPr>
              <w:pStyle w:val="61"/>
              <w:shd w:val="clear" w:color="auto" w:fill="auto"/>
              <w:spacing w:line="180" w:lineRule="exact"/>
              <w:rPr>
                <w:rFonts w:asciiTheme="minorHAnsi" w:hAnsiTheme="minorHAnsi" w:cstheme="minorHAnsi"/>
                <w:b/>
                <w:sz w:val="20"/>
                <w:szCs w:val="20"/>
              </w:rPr>
            </w:pPr>
          </w:p>
        </w:tc>
        <w:tc>
          <w:tcPr>
            <w:tcW w:w="4176" w:type="dxa"/>
            <w:vMerge/>
            <w:tcBorders>
              <w:bottom w:val="single" w:sz="4" w:space="0" w:color="auto"/>
            </w:tcBorders>
            <w:shd w:val="clear" w:color="auto" w:fill="FFFFFF"/>
          </w:tcPr>
          <w:p w14:paraId="0DB90092" w14:textId="043682CD" w:rsidR="001D6F82" w:rsidRPr="004A792A" w:rsidRDefault="001D6F82" w:rsidP="006F4EE0">
            <w:pPr>
              <w:pStyle w:val="61"/>
              <w:shd w:val="clear" w:color="auto" w:fill="auto"/>
              <w:spacing w:line="180" w:lineRule="exact"/>
              <w:rPr>
                <w:rFonts w:asciiTheme="minorHAnsi" w:hAnsiTheme="minorHAnsi" w:cstheme="minorHAnsi"/>
                <w:b/>
                <w:sz w:val="20"/>
                <w:szCs w:val="20"/>
              </w:rPr>
            </w:pPr>
          </w:p>
        </w:tc>
        <w:tc>
          <w:tcPr>
            <w:tcW w:w="792" w:type="dxa"/>
            <w:tcBorders>
              <w:bottom w:val="single" w:sz="4" w:space="0" w:color="auto"/>
            </w:tcBorders>
            <w:shd w:val="clear" w:color="auto" w:fill="FFFFFF"/>
          </w:tcPr>
          <w:p w14:paraId="0D57980A"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2006</w:t>
            </w:r>
          </w:p>
        </w:tc>
        <w:tc>
          <w:tcPr>
            <w:tcW w:w="793" w:type="dxa"/>
            <w:tcBorders>
              <w:bottom w:val="single" w:sz="4" w:space="0" w:color="auto"/>
            </w:tcBorders>
            <w:shd w:val="clear" w:color="auto" w:fill="FFFFFF"/>
          </w:tcPr>
          <w:p w14:paraId="7470778B"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2007</w:t>
            </w:r>
          </w:p>
        </w:tc>
        <w:tc>
          <w:tcPr>
            <w:tcW w:w="791" w:type="dxa"/>
            <w:tcBorders>
              <w:bottom w:val="single" w:sz="4" w:space="0" w:color="auto"/>
            </w:tcBorders>
            <w:shd w:val="clear" w:color="auto" w:fill="FFFFFF"/>
          </w:tcPr>
          <w:p w14:paraId="19A70D61"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2008</w:t>
            </w:r>
          </w:p>
        </w:tc>
        <w:tc>
          <w:tcPr>
            <w:tcW w:w="792" w:type="dxa"/>
            <w:tcBorders>
              <w:bottom w:val="single" w:sz="4" w:space="0" w:color="auto"/>
            </w:tcBorders>
            <w:shd w:val="clear" w:color="auto" w:fill="FFFFFF"/>
          </w:tcPr>
          <w:p w14:paraId="38B8FBB6"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2009</w:t>
            </w:r>
          </w:p>
        </w:tc>
        <w:tc>
          <w:tcPr>
            <w:tcW w:w="791" w:type="dxa"/>
            <w:tcBorders>
              <w:bottom w:val="single" w:sz="4" w:space="0" w:color="auto"/>
            </w:tcBorders>
            <w:shd w:val="clear" w:color="auto" w:fill="FFFFFF"/>
          </w:tcPr>
          <w:p w14:paraId="2B9D34CF"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2010</w:t>
            </w:r>
          </w:p>
        </w:tc>
        <w:tc>
          <w:tcPr>
            <w:tcW w:w="792" w:type="dxa"/>
            <w:tcBorders>
              <w:bottom w:val="single" w:sz="4" w:space="0" w:color="auto"/>
            </w:tcBorders>
            <w:shd w:val="clear" w:color="auto" w:fill="FFFFFF"/>
          </w:tcPr>
          <w:p w14:paraId="48FFABCF"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2011</w:t>
            </w:r>
          </w:p>
        </w:tc>
        <w:tc>
          <w:tcPr>
            <w:tcW w:w="791" w:type="dxa"/>
            <w:tcBorders>
              <w:bottom w:val="single" w:sz="4" w:space="0" w:color="auto"/>
            </w:tcBorders>
            <w:shd w:val="clear" w:color="auto" w:fill="FFFFFF"/>
          </w:tcPr>
          <w:p w14:paraId="136F1066"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2012</w:t>
            </w:r>
          </w:p>
        </w:tc>
        <w:tc>
          <w:tcPr>
            <w:tcW w:w="792" w:type="dxa"/>
            <w:tcBorders>
              <w:bottom w:val="single" w:sz="4" w:space="0" w:color="auto"/>
            </w:tcBorders>
            <w:shd w:val="clear" w:color="auto" w:fill="FFFFFF"/>
          </w:tcPr>
          <w:p w14:paraId="26D4D79F"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2013</w:t>
            </w:r>
          </w:p>
        </w:tc>
        <w:tc>
          <w:tcPr>
            <w:tcW w:w="791" w:type="dxa"/>
            <w:tcBorders>
              <w:bottom w:val="single" w:sz="4" w:space="0" w:color="auto"/>
            </w:tcBorders>
            <w:shd w:val="clear" w:color="auto" w:fill="FFFFFF"/>
          </w:tcPr>
          <w:p w14:paraId="4E60BBF0"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2014</w:t>
            </w:r>
          </w:p>
        </w:tc>
        <w:tc>
          <w:tcPr>
            <w:tcW w:w="792" w:type="dxa"/>
            <w:tcBorders>
              <w:bottom w:val="single" w:sz="4" w:space="0" w:color="auto"/>
            </w:tcBorders>
            <w:shd w:val="clear" w:color="auto" w:fill="FFFFFF"/>
          </w:tcPr>
          <w:p w14:paraId="7016C378"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2015</w:t>
            </w:r>
          </w:p>
        </w:tc>
        <w:tc>
          <w:tcPr>
            <w:tcW w:w="523" w:type="dxa"/>
            <w:tcBorders>
              <w:bottom w:val="single" w:sz="4" w:space="0" w:color="auto"/>
              <w:right w:val="single" w:sz="4" w:space="0" w:color="auto"/>
            </w:tcBorders>
            <w:shd w:val="clear" w:color="auto" w:fill="FFFFFF"/>
          </w:tcPr>
          <w:p w14:paraId="3455D844" w14:textId="77777777" w:rsidR="001D6F82" w:rsidRPr="004A792A" w:rsidRDefault="001D6F82" w:rsidP="004D7AFF">
            <w:pPr>
              <w:pStyle w:val="61"/>
              <w:shd w:val="clear" w:color="auto" w:fill="auto"/>
              <w:spacing w:line="180" w:lineRule="exact"/>
              <w:jc w:val="center"/>
              <w:rPr>
                <w:rFonts w:asciiTheme="minorHAnsi" w:hAnsiTheme="minorHAnsi" w:cstheme="minorHAnsi"/>
                <w:b/>
                <w:sz w:val="20"/>
                <w:szCs w:val="20"/>
              </w:rPr>
            </w:pPr>
            <w:r w:rsidRPr="004A792A">
              <w:rPr>
                <w:rStyle w:val="25"/>
                <w:rFonts w:asciiTheme="minorHAnsi" w:hAnsiTheme="minorHAnsi" w:cstheme="minorHAnsi"/>
                <w:b/>
                <w:sz w:val="20"/>
                <w:szCs w:val="20"/>
              </w:rPr>
              <w:t>2016</w:t>
            </w:r>
          </w:p>
        </w:tc>
        <w:tc>
          <w:tcPr>
            <w:tcW w:w="1061" w:type="dxa"/>
            <w:tcBorders>
              <w:left w:val="single" w:sz="4" w:space="0" w:color="auto"/>
              <w:bottom w:val="single" w:sz="4" w:space="0" w:color="auto"/>
            </w:tcBorders>
            <w:shd w:val="clear" w:color="auto" w:fill="FFFFFF"/>
          </w:tcPr>
          <w:p w14:paraId="7797B565" w14:textId="649822EA" w:rsidR="001D6F82" w:rsidRPr="005D67FD" w:rsidRDefault="001D6F82" w:rsidP="004D7AFF">
            <w:pPr>
              <w:pStyle w:val="61"/>
              <w:shd w:val="clear" w:color="auto" w:fill="auto"/>
              <w:spacing w:line="180" w:lineRule="exact"/>
              <w:jc w:val="center"/>
              <w:rPr>
                <w:rStyle w:val="25"/>
                <w:rFonts w:asciiTheme="minorHAnsi" w:hAnsiTheme="minorHAnsi" w:cstheme="minorHAnsi"/>
                <w:b/>
                <w:sz w:val="20"/>
                <w:szCs w:val="20"/>
              </w:rPr>
            </w:pPr>
            <w:r w:rsidRPr="005D67FD">
              <w:rPr>
                <w:rStyle w:val="25"/>
                <w:rFonts w:asciiTheme="minorHAnsi" w:hAnsiTheme="minorHAnsi" w:cstheme="minorHAnsi"/>
                <w:b/>
                <w:sz w:val="20"/>
                <w:szCs w:val="20"/>
              </w:rPr>
              <w:t>Women</w:t>
            </w:r>
          </w:p>
        </w:tc>
        <w:tc>
          <w:tcPr>
            <w:tcW w:w="792" w:type="dxa"/>
            <w:tcBorders>
              <w:bottom w:val="single" w:sz="4" w:space="0" w:color="auto"/>
            </w:tcBorders>
            <w:shd w:val="clear" w:color="auto" w:fill="FFFFFF"/>
          </w:tcPr>
          <w:p w14:paraId="7A103CF0" w14:textId="3B80570E" w:rsidR="001D6F82" w:rsidRPr="005D67FD" w:rsidRDefault="001D6F82" w:rsidP="004D7AFF">
            <w:pPr>
              <w:pStyle w:val="61"/>
              <w:shd w:val="clear" w:color="auto" w:fill="auto"/>
              <w:spacing w:line="180" w:lineRule="exact"/>
              <w:jc w:val="center"/>
              <w:rPr>
                <w:rStyle w:val="25"/>
                <w:rFonts w:asciiTheme="minorHAnsi" w:hAnsiTheme="minorHAnsi" w:cstheme="minorHAnsi"/>
                <w:b/>
                <w:sz w:val="20"/>
                <w:szCs w:val="20"/>
              </w:rPr>
            </w:pPr>
            <w:r w:rsidRPr="005D67FD">
              <w:rPr>
                <w:rStyle w:val="25"/>
                <w:rFonts w:asciiTheme="minorHAnsi" w:hAnsiTheme="minorHAnsi" w:cstheme="minorHAnsi"/>
                <w:b/>
                <w:sz w:val="20"/>
                <w:szCs w:val="20"/>
              </w:rPr>
              <w:t>Men</w:t>
            </w:r>
          </w:p>
        </w:tc>
      </w:tr>
      <w:tr w:rsidR="00275913" w:rsidRPr="004A792A" w14:paraId="18D511BF" w14:textId="5BFEBA66" w:rsidTr="00275913">
        <w:trPr>
          <w:trHeight w:val="251"/>
        </w:trPr>
        <w:tc>
          <w:tcPr>
            <w:tcW w:w="557" w:type="dxa"/>
            <w:tcBorders>
              <w:top w:val="single" w:sz="4" w:space="0" w:color="auto"/>
            </w:tcBorders>
            <w:shd w:val="clear" w:color="auto" w:fill="FFFFFF"/>
          </w:tcPr>
          <w:p w14:paraId="7E1FDD10"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531</w:t>
            </w:r>
          </w:p>
        </w:tc>
        <w:tc>
          <w:tcPr>
            <w:tcW w:w="4176" w:type="dxa"/>
            <w:tcBorders>
              <w:top w:val="single" w:sz="4" w:space="0" w:color="auto"/>
            </w:tcBorders>
            <w:shd w:val="clear" w:color="auto" w:fill="FFFFFF"/>
          </w:tcPr>
          <w:p w14:paraId="27709863"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Child care workers and teachers' aides</w:t>
            </w:r>
          </w:p>
        </w:tc>
        <w:tc>
          <w:tcPr>
            <w:tcW w:w="792" w:type="dxa"/>
            <w:tcBorders>
              <w:top w:val="single" w:sz="4" w:space="0" w:color="auto"/>
            </w:tcBorders>
            <w:shd w:val="clear" w:color="auto" w:fill="FFFFFF"/>
          </w:tcPr>
          <w:p w14:paraId="2592E542"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98.5</w:t>
            </w:r>
          </w:p>
        </w:tc>
        <w:tc>
          <w:tcPr>
            <w:tcW w:w="793" w:type="dxa"/>
            <w:tcBorders>
              <w:top w:val="single" w:sz="4" w:space="0" w:color="auto"/>
            </w:tcBorders>
            <w:shd w:val="clear" w:color="auto" w:fill="FFFFFF"/>
          </w:tcPr>
          <w:p w14:paraId="0F71DFE8"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1" w:type="dxa"/>
            <w:tcBorders>
              <w:top w:val="single" w:sz="4" w:space="0" w:color="auto"/>
            </w:tcBorders>
            <w:shd w:val="clear" w:color="auto" w:fill="FFFFFF"/>
          </w:tcPr>
          <w:p w14:paraId="1EA79356"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99.6</w:t>
            </w:r>
          </w:p>
        </w:tc>
        <w:tc>
          <w:tcPr>
            <w:tcW w:w="792" w:type="dxa"/>
            <w:tcBorders>
              <w:top w:val="single" w:sz="4" w:space="0" w:color="auto"/>
            </w:tcBorders>
            <w:shd w:val="clear" w:color="auto" w:fill="FFFFFF"/>
          </w:tcPr>
          <w:p w14:paraId="1DCC0BB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99.6</w:t>
            </w:r>
          </w:p>
        </w:tc>
        <w:tc>
          <w:tcPr>
            <w:tcW w:w="791" w:type="dxa"/>
            <w:tcBorders>
              <w:top w:val="single" w:sz="4" w:space="0" w:color="auto"/>
            </w:tcBorders>
            <w:shd w:val="clear" w:color="auto" w:fill="FFFFFF"/>
          </w:tcPr>
          <w:p w14:paraId="37EAD55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2" w:type="dxa"/>
            <w:tcBorders>
              <w:top w:val="single" w:sz="4" w:space="0" w:color="auto"/>
            </w:tcBorders>
            <w:shd w:val="clear" w:color="auto" w:fill="FFFFFF"/>
          </w:tcPr>
          <w:p w14:paraId="4706F3E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99.5</w:t>
            </w:r>
          </w:p>
        </w:tc>
        <w:tc>
          <w:tcPr>
            <w:tcW w:w="791" w:type="dxa"/>
            <w:tcBorders>
              <w:top w:val="single" w:sz="4" w:space="0" w:color="auto"/>
            </w:tcBorders>
            <w:shd w:val="clear" w:color="auto" w:fill="FFFFFF"/>
          </w:tcPr>
          <w:p w14:paraId="70C7861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2" w:type="dxa"/>
            <w:tcBorders>
              <w:top w:val="single" w:sz="4" w:space="0" w:color="auto"/>
            </w:tcBorders>
            <w:shd w:val="clear" w:color="auto" w:fill="FFFFFF"/>
          </w:tcPr>
          <w:p w14:paraId="3170CBE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99.1</w:t>
            </w:r>
          </w:p>
        </w:tc>
        <w:tc>
          <w:tcPr>
            <w:tcW w:w="791" w:type="dxa"/>
            <w:tcBorders>
              <w:top w:val="single" w:sz="4" w:space="0" w:color="auto"/>
            </w:tcBorders>
            <w:shd w:val="clear" w:color="auto" w:fill="FFFFFF"/>
          </w:tcPr>
          <w:p w14:paraId="4F4BD80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2" w:type="dxa"/>
            <w:tcBorders>
              <w:top w:val="single" w:sz="4" w:space="0" w:color="auto"/>
            </w:tcBorders>
            <w:shd w:val="clear" w:color="auto" w:fill="FFFFFF"/>
          </w:tcPr>
          <w:p w14:paraId="2BAA6BD7"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523" w:type="dxa"/>
            <w:tcBorders>
              <w:top w:val="single" w:sz="4" w:space="0" w:color="auto"/>
              <w:right w:val="single" w:sz="4" w:space="0" w:color="auto"/>
            </w:tcBorders>
            <w:shd w:val="clear" w:color="auto" w:fill="FFFFFF"/>
          </w:tcPr>
          <w:p w14:paraId="43F7E9E7"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1061" w:type="dxa"/>
            <w:tcBorders>
              <w:top w:val="single" w:sz="4" w:space="0" w:color="auto"/>
              <w:left w:val="single" w:sz="4" w:space="0" w:color="auto"/>
            </w:tcBorders>
            <w:shd w:val="clear" w:color="auto" w:fill="FFFFFF"/>
          </w:tcPr>
          <w:p w14:paraId="1051BB0D" w14:textId="24480F5D"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1.99</w:t>
            </w:r>
          </w:p>
        </w:tc>
        <w:tc>
          <w:tcPr>
            <w:tcW w:w="792" w:type="dxa"/>
            <w:tcBorders>
              <w:top w:val="single" w:sz="4" w:space="0" w:color="auto"/>
            </w:tcBorders>
            <w:shd w:val="clear" w:color="auto" w:fill="FFFFFF"/>
          </w:tcPr>
          <w:p w14:paraId="5641B498" w14:textId="7B822CF6"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w:t>
            </w:r>
          </w:p>
        </w:tc>
      </w:tr>
      <w:tr w:rsidR="00275913" w:rsidRPr="004A792A" w14:paraId="3F97B49A" w14:textId="31BA0762" w:rsidTr="00275913">
        <w:trPr>
          <w:trHeight w:val="263"/>
        </w:trPr>
        <w:tc>
          <w:tcPr>
            <w:tcW w:w="557" w:type="dxa"/>
            <w:shd w:val="clear" w:color="auto" w:fill="FFFFFF"/>
          </w:tcPr>
          <w:p w14:paraId="41168329"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262</w:t>
            </w:r>
          </w:p>
        </w:tc>
        <w:tc>
          <w:tcPr>
            <w:tcW w:w="4176" w:type="dxa"/>
            <w:shd w:val="clear" w:color="auto" w:fill="FFFFFF"/>
          </w:tcPr>
          <w:p w14:paraId="17B28D45"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Librarians, archivists and curators</w:t>
            </w:r>
          </w:p>
        </w:tc>
        <w:tc>
          <w:tcPr>
            <w:tcW w:w="792" w:type="dxa"/>
            <w:shd w:val="clear" w:color="auto" w:fill="FFFFFF"/>
          </w:tcPr>
          <w:p w14:paraId="37E24D9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98.7</w:t>
            </w:r>
          </w:p>
        </w:tc>
        <w:tc>
          <w:tcPr>
            <w:tcW w:w="793" w:type="dxa"/>
            <w:shd w:val="clear" w:color="auto" w:fill="FFFFFF"/>
          </w:tcPr>
          <w:p w14:paraId="7FC72BD6"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98.4</w:t>
            </w:r>
          </w:p>
        </w:tc>
        <w:tc>
          <w:tcPr>
            <w:tcW w:w="791" w:type="dxa"/>
            <w:shd w:val="clear" w:color="auto" w:fill="FFFFFF"/>
          </w:tcPr>
          <w:p w14:paraId="16E9A15D"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2" w:type="dxa"/>
            <w:shd w:val="clear" w:color="auto" w:fill="FFFFFF"/>
          </w:tcPr>
          <w:p w14:paraId="1BE0209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94.8</w:t>
            </w:r>
          </w:p>
        </w:tc>
        <w:tc>
          <w:tcPr>
            <w:tcW w:w="791" w:type="dxa"/>
            <w:shd w:val="clear" w:color="auto" w:fill="FFFFFF"/>
          </w:tcPr>
          <w:p w14:paraId="004DFB8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93.3</w:t>
            </w:r>
          </w:p>
        </w:tc>
        <w:tc>
          <w:tcPr>
            <w:tcW w:w="792" w:type="dxa"/>
            <w:shd w:val="clear" w:color="auto" w:fill="FFFFFF"/>
          </w:tcPr>
          <w:p w14:paraId="4AB6000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96.4</w:t>
            </w:r>
          </w:p>
        </w:tc>
        <w:tc>
          <w:tcPr>
            <w:tcW w:w="791" w:type="dxa"/>
            <w:shd w:val="clear" w:color="auto" w:fill="FFFFFF"/>
          </w:tcPr>
          <w:p w14:paraId="432C75B9"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80.2</w:t>
            </w:r>
          </w:p>
        </w:tc>
        <w:tc>
          <w:tcPr>
            <w:tcW w:w="792" w:type="dxa"/>
            <w:shd w:val="clear" w:color="auto" w:fill="FFFFFF"/>
          </w:tcPr>
          <w:p w14:paraId="1BAD064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80.7</w:t>
            </w:r>
          </w:p>
        </w:tc>
        <w:tc>
          <w:tcPr>
            <w:tcW w:w="791" w:type="dxa"/>
            <w:shd w:val="clear" w:color="auto" w:fill="FFFFFF"/>
          </w:tcPr>
          <w:p w14:paraId="57D5F9D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97.2</w:t>
            </w:r>
          </w:p>
        </w:tc>
        <w:tc>
          <w:tcPr>
            <w:tcW w:w="792" w:type="dxa"/>
            <w:shd w:val="clear" w:color="auto" w:fill="FFFFFF"/>
          </w:tcPr>
          <w:p w14:paraId="46DE0A6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523" w:type="dxa"/>
            <w:tcBorders>
              <w:right w:val="single" w:sz="4" w:space="0" w:color="auto"/>
            </w:tcBorders>
            <w:shd w:val="clear" w:color="auto" w:fill="FFFFFF"/>
          </w:tcPr>
          <w:p w14:paraId="4F425A86"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1061" w:type="dxa"/>
            <w:tcBorders>
              <w:left w:val="single" w:sz="4" w:space="0" w:color="auto"/>
            </w:tcBorders>
            <w:shd w:val="clear" w:color="auto" w:fill="FFFFFF"/>
          </w:tcPr>
          <w:p w14:paraId="465FCD0E" w14:textId="461BB344"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0.45</w:t>
            </w:r>
          </w:p>
        </w:tc>
        <w:tc>
          <w:tcPr>
            <w:tcW w:w="792" w:type="dxa"/>
            <w:shd w:val="clear" w:color="auto" w:fill="FFFFFF"/>
          </w:tcPr>
          <w:p w14:paraId="48B9FE1D" w14:textId="2FB9045B"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w:t>
            </w:r>
          </w:p>
        </w:tc>
      </w:tr>
      <w:tr w:rsidR="00275913" w:rsidRPr="004A792A" w14:paraId="2FABE9F9" w14:textId="22566B44" w:rsidTr="00275913">
        <w:trPr>
          <w:trHeight w:val="267"/>
        </w:trPr>
        <w:tc>
          <w:tcPr>
            <w:tcW w:w="557" w:type="dxa"/>
            <w:shd w:val="clear" w:color="auto" w:fill="FFFFFF"/>
          </w:tcPr>
          <w:p w14:paraId="39F83D54"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412</w:t>
            </w:r>
          </w:p>
        </w:tc>
        <w:tc>
          <w:tcPr>
            <w:tcW w:w="4176" w:type="dxa"/>
            <w:shd w:val="clear" w:color="auto" w:fill="FFFFFF"/>
          </w:tcPr>
          <w:p w14:paraId="0355A100"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Secretaries (general)</w:t>
            </w:r>
          </w:p>
        </w:tc>
        <w:tc>
          <w:tcPr>
            <w:tcW w:w="792" w:type="dxa"/>
            <w:shd w:val="clear" w:color="auto" w:fill="FFFFFF"/>
          </w:tcPr>
          <w:p w14:paraId="070E3C8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92.7</w:t>
            </w:r>
          </w:p>
        </w:tc>
        <w:tc>
          <w:tcPr>
            <w:tcW w:w="793" w:type="dxa"/>
            <w:shd w:val="clear" w:color="auto" w:fill="FFFFFF"/>
          </w:tcPr>
          <w:p w14:paraId="4835552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93.1</w:t>
            </w:r>
          </w:p>
        </w:tc>
        <w:tc>
          <w:tcPr>
            <w:tcW w:w="791" w:type="dxa"/>
            <w:shd w:val="clear" w:color="auto" w:fill="FFFFFF"/>
          </w:tcPr>
          <w:p w14:paraId="4111470F"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96.8</w:t>
            </w:r>
          </w:p>
        </w:tc>
        <w:tc>
          <w:tcPr>
            <w:tcW w:w="792" w:type="dxa"/>
            <w:shd w:val="clear" w:color="auto" w:fill="FFFFFF"/>
          </w:tcPr>
          <w:p w14:paraId="4EDFEEA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98.0</w:t>
            </w:r>
          </w:p>
        </w:tc>
        <w:tc>
          <w:tcPr>
            <w:tcW w:w="791" w:type="dxa"/>
            <w:shd w:val="clear" w:color="auto" w:fill="FFFFFF"/>
          </w:tcPr>
          <w:p w14:paraId="7FD26AB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99.4</w:t>
            </w:r>
          </w:p>
        </w:tc>
        <w:tc>
          <w:tcPr>
            <w:tcW w:w="792" w:type="dxa"/>
            <w:shd w:val="clear" w:color="auto" w:fill="FFFFFF"/>
          </w:tcPr>
          <w:p w14:paraId="465481E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97.0</w:t>
            </w:r>
          </w:p>
        </w:tc>
        <w:tc>
          <w:tcPr>
            <w:tcW w:w="791" w:type="dxa"/>
            <w:shd w:val="clear" w:color="auto" w:fill="FFFFFF"/>
          </w:tcPr>
          <w:p w14:paraId="3307BD1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98.6</w:t>
            </w:r>
          </w:p>
        </w:tc>
        <w:tc>
          <w:tcPr>
            <w:tcW w:w="792" w:type="dxa"/>
            <w:shd w:val="clear" w:color="auto" w:fill="FFFFFF"/>
          </w:tcPr>
          <w:p w14:paraId="4AEE6DE7"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1" w:type="dxa"/>
            <w:shd w:val="clear" w:color="auto" w:fill="FFFFFF"/>
          </w:tcPr>
          <w:p w14:paraId="37FB207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97.8</w:t>
            </w:r>
          </w:p>
        </w:tc>
        <w:tc>
          <w:tcPr>
            <w:tcW w:w="792" w:type="dxa"/>
            <w:shd w:val="clear" w:color="auto" w:fill="FFFFFF"/>
          </w:tcPr>
          <w:p w14:paraId="381A58F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98.2</w:t>
            </w:r>
          </w:p>
        </w:tc>
        <w:tc>
          <w:tcPr>
            <w:tcW w:w="523" w:type="dxa"/>
            <w:tcBorders>
              <w:right w:val="single" w:sz="4" w:space="0" w:color="auto"/>
            </w:tcBorders>
            <w:shd w:val="clear" w:color="auto" w:fill="FFFFFF"/>
          </w:tcPr>
          <w:p w14:paraId="65D4CC3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1061" w:type="dxa"/>
            <w:tcBorders>
              <w:left w:val="single" w:sz="4" w:space="0" w:color="auto"/>
            </w:tcBorders>
            <w:shd w:val="clear" w:color="auto" w:fill="FFFFFF"/>
          </w:tcPr>
          <w:p w14:paraId="16ED0B55" w14:textId="6E04EB01"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0.44</w:t>
            </w:r>
          </w:p>
        </w:tc>
        <w:tc>
          <w:tcPr>
            <w:tcW w:w="792" w:type="dxa"/>
            <w:shd w:val="clear" w:color="auto" w:fill="FFFFFF"/>
          </w:tcPr>
          <w:p w14:paraId="685DC32D" w14:textId="4DB87588"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w:t>
            </w:r>
          </w:p>
        </w:tc>
      </w:tr>
      <w:tr w:rsidR="00275913" w:rsidRPr="004A792A" w14:paraId="41E9ECBF" w14:textId="70158D61" w:rsidTr="00275913">
        <w:trPr>
          <w:trHeight w:val="267"/>
        </w:trPr>
        <w:tc>
          <w:tcPr>
            <w:tcW w:w="557" w:type="dxa"/>
            <w:shd w:val="clear" w:color="auto" w:fill="FFFFFF"/>
          </w:tcPr>
          <w:p w14:paraId="713BB691"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234</w:t>
            </w:r>
          </w:p>
        </w:tc>
        <w:tc>
          <w:tcPr>
            <w:tcW w:w="4176" w:type="dxa"/>
            <w:shd w:val="clear" w:color="auto" w:fill="FFFFFF"/>
          </w:tcPr>
          <w:p w14:paraId="1AD7D2F6"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Primary school and early childhood teachers</w:t>
            </w:r>
          </w:p>
        </w:tc>
        <w:tc>
          <w:tcPr>
            <w:tcW w:w="792" w:type="dxa"/>
            <w:shd w:val="clear" w:color="auto" w:fill="FFFFFF"/>
          </w:tcPr>
          <w:p w14:paraId="64C4EBA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92.7</w:t>
            </w:r>
          </w:p>
        </w:tc>
        <w:tc>
          <w:tcPr>
            <w:tcW w:w="793" w:type="dxa"/>
            <w:shd w:val="clear" w:color="auto" w:fill="FFFFFF"/>
          </w:tcPr>
          <w:p w14:paraId="7190452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93.5</w:t>
            </w:r>
          </w:p>
        </w:tc>
        <w:tc>
          <w:tcPr>
            <w:tcW w:w="791" w:type="dxa"/>
            <w:shd w:val="clear" w:color="auto" w:fill="FFFFFF"/>
          </w:tcPr>
          <w:p w14:paraId="46BA7FF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91.4</w:t>
            </w:r>
          </w:p>
        </w:tc>
        <w:tc>
          <w:tcPr>
            <w:tcW w:w="792" w:type="dxa"/>
            <w:shd w:val="clear" w:color="auto" w:fill="FFFFFF"/>
          </w:tcPr>
          <w:p w14:paraId="7BCC6F4F"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91.8</w:t>
            </w:r>
          </w:p>
        </w:tc>
        <w:tc>
          <w:tcPr>
            <w:tcW w:w="791" w:type="dxa"/>
            <w:shd w:val="clear" w:color="auto" w:fill="FFFFFF"/>
          </w:tcPr>
          <w:p w14:paraId="6CD7339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91.6</w:t>
            </w:r>
          </w:p>
        </w:tc>
        <w:tc>
          <w:tcPr>
            <w:tcW w:w="792" w:type="dxa"/>
            <w:shd w:val="clear" w:color="auto" w:fill="FFFFFF"/>
          </w:tcPr>
          <w:p w14:paraId="16E223E9"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92.3</w:t>
            </w:r>
          </w:p>
        </w:tc>
        <w:tc>
          <w:tcPr>
            <w:tcW w:w="791" w:type="dxa"/>
            <w:shd w:val="clear" w:color="auto" w:fill="FFFFFF"/>
          </w:tcPr>
          <w:p w14:paraId="7C885A36"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94.1</w:t>
            </w:r>
          </w:p>
        </w:tc>
        <w:tc>
          <w:tcPr>
            <w:tcW w:w="792" w:type="dxa"/>
            <w:shd w:val="clear" w:color="auto" w:fill="FFFFFF"/>
          </w:tcPr>
          <w:p w14:paraId="15F9CF2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93.1</w:t>
            </w:r>
          </w:p>
        </w:tc>
        <w:tc>
          <w:tcPr>
            <w:tcW w:w="791" w:type="dxa"/>
            <w:shd w:val="clear" w:color="auto" w:fill="FFFFFF"/>
          </w:tcPr>
          <w:p w14:paraId="2B8C65E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96.9</w:t>
            </w:r>
          </w:p>
        </w:tc>
        <w:tc>
          <w:tcPr>
            <w:tcW w:w="792" w:type="dxa"/>
            <w:shd w:val="clear" w:color="auto" w:fill="FFFFFF"/>
          </w:tcPr>
          <w:p w14:paraId="442F2AB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96.8</w:t>
            </w:r>
          </w:p>
        </w:tc>
        <w:tc>
          <w:tcPr>
            <w:tcW w:w="523" w:type="dxa"/>
            <w:tcBorders>
              <w:right w:val="single" w:sz="4" w:space="0" w:color="auto"/>
            </w:tcBorders>
            <w:shd w:val="clear" w:color="auto" w:fill="FFFFFF"/>
          </w:tcPr>
          <w:p w14:paraId="60874EE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98.6</w:t>
            </w:r>
          </w:p>
        </w:tc>
        <w:tc>
          <w:tcPr>
            <w:tcW w:w="1061" w:type="dxa"/>
            <w:tcBorders>
              <w:left w:val="single" w:sz="4" w:space="0" w:color="auto"/>
            </w:tcBorders>
            <w:shd w:val="clear" w:color="auto" w:fill="FFFFFF"/>
          </w:tcPr>
          <w:p w14:paraId="710C5E07" w14:textId="79F21DA8"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3.2</w:t>
            </w:r>
          </w:p>
        </w:tc>
        <w:tc>
          <w:tcPr>
            <w:tcW w:w="792" w:type="dxa"/>
            <w:shd w:val="clear" w:color="auto" w:fill="FFFFFF"/>
          </w:tcPr>
          <w:p w14:paraId="05DDC1FF" w14:textId="5868A61F"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0.05</w:t>
            </w:r>
          </w:p>
        </w:tc>
      </w:tr>
      <w:tr w:rsidR="00275913" w:rsidRPr="004A792A" w14:paraId="75722AF7" w14:textId="2767FB93" w:rsidTr="00275913">
        <w:trPr>
          <w:trHeight w:val="259"/>
        </w:trPr>
        <w:tc>
          <w:tcPr>
            <w:tcW w:w="557" w:type="dxa"/>
            <w:shd w:val="clear" w:color="auto" w:fill="FFFFFF"/>
          </w:tcPr>
          <w:p w14:paraId="462C4184"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532</w:t>
            </w:r>
          </w:p>
        </w:tc>
        <w:tc>
          <w:tcPr>
            <w:tcW w:w="4176" w:type="dxa"/>
            <w:shd w:val="clear" w:color="auto" w:fill="FFFFFF"/>
          </w:tcPr>
          <w:p w14:paraId="2ADA2E89"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Personal care workers in health services</w:t>
            </w:r>
          </w:p>
        </w:tc>
        <w:tc>
          <w:tcPr>
            <w:tcW w:w="792" w:type="dxa"/>
            <w:shd w:val="clear" w:color="auto" w:fill="FFFFFF"/>
          </w:tcPr>
          <w:p w14:paraId="0F37FF7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97.3</w:t>
            </w:r>
          </w:p>
        </w:tc>
        <w:tc>
          <w:tcPr>
            <w:tcW w:w="793" w:type="dxa"/>
            <w:shd w:val="clear" w:color="auto" w:fill="FFFFFF"/>
          </w:tcPr>
          <w:p w14:paraId="7250F6F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1" w:type="dxa"/>
            <w:shd w:val="clear" w:color="auto" w:fill="FFFFFF"/>
          </w:tcPr>
          <w:p w14:paraId="2720119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98.1</w:t>
            </w:r>
          </w:p>
        </w:tc>
        <w:tc>
          <w:tcPr>
            <w:tcW w:w="792" w:type="dxa"/>
            <w:shd w:val="clear" w:color="auto" w:fill="FFFFFF"/>
          </w:tcPr>
          <w:p w14:paraId="144EB06F"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97.8</w:t>
            </w:r>
          </w:p>
        </w:tc>
        <w:tc>
          <w:tcPr>
            <w:tcW w:w="791" w:type="dxa"/>
            <w:shd w:val="clear" w:color="auto" w:fill="FFFFFF"/>
          </w:tcPr>
          <w:p w14:paraId="29D3541D"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97.1</w:t>
            </w:r>
          </w:p>
        </w:tc>
        <w:tc>
          <w:tcPr>
            <w:tcW w:w="792" w:type="dxa"/>
            <w:shd w:val="clear" w:color="auto" w:fill="FFFFFF"/>
          </w:tcPr>
          <w:p w14:paraId="2B4EA272"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98.2</w:t>
            </w:r>
          </w:p>
        </w:tc>
        <w:tc>
          <w:tcPr>
            <w:tcW w:w="791" w:type="dxa"/>
            <w:shd w:val="clear" w:color="auto" w:fill="FFFFFF"/>
          </w:tcPr>
          <w:p w14:paraId="02BAB4F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97.3</w:t>
            </w:r>
          </w:p>
        </w:tc>
        <w:tc>
          <w:tcPr>
            <w:tcW w:w="792" w:type="dxa"/>
            <w:shd w:val="clear" w:color="auto" w:fill="FFFFFF"/>
          </w:tcPr>
          <w:p w14:paraId="4FBC975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97.5</w:t>
            </w:r>
          </w:p>
        </w:tc>
        <w:tc>
          <w:tcPr>
            <w:tcW w:w="791" w:type="dxa"/>
            <w:shd w:val="clear" w:color="auto" w:fill="FFFFFF"/>
          </w:tcPr>
          <w:p w14:paraId="1106758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97.9</w:t>
            </w:r>
          </w:p>
        </w:tc>
        <w:tc>
          <w:tcPr>
            <w:tcW w:w="792" w:type="dxa"/>
            <w:shd w:val="clear" w:color="auto" w:fill="FFFFFF"/>
          </w:tcPr>
          <w:p w14:paraId="3FD821EC"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95.9</w:t>
            </w:r>
          </w:p>
        </w:tc>
        <w:tc>
          <w:tcPr>
            <w:tcW w:w="523" w:type="dxa"/>
            <w:tcBorders>
              <w:right w:val="single" w:sz="4" w:space="0" w:color="auto"/>
            </w:tcBorders>
            <w:shd w:val="clear" w:color="auto" w:fill="FFFFFF"/>
          </w:tcPr>
          <w:p w14:paraId="619A3F1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98.0</w:t>
            </w:r>
          </w:p>
        </w:tc>
        <w:tc>
          <w:tcPr>
            <w:tcW w:w="1061" w:type="dxa"/>
            <w:tcBorders>
              <w:left w:val="single" w:sz="4" w:space="0" w:color="auto"/>
            </w:tcBorders>
            <w:shd w:val="clear" w:color="auto" w:fill="FFFFFF"/>
          </w:tcPr>
          <w:p w14:paraId="0AC2FF97" w14:textId="51E16F29"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1.86</w:t>
            </w:r>
          </w:p>
        </w:tc>
        <w:tc>
          <w:tcPr>
            <w:tcW w:w="792" w:type="dxa"/>
            <w:shd w:val="clear" w:color="auto" w:fill="FFFFFF"/>
          </w:tcPr>
          <w:p w14:paraId="5B2B091F" w14:textId="50725DB9"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0.04</w:t>
            </w:r>
          </w:p>
        </w:tc>
      </w:tr>
      <w:tr w:rsidR="00275913" w:rsidRPr="004A792A" w14:paraId="669548E4" w14:textId="1D09D87C" w:rsidTr="00275913">
        <w:trPr>
          <w:trHeight w:val="481"/>
        </w:trPr>
        <w:tc>
          <w:tcPr>
            <w:tcW w:w="557" w:type="dxa"/>
            <w:shd w:val="clear" w:color="auto" w:fill="FFFFFF"/>
          </w:tcPr>
          <w:p w14:paraId="37E743FC"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911</w:t>
            </w:r>
          </w:p>
        </w:tc>
        <w:tc>
          <w:tcPr>
            <w:tcW w:w="4176" w:type="dxa"/>
            <w:shd w:val="clear" w:color="auto" w:fill="FFFFFF"/>
          </w:tcPr>
          <w:p w14:paraId="3E27F6EF" w14:textId="77777777" w:rsidR="00275913" w:rsidRPr="004A792A" w:rsidRDefault="00275913" w:rsidP="00275913">
            <w:pPr>
              <w:pStyle w:val="61"/>
              <w:shd w:val="clear" w:color="auto" w:fill="auto"/>
              <w:spacing w:line="222" w:lineRule="exact"/>
              <w:rPr>
                <w:rFonts w:asciiTheme="minorHAnsi" w:hAnsiTheme="minorHAnsi" w:cstheme="minorHAnsi"/>
                <w:sz w:val="20"/>
                <w:szCs w:val="20"/>
              </w:rPr>
            </w:pPr>
            <w:r w:rsidRPr="004A792A">
              <w:rPr>
                <w:rStyle w:val="25"/>
                <w:rFonts w:asciiTheme="minorHAnsi" w:hAnsiTheme="minorHAnsi" w:cstheme="minorHAnsi"/>
                <w:sz w:val="20"/>
                <w:szCs w:val="20"/>
              </w:rPr>
              <w:t>Domestic, hotel and office cleaners and helpers</w:t>
            </w:r>
          </w:p>
        </w:tc>
        <w:tc>
          <w:tcPr>
            <w:tcW w:w="792" w:type="dxa"/>
            <w:shd w:val="clear" w:color="auto" w:fill="FFFFFF"/>
          </w:tcPr>
          <w:p w14:paraId="1E39073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97.8</w:t>
            </w:r>
          </w:p>
        </w:tc>
        <w:tc>
          <w:tcPr>
            <w:tcW w:w="793" w:type="dxa"/>
            <w:shd w:val="clear" w:color="auto" w:fill="FFFFFF"/>
          </w:tcPr>
          <w:p w14:paraId="0CD795E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95.7</w:t>
            </w:r>
          </w:p>
        </w:tc>
        <w:tc>
          <w:tcPr>
            <w:tcW w:w="791" w:type="dxa"/>
            <w:shd w:val="clear" w:color="auto" w:fill="FFFFFF"/>
          </w:tcPr>
          <w:p w14:paraId="459E006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94.3</w:t>
            </w:r>
          </w:p>
        </w:tc>
        <w:tc>
          <w:tcPr>
            <w:tcW w:w="792" w:type="dxa"/>
            <w:shd w:val="clear" w:color="auto" w:fill="FFFFFF"/>
          </w:tcPr>
          <w:p w14:paraId="5983431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95.8</w:t>
            </w:r>
          </w:p>
        </w:tc>
        <w:tc>
          <w:tcPr>
            <w:tcW w:w="791" w:type="dxa"/>
            <w:shd w:val="clear" w:color="auto" w:fill="FFFFFF"/>
          </w:tcPr>
          <w:p w14:paraId="1BB0CB7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96.1</w:t>
            </w:r>
          </w:p>
        </w:tc>
        <w:tc>
          <w:tcPr>
            <w:tcW w:w="792" w:type="dxa"/>
            <w:shd w:val="clear" w:color="auto" w:fill="FFFFFF"/>
          </w:tcPr>
          <w:p w14:paraId="687ADB2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97.5</w:t>
            </w:r>
          </w:p>
        </w:tc>
        <w:tc>
          <w:tcPr>
            <w:tcW w:w="791" w:type="dxa"/>
            <w:shd w:val="clear" w:color="auto" w:fill="FFFFFF"/>
          </w:tcPr>
          <w:p w14:paraId="4C36BDE9"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97.6</w:t>
            </w:r>
          </w:p>
        </w:tc>
        <w:tc>
          <w:tcPr>
            <w:tcW w:w="792" w:type="dxa"/>
            <w:shd w:val="clear" w:color="auto" w:fill="FFFFFF"/>
          </w:tcPr>
          <w:p w14:paraId="6B2083CF"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96.6</w:t>
            </w:r>
          </w:p>
        </w:tc>
        <w:tc>
          <w:tcPr>
            <w:tcW w:w="791" w:type="dxa"/>
            <w:shd w:val="clear" w:color="auto" w:fill="FFFFFF"/>
          </w:tcPr>
          <w:p w14:paraId="596D992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97.4</w:t>
            </w:r>
          </w:p>
        </w:tc>
        <w:tc>
          <w:tcPr>
            <w:tcW w:w="792" w:type="dxa"/>
            <w:shd w:val="clear" w:color="auto" w:fill="FFFFFF"/>
          </w:tcPr>
          <w:p w14:paraId="5C9A52A6"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98.9</w:t>
            </w:r>
          </w:p>
        </w:tc>
        <w:tc>
          <w:tcPr>
            <w:tcW w:w="523" w:type="dxa"/>
            <w:tcBorders>
              <w:right w:val="single" w:sz="4" w:space="0" w:color="auto"/>
            </w:tcBorders>
            <w:shd w:val="clear" w:color="auto" w:fill="FFFFFF"/>
          </w:tcPr>
          <w:p w14:paraId="27619B7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97.6</w:t>
            </w:r>
          </w:p>
        </w:tc>
        <w:tc>
          <w:tcPr>
            <w:tcW w:w="1061" w:type="dxa"/>
            <w:tcBorders>
              <w:left w:val="single" w:sz="4" w:space="0" w:color="auto"/>
            </w:tcBorders>
            <w:shd w:val="clear" w:color="auto" w:fill="FFFFFF"/>
          </w:tcPr>
          <w:p w14:paraId="5E51913A" w14:textId="1992AAFC"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4.23</w:t>
            </w:r>
          </w:p>
        </w:tc>
        <w:tc>
          <w:tcPr>
            <w:tcW w:w="792" w:type="dxa"/>
            <w:shd w:val="clear" w:color="auto" w:fill="FFFFFF"/>
          </w:tcPr>
          <w:p w14:paraId="1DC2C7F1" w14:textId="2AB64D2E"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0.1</w:t>
            </w:r>
          </w:p>
        </w:tc>
      </w:tr>
      <w:tr w:rsidR="00275913" w:rsidRPr="004A792A" w14:paraId="68690413" w14:textId="547D398C" w:rsidTr="00275913">
        <w:trPr>
          <w:trHeight w:val="239"/>
        </w:trPr>
        <w:tc>
          <w:tcPr>
            <w:tcW w:w="557" w:type="dxa"/>
            <w:shd w:val="clear" w:color="auto" w:fill="FFFFFF"/>
          </w:tcPr>
          <w:p w14:paraId="081A42ED"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322</w:t>
            </w:r>
          </w:p>
        </w:tc>
        <w:tc>
          <w:tcPr>
            <w:tcW w:w="4176" w:type="dxa"/>
            <w:shd w:val="clear" w:color="auto" w:fill="FFFFFF"/>
          </w:tcPr>
          <w:p w14:paraId="72862761"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Nursing and midwifery associate professionals</w:t>
            </w:r>
          </w:p>
        </w:tc>
        <w:tc>
          <w:tcPr>
            <w:tcW w:w="792" w:type="dxa"/>
            <w:shd w:val="clear" w:color="auto" w:fill="FFFFFF"/>
          </w:tcPr>
          <w:p w14:paraId="1FA1B7A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99.3</w:t>
            </w:r>
          </w:p>
        </w:tc>
        <w:tc>
          <w:tcPr>
            <w:tcW w:w="793" w:type="dxa"/>
            <w:shd w:val="clear" w:color="auto" w:fill="FFFFFF"/>
          </w:tcPr>
          <w:p w14:paraId="1A0FBF5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98.7</w:t>
            </w:r>
          </w:p>
        </w:tc>
        <w:tc>
          <w:tcPr>
            <w:tcW w:w="791" w:type="dxa"/>
            <w:shd w:val="clear" w:color="auto" w:fill="FFFFFF"/>
          </w:tcPr>
          <w:p w14:paraId="692B2FA2"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98.8</w:t>
            </w:r>
          </w:p>
        </w:tc>
        <w:tc>
          <w:tcPr>
            <w:tcW w:w="792" w:type="dxa"/>
            <w:shd w:val="clear" w:color="auto" w:fill="FFFFFF"/>
          </w:tcPr>
          <w:p w14:paraId="38CF564F"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98.7</w:t>
            </w:r>
          </w:p>
        </w:tc>
        <w:tc>
          <w:tcPr>
            <w:tcW w:w="791" w:type="dxa"/>
            <w:shd w:val="clear" w:color="auto" w:fill="FFFFFF"/>
          </w:tcPr>
          <w:p w14:paraId="052EE33A"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99.0</w:t>
            </w:r>
          </w:p>
        </w:tc>
        <w:tc>
          <w:tcPr>
            <w:tcW w:w="792" w:type="dxa"/>
            <w:shd w:val="clear" w:color="auto" w:fill="FFFFFF"/>
          </w:tcPr>
          <w:p w14:paraId="72CFE95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99.1</w:t>
            </w:r>
          </w:p>
        </w:tc>
        <w:tc>
          <w:tcPr>
            <w:tcW w:w="791" w:type="dxa"/>
            <w:shd w:val="clear" w:color="auto" w:fill="FFFFFF"/>
          </w:tcPr>
          <w:p w14:paraId="2D3743BD"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99.2</w:t>
            </w:r>
          </w:p>
        </w:tc>
        <w:tc>
          <w:tcPr>
            <w:tcW w:w="792" w:type="dxa"/>
            <w:shd w:val="clear" w:color="auto" w:fill="FFFFFF"/>
          </w:tcPr>
          <w:p w14:paraId="3C2E65D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99.8</w:t>
            </w:r>
          </w:p>
        </w:tc>
        <w:tc>
          <w:tcPr>
            <w:tcW w:w="791" w:type="dxa"/>
            <w:shd w:val="clear" w:color="auto" w:fill="FFFFFF"/>
          </w:tcPr>
          <w:p w14:paraId="5B054A62"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2" w:type="dxa"/>
            <w:shd w:val="clear" w:color="auto" w:fill="FFFFFF"/>
          </w:tcPr>
          <w:p w14:paraId="75037FA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99.0</w:t>
            </w:r>
          </w:p>
        </w:tc>
        <w:tc>
          <w:tcPr>
            <w:tcW w:w="523" w:type="dxa"/>
            <w:tcBorders>
              <w:right w:val="single" w:sz="4" w:space="0" w:color="auto"/>
            </w:tcBorders>
            <w:shd w:val="clear" w:color="auto" w:fill="FFFFFF"/>
          </w:tcPr>
          <w:p w14:paraId="2245BCCF"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97.6</w:t>
            </w:r>
          </w:p>
        </w:tc>
        <w:tc>
          <w:tcPr>
            <w:tcW w:w="1061" w:type="dxa"/>
            <w:tcBorders>
              <w:left w:val="single" w:sz="4" w:space="0" w:color="auto"/>
            </w:tcBorders>
            <w:shd w:val="clear" w:color="auto" w:fill="FFFFFF"/>
          </w:tcPr>
          <w:p w14:paraId="1AD2E918" w14:textId="1020573F"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3.48</w:t>
            </w:r>
          </w:p>
        </w:tc>
        <w:tc>
          <w:tcPr>
            <w:tcW w:w="792" w:type="dxa"/>
            <w:shd w:val="clear" w:color="auto" w:fill="FFFFFF"/>
          </w:tcPr>
          <w:p w14:paraId="63159742" w14:textId="43BFCB6D"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0.09</w:t>
            </w:r>
          </w:p>
        </w:tc>
      </w:tr>
      <w:tr w:rsidR="00275913" w:rsidRPr="004A792A" w14:paraId="157BDE54" w14:textId="4E58B24A" w:rsidTr="00275913">
        <w:trPr>
          <w:trHeight w:val="473"/>
        </w:trPr>
        <w:tc>
          <w:tcPr>
            <w:tcW w:w="557" w:type="dxa"/>
            <w:shd w:val="clear" w:color="auto" w:fill="FFFFFF"/>
          </w:tcPr>
          <w:p w14:paraId="1FCE338E"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341</w:t>
            </w:r>
          </w:p>
        </w:tc>
        <w:tc>
          <w:tcPr>
            <w:tcW w:w="4176" w:type="dxa"/>
            <w:shd w:val="clear" w:color="auto" w:fill="FFFFFF"/>
          </w:tcPr>
          <w:p w14:paraId="449CA295" w14:textId="77777777" w:rsidR="00275913" w:rsidRPr="004A792A" w:rsidRDefault="00275913" w:rsidP="00275913">
            <w:pPr>
              <w:pStyle w:val="61"/>
              <w:shd w:val="clear" w:color="auto" w:fill="auto"/>
              <w:spacing w:line="222" w:lineRule="exact"/>
              <w:rPr>
                <w:rFonts w:asciiTheme="minorHAnsi" w:hAnsiTheme="minorHAnsi" w:cstheme="minorHAnsi"/>
                <w:sz w:val="20"/>
                <w:szCs w:val="20"/>
              </w:rPr>
            </w:pPr>
            <w:r w:rsidRPr="004A792A">
              <w:rPr>
                <w:rStyle w:val="25"/>
                <w:rFonts w:asciiTheme="minorHAnsi" w:hAnsiTheme="minorHAnsi" w:cstheme="minorHAnsi"/>
                <w:sz w:val="20"/>
                <w:szCs w:val="20"/>
              </w:rPr>
              <w:t>Legal, social and religious associate professionals</w:t>
            </w:r>
          </w:p>
        </w:tc>
        <w:tc>
          <w:tcPr>
            <w:tcW w:w="792" w:type="dxa"/>
            <w:shd w:val="clear" w:color="auto" w:fill="FFFFFF"/>
          </w:tcPr>
          <w:p w14:paraId="4815F95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56.9</w:t>
            </w:r>
          </w:p>
        </w:tc>
        <w:tc>
          <w:tcPr>
            <w:tcW w:w="793" w:type="dxa"/>
            <w:shd w:val="clear" w:color="auto" w:fill="FFFFFF"/>
          </w:tcPr>
          <w:p w14:paraId="0E0BFFFD"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66.4</w:t>
            </w:r>
          </w:p>
        </w:tc>
        <w:tc>
          <w:tcPr>
            <w:tcW w:w="791" w:type="dxa"/>
            <w:shd w:val="clear" w:color="auto" w:fill="FFFFFF"/>
          </w:tcPr>
          <w:p w14:paraId="7D683DE9"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64.2</w:t>
            </w:r>
          </w:p>
        </w:tc>
        <w:tc>
          <w:tcPr>
            <w:tcW w:w="792" w:type="dxa"/>
            <w:shd w:val="clear" w:color="auto" w:fill="FFFFFF"/>
          </w:tcPr>
          <w:p w14:paraId="231C0BE8"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64.5</w:t>
            </w:r>
          </w:p>
        </w:tc>
        <w:tc>
          <w:tcPr>
            <w:tcW w:w="791" w:type="dxa"/>
            <w:shd w:val="clear" w:color="auto" w:fill="FFFFFF"/>
          </w:tcPr>
          <w:p w14:paraId="06018B4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57.4</w:t>
            </w:r>
          </w:p>
        </w:tc>
        <w:tc>
          <w:tcPr>
            <w:tcW w:w="792" w:type="dxa"/>
            <w:shd w:val="clear" w:color="auto" w:fill="FFFFFF"/>
          </w:tcPr>
          <w:p w14:paraId="04495EB8"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57.0</w:t>
            </w:r>
          </w:p>
        </w:tc>
        <w:tc>
          <w:tcPr>
            <w:tcW w:w="791" w:type="dxa"/>
            <w:shd w:val="clear" w:color="auto" w:fill="FFFFFF"/>
          </w:tcPr>
          <w:p w14:paraId="0DC35B3D"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56.9</w:t>
            </w:r>
          </w:p>
        </w:tc>
        <w:tc>
          <w:tcPr>
            <w:tcW w:w="792" w:type="dxa"/>
            <w:shd w:val="clear" w:color="auto" w:fill="FFFFFF"/>
          </w:tcPr>
          <w:p w14:paraId="1A8FF4F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54.2</w:t>
            </w:r>
          </w:p>
        </w:tc>
        <w:tc>
          <w:tcPr>
            <w:tcW w:w="791" w:type="dxa"/>
            <w:shd w:val="clear" w:color="auto" w:fill="FFFFFF"/>
          </w:tcPr>
          <w:p w14:paraId="1FB4D43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93.6</w:t>
            </w:r>
          </w:p>
        </w:tc>
        <w:tc>
          <w:tcPr>
            <w:tcW w:w="792" w:type="dxa"/>
            <w:shd w:val="clear" w:color="auto" w:fill="FFFFFF"/>
          </w:tcPr>
          <w:p w14:paraId="773CFAF8"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97.8</w:t>
            </w:r>
          </w:p>
        </w:tc>
        <w:tc>
          <w:tcPr>
            <w:tcW w:w="523" w:type="dxa"/>
            <w:tcBorders>
              <w:right w:val="single" w:sz="4" w:space="0" w:color="auto"/>
            </w:tcBorders>
            <w:shd w:val="clear" w:color="auto" w:fill="FFFFFF"/>
          </w:tcPr>
          <w:p w14:paraId="7974EB82"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97.2</w:t>
            </w:r>
          </w:p>
        </w:tc>
        <w:tc>
          <w:tcPr>
            <w:tcW w:w="1061" w:type="dxa"/>
            <w:tcBorders>
              <w:left w:val="single" w:sz="4" w:space="0" w:color="auto"/>
            </w:tcBorders>
            <w:shd w:val="clear" w:color="auto" w:fill="FFFFFF"/>
          </w:tcPr>
          <w:p w14:paraId="78E2D174" w14:textId="193BF2C5"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0.45</w:t>
            </w:r>
          </w:p>
        </w:tc>
        <w:tc>
          <w:tcPr>
            <w:tcW w:w="792" w:type="dxa"/>
            <w:shd w:val="clear" w:color="auto" w:fill="FFFFFF"/>
          </w:tcPr>
          <w:p w14:paraId="3BBCAFA1" w14:textId="2BDD243E"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0.01</w:t>
            </w:r>
          </w:p>
        </w:tc>
      </w:tr>
      <w:tr w:rsidR="004C1C39" w:rsidRPr="004A792A" w14:paraId="43F30CC5" w14:textId="50AA78CC" w:rsidTr="004D7AFF">
        <w:trPr>
          <w:trHeight w:val="243"/>
        </w:trPr>
        <w:tc>
          <w:tcPr>
            <w:tcW w:w="557" w:type="dxa"/>
            <w:shd w:val="clear" w:color="auto" w:fill="FFFFFF"/>
          </w:tcPr>
          <w:p w14:paraId="4C0CF8FB" w14:textId="77777777" w:rsidR="004C1C39" w:rsidRPr="004A792A" w:rsidRDefault="004C1C39" w:rsidP="004C1C39">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941</w:t>
            </w:r>
          </w:p>
        </w:tc>
        <w:tc>
          <w:tcPr>
            <w:tcW w:w="4176" w:type="dxa"/>
            <w:shd w:val="clear" w:color="auto" w:fill="FFFFFF"/>
          </w:tcPr>
          <w:p w14:paraId="28B8A56E" w14:textId="77777777" w:rsidR="004C1C39" w:rsidRPr="004A792A" w:rsidRDefault="004C1C39" w:rsidP="004C1C39">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Food preparation assistants</w:t>
            </w:r>
          </w:p>
        </w:tc>
        <w:tc>
          <w:tcPr>
            <w:tcW w:w="792" w:type="dxa"/>
            <w:shd w:val="clear" w:color="auto" w:fill="FFFFFF"/>
          </w:tcPr>
          <w:p w14:paraId="4EAF242F" w14:textId="5734D26E"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Pr>
                <w:rStyle w:val="25"/>
                <w:rFonts w:asciiTheme="minorHAnsi" w:hAnsiTheme="minorHAnsi" w:cstheme="minorHAnsi"/>
                <w:sz w:val="20"/>
                <w:szCs w:val="20"/>
              </w:rPr>
              <w:t>–</w:t>
            </w:r>
          </w:p>
        </w:tc>
        <w:tc>
          <w:tcPr>
            <w:tcW w:w="793" w:type="dxa"/>
            <w:shd w:val="clear" w:color="auto" w:fill="FFFFFF"/>
          </w:tcPr>
          <w:p w14:paraId="300BF3E5" w14:textId="67D1846B"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1" w:type="dxa"/>
            <w:shd w:val="clear" w:color="auto" w:fill="FFFFFF"/>
          </w:tcPr>
          <w:p w14:paraId="55986358" w14:textId="6BD1FAAC"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2" w:type="dxa"/>
            <w:shd w:val="clear" w:color="auto" w:fill="FFFFFF"/>
          </w:tcPr>
          <w:p w14:paraId="522807ED" w14:textId="718A97B6"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1" w:type="dxa"/>
            <w:shd w:val="clear" w:color="auto" w:fill="FFFFFF"/>
          </w:tcPr>
          <w:p w14:paraId="64C4EA95" w14:textId="6CEB0B70"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2" w:type="dxa"/>
            <w:shd w:val="clear" w:color="auto" w:fill="FFFFFF"/>
          </w:tcPr>
          <w:p w14:paraId="71684E03" w14:textId="1022BE4D"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1" w:type="dxa"/>
            <w:shd w:val="clear" w:color="auto" w:fill="FFFFFF"/>
          </w:tcPr>
          <w:p w14:paraId="4985BAE8" w14:textId="1FEB5822"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2" w:type="dxa"/>
            <w:shd w:val="clear" w:color="auto" w:fill="FFFFFF"/>
          </w:tcPr>
          <w:p w14:paraId="2A602CD3" w14:textId="22A0C0C2" w:rsidR="004C1C39" w:rsidRPr="004D7AFF"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657A8">
              <w:rPr>
                <w:rStyle w:val="25"/>
                <w:rFonts w:asciiTheme="minorHAnsi" w:hAnsiTheme="minorHAnsi" w:cstheme="minorHAnsi"/>
                <w:sz w:val="20"/>
                <w:szCs w:val="20"/>
              </w:rPr>
              <w:t>–</w:t>
            </w:r>
          </w:p>
        </w:tc>
        <w:tc>
          <w:tcPr>
            <w:tcW w:w="791" w:type="dxa"/>
            <w:shd w:val="clear" w:color="auto" w:fill="FFFFFF"/>
          </w:tcPr>
          <w:p w14:paraId="46A46CA0" w14:textId="77777777" w:rsidR="004C1C39" w:rsidRPr="004A792A" w:rsidRDefault="004C1C39"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98.3</w:t>
            </w:r>
          </w:p>
        </w:tc>
        <w:tc>
          <w:tcPr>
            <w:tcW w:w="792" w:type="dxa"/>
            <w:shd w:val="clear" w:color="auto" w:fill="FFFFFF"/>
          </w:tcPr>
          <w:p w14:paraId="2CE80507" w14:textId="77777777" w:rsidR="004C1C39" w:rsidRPr="004A792A" w:rsidRDefault="004C1C39"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95.5</w:t>
            </w:r>
          </w:p>
        </w:tc>
        <w:tc>
          <w:tcPr>
            <w:tcW w:w="523" w:type="dxa"/>
            <w:tcBorders>
              <w:right w:val="single" w:sz="4" w:space="0" w:color="auto"/>
            </w:tcBorders>
            <w:shd w:val="clear" w:color="auto" w:fill="FFFFFF"/>
          </w:tcPr>
          <w:p w14:paraId="5C159B48" w14:textId="77777777" w:rsidR="004C1C39" w:rsidRPr="004A792A" w:rsidRDefault="004C1C39"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96.9</w:t>
            </w:r>
          </w:p>
        </w:tc>
        <w:tc>
          <w:tcPr>
            <w:tcW w:w="1061" w:type="dxa"/>
            <w:tcBorders>
              <w:left w:val="single" w:sz="4" w:space="0" w:color="auto"/>
            </w:tcBorders>
            <w:shd w:val="clear" w:color="auto" w:fill="FFFFFF"/>
          </w:tcPr>
          <w:p w14:paraId="4266937F" w14:textId="4996E82C" w:rsidR="004C1C39" w:rsidRPr="005D67FD"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0.42</w:t>
            </w:r>
          </w:p>
        </w:tc>
        <w:tc>
          <w:tcPr>
            <w:tcW w:w="792" w:type="dxa"/>
            <w:shd w:val="clear" w:color="auto" w:fill="FFFFFF"/>
          </w:tcPr>
          <w:p w14:paraId="36E904A0" w14:textId="3D55A9DD" w:rsidR="004C1C39" w:rsidRPr="005D67FD" w:rsidRDefault="004C1C39"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0.01</w:t>
            </w:r>
          </w:p>
        </w:tc>
      </w:tr>
      <w:tr w:rsidR="00275913" w:rsidRPr="004A792A" w14:paraId="73798E6D" w14:textId="246331CA" w:rsidTr="00275913">
        <w:trPr>
          <w:trHeight w:val="280"/>
        </w:trPr>
        <w:tc>
          <w:tcPr>
            <w:tcW w:w="557" w:type="dxa"/>
            <w:shd w:val="clear" w:color="auto" w:fill="FFFFFF"/>
          </w:tcPr>
          <w:p w14:paraId="5E3DC5D2"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441</w:t>
            </w:r>
          </w:p>
        </w:tc>
        <w:tc>
          <w:tcPr>
            <w:tcW w:w="4176" w:type="dxa"/>
            <w:shd w:val="clear" w:color="auto" w:fill="FFFFFF"/>
          </w:tcPr>
          <w:p w14:paraId="02DAE47B"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Other clerical support workers</w:t>
            </w:r>
          </w:p>
        </w:tc>
        <w:tc>
          <w:tcPr>
            <w:tcW w:w="792" w:type="dxa"/>
            <w:shd w:val="clear" w:color="auto" w:fill="FFFFFF"/>
          </w:tcPr>
          <w:p w14:paraId="227BF856"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94.7</w:t>
            </w:r>
          </w:p>
        </w:tc>
        <w:tc>
          <w:tcPr>
            <w:tcW w:w="793" w:type="dxa"/>
            <w:shd w:val="clear" w:color="auto" w:fill="FFFFFF"/>
          </w:tcPr>
          <w:p w14:paraId="08F2B0D2"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93.1</w:t>
            </w:r>
          </w:p>
        </w:tc>
        <w:tc>
          <w:tcPr>
            <w:tcW w:w="791" w:type="dxa"/>
            <w:shd w:val="clear" w:color="auto" w:fill="FFFFFF"/>
          </w:tcPr>
          <w:p w14:paraId="61762DE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97.7</w:t>
            </w:r>
          </w:p>
        </w:tc>
        <w:tc>
          <w:tcPr>
            <w:tcW w:w="792" w:type="dxa"/>
            <w:shd w:val="clear" w:color="auto" w:fill="FFFFFF"/>
          </w:tcPr>
          <w:p w14:paraId="0DCBA09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96.9</w:t>
            </w:r>
          </w:p>
        </w:tc>
        <w:tc>
          <w:tcPr>
            <w:tcW w:w="791" w:type="dxa"/>
            <w:shd w:val="clear" w:color="auto" w:fill="FFFFFF"/>
          </w:tcPr>
          <w:p w14:paraId="57DC274E"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90.7</w:t>
            </w:r>
          </w:p>
        </w:tc>
        <w:tc>
          <w:tcPr>
            <w:tcW w:w="792" w:type="dxa"/>
            <w:shd w:val="clear" w:color="auto" w:fill="FFFFFF"/>
          </w:tcPr>
          <w:p w14:paraId="33DCB78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90.5</w:t>
            </w:r>
          </w:p>
        </w:tc>
        <w:tc>
          <w:tcPr>
            <w:tcW w:w="791" w:type="dxa"/>
            <w:shd w:val="clear" w:color="auto" w:fill="FFFFFF"/>
          </w:tcPr>
          <w:p w14:paraId="35786D0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91.8</w:t>
            </w:r>
          </w:p>
        </w:tc>
        <w:tc>
          <w:tcPr>
            <w:tcW w:w="792" w:type="dxa"/>
            <w:shd w:val="clear" w:color="auto" w:fill="FFFFFF"/>
          </w:tcPr>
          <w:p w14:paraId="67FAD8D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91.8</w:t>
            </w:r>
          </w:p>
        </w:tc>
        <w:tc>
          <w:tcPr>
            <w:tcW w:w="791" w:type="dxa"/>
            <w:shd w:val="clear" w:color="auto" w:fill="FFFFFF"/>
          </w:tcPr>
          <w:p w14:paraId="1D5CA3C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100.0</w:t>
            </w:r>
          </w:p>
        </w:tc>
        <w:tc>
          <w:tcPr>
            <w:tcW w:w="792" w:type="dxa"/>
            <w:shd w:val="clear" w:color="auto" w:fill="FFFFFF"/>
          </w:tcPr>
          <w:p w14:paraId="060367E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94.4</w:t>
            </w:r>
          </w:p>
        </w:tc>
        <w:tc>
          <w:tcPr>
            <w:tcW w:w="523" w:type="dxa"/>
            <w:tcBorders>
              <w:right w:val="single" w:sz="4" w:space="0" w:color="auto"/>
            </w:tcBorders>
            <w:shd w:val="clear" w:color="auto" w:fill="FFFFFF"/>
          </w:tcPr>
          <w:p w14:paraId="4BB4D5C4"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95.8</w:t>
            </w:r>
          </w:p>
        </w:tc>
        <w:tc>
          <w:tcPr>
            <w:tcW w:w="1061" w:type="dxa"/>
            <w:tcBorders>
              <w:left w:val="single" w:sz="4" w:space="0" w:color="auto"/>
            </w:tcBorders>
            <w:shd w:val="clear" w:color="auto" w:fill="FFFFFF"/>
          </w:tcPr>
          <w:p w14:paraId="39B961F4" w14:textId="0BBF8C7A"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0.87</w:t>
            </w:r>
          </w:p>
        </w:tc>
        <w:tc>
          <w:tcPr>
            <w:tcW w:w="792" w:type="dxa"/>
            <w:shd w:val="clear" w:color="auto" w:fill="FFFFFF"/>
          </w:tcPr>
          <w:p w14:paraId="0C79C6B0" w14:textId="4E7CD326"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0.04</w:t>
            </w:r>
          </w:p>
        </w:tc>
      </w:tr>
      <w:tr w:rsidR="00275913" w:rsidRPr="004A792A" w14:paraId="3E533A6F" w14:textId="36C7F92C" w:rsidTr="00E74E73">
        <w:trPr>
          <w:trHeight w:val="255"/>
        </w:trPr>
        <w:tc>
          <w:tcPr>
            <w:tcW w:w="557" w:type="dxa"/>
            <w:tcBorders>
              <w:top w:val="single" w:sz="4" w:space="0" w:color="auto"/>
            </w:tcBorders>
            <w:shd w:val="clear" w:color="auto" w:fill="FFFFFF"/>
          </w:tcPr>
          <w:p w14:paraId="1959DDB7"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11</w:t>
            </w:r>
          </w:p>
        </w:tc>
        <w:tc>
          <w:tcPr>
            <w:tcW w:w="4176" w:type="dxa"/>
            <w:tcBorders>
              <w:top w:val="single" w:sz="4" w:space="0" w:color="auto"/>
            </w:tcBorders>
            <w:shd w:val="clear" w:color="auto" w:fill="FFFFFF"/>
          </w:tcPr>
          <w:p w14:paraId="279B8189" w14:textId="77777777" w:rsidR="00275913" w:rsidRPr="004A792A" w:rsidRDefault="00275913" w:rsidP="0027591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Armed forces occupations</w:t>
            </w:r>
          </w:p>
        </w:tc>
        <w:tc>
          <w:tcPr>
            <w:tcW w:w="792" w:type="dxa"/>
            <w:tcBorders>
              <w:top w:val="single" w:sz="4" w:space="0" w:color="auto"/>
            </w:tcBorders>
            <w:shd w:val="clear" w:color="auto" w:fill="FFFFFF"/>
          </w:tcPr>
          <w:p w14:paraId="13C52643"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1.3</w:t>
            </w:r>
          </w:p>
        </w:tc>
        <w:tc>
          <w:tcPr>
            <w:tcW w:w="793" w:type="dxa"/>
            <w:tcBorders>
              <w:top w:val="single" w:sz="4" w:space="0" w:color="auto"/>
            </w:tcBorders>
            <w:shd w:val="clear" w:color="auto" w:fill="FFFFFF"/>
          </w:tcPr>
          <w:p w14:paraId="0D59826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1.6</w:t>
            </w:r>
          </w:p>
        </w:tc>
        <w:tc>
          <w:tcPr>
            <w:tcW w:w="791" w:type="dxa"/>
            <w:tcBorders>
              <w:top w:val="single" w:sz="4" w:space="0" w:color="auto"/>
            </w:tcBorders>
            <w:shd w:val="clear" w:color="auto" w:fill="FFFFFF"/>
          </w:tcPr>
          <w:p w14:paraId="3DEB72E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7.3</w:t>
            </w:r>
          </w:p>
        </w:tc>
        <w:tc>
          <w:tcPr>
            <w:tcW w:w="792" w:type="dxa"/>
            <w:tcBorders>
              <w:top w:val="single" w:sz="4" w:space="0" w:color="auto"/>
            </w:tcBorders>
            <w:shd w:val="clear" w:color="auto" w:fill="FFFFFF"/>
          </w:tcPr>
          <w:p w14:paraId="0CA382C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2.6</w:t>
            </w:r>
          </w:p>
        </w:tc>
        <w:tc>
          <w:tcPr>
            <w:tcW w:w="791" w:type="dxa"/>
            <w:tcBorders>
              <w:top w:val="single" w:sz="4" w:space="0" w:color="auto"/>
            </w:tcBorders>
            <w:shd w:val="clear" w:color="auto" w:fill="FFFFFF"/>
          </w:tcPr>
          <w:p w14:paraId="77DBC52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2" w:type="dxa"/>
            <w:tcBorders>
              <w:top w:val="single" w:sz="4" w:space="0" w:color="auto"/>
            </w:tcBorders>
            <w:shd w:val="clear" w:color="auto" w:fill="FFFFFF"/>
          </w:tcPr>
          <w:p w14:paraId="45268AD5"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2.7</w:t>
            </w:r>
          </w:p>
        </w:tc>
        <w:tc>
          <w:tcPr>
            <w:tcW w:w="791" w:type="dxa"/>
            <w:tcBorders>
              <w:top w:val="single" w:sz="4" w:space="0" w:color="auto"/>
            </w:tcBorders>
            <w:shd w:val="clear" w:color="auto" w:fill="FFFFFF"/>
          </w:tcPr>
          <w:p w14:paraId="72A8F35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5.5</w:t>
            </w:r>
          </w:p>
        </w:tc>
        <w:tc>
          <w:tcPr>
            <w:tcW w:w="792" w:type="dxa"/>
            <w:tcBorders>
              <w:top w:val="single" w:sz="4" w:space="0" w:color="auto"/>
            </w:tcBorders>
            <w:shd w:val="clear" w:color="auto" w:fill="FFFFFF"/>
          </w:tcPr>
          <w:p w14:paraId="568CCC10"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5.2</w:t>
            </w:r>
          </w:p>
        </w:tc>
        <w:tc>
          <w:tcPr>
            <w:tcW w:w="791" w:type="dxa"/>
            <w:tcBorders>
              <w:top w:val="single" w:sz="4" w:space="0" w:color="auto"/>
            </w:tcBorders>
            <w:shd w:val="clear" w:color="auto" w:fill="FFFFFF"/>
          </w:tcPr>
          <w:p w14:paraId="727D7221"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6.7</w:t>
            </w:r>
          </w:p>
        </w:tc>
        <w:tc>
          <w:tcPr>
            <w:tcW w:w="792" w:type="dxa"/>
            <w:tcBorders>
              <w:top w:val="single" w:sz="4" w:space="0" w:color="auto"/>
            </w:tcBorders>
            <w:shd w:val="clear" w:color="auto" w:fill="FFFFFF"/>
          </w:tcPr>
          <w:p w14:paraId="5190408B"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2.2</w:t>
            </w:r>
          </w:p>
        </w:tc>
        <w:tc>
          <w:tcPr>
            <w:tcW w:w="523" w:type="dxa"/>
            <w:tcBorders>
              <w:top w:val="single" w:sz="4" w:space="0" w:color="auto"/>
              <w:right w:val="single" w:sz="4" w:space="0" w:color="auto"/>
            </w:tcBorders>
            <w:shd w:val="clear" w:color="auto" w:fill="FFFFFF"/>
          </w:tcPr>
          <w:p w14:paraId="2608E558" w14:textId="77777777" w:rsidR="00275913" w:rsidRPr="004A792A" w:rsidRDefault="0027591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4.5</w:t>
            </w:r>
          </w:p>
        </w:tc>
        <w:tc>
          <w:tcPr>
            <w:tcW w:w="1061" w:type="dxa"/>
            <w:tcBorders>
              <w:top w:val="single" w:sz="4" w:space="0" w:color="auto"/>
              <w:left w:val="single" w:sz="4" w:space="0" w:color="auto"/>
            </w:tcBorders>
            <w:shd w:val="clear" w:color="auto" w:fill="FFFFFF"/>
          </w:tcPr>
          <w:p w14:paraId="5D0D8CFB" w14:textId="3F5CD3C9"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0.04</w:t>
            </w:r>
          </w:p>
        </w:tc>
        <w:tc>
          <w:tcPr>
            <w:tcW w:w="792" w:type="dxa"/>
            <w:tcBorders>
              <w:top w:val="single" w:sz="4" w:space="0" w:color="auto"/>
            </w:tcBorders>
            <w:shd w:val="clear" w:color="auto" w:fill="FFFFFF"/>
          </w:tcPr>
          <w:p w14:paraId="30AEDF68" w14:textId="67359B10" w:rsidR="00275913" w:rsidRPr="005D67FD" w:rsidRDefault="0027591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0.89</w:t>
            </w:r>
          </w:p>
        </w:tc>
      </w:tr>
      <w:tr w:rsidR="00E74E73" w:rsidRPr="004A792A" w14:paraId="36AE0B96" w14:textId="3FBD6B21" w:rsidTr="00E74E73">
        <w:trPr>
          <w:trHeight w:val="461"/>
        </w:trPr>
        <w:tc>
          <w:tcPr>
            <w:tcW w:w="557" w:type="dxa"/>
            <w:shd w:val="clear" w:color="auto" w:fill="FFFFFF"/>
          </w:tcPr>
          <w:p w14:paraId="19F58985"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752</w:t>
            </w:r>
          </w:p>
        </w:tc>
        <w:tc>
          <w:tcPr>
            <w:tcW w:w="4176" w:type="dxa"/>
            <w:shd w:val="clear" w:color="auto" w:fill="FFFFFF"/>
          </w:tcPr>
          <w:p w14:paraId="7BA97AF2" w14:textId="77777777" w:rsidR="00E74E73" w:rsidRPr="004A792A" w:rsidRDefault="00E74E73" w:rsidP="00E74E73">
            <w:pPr>
              <w:pStyle w:val="61"/>
              <w:shd w:val="clear" w:color="auto" w:fill="auto"/>
              <w:spacing w:line="218" w:lineRule="exact"/>
              <w:rPr>
                <w:rFonts w:asciiTheme="minorHAnsi" w:hAnsiTheme="minorHAnsi" w:cstheme="minorHAnsi"/>
                <w:sz w:val="20"/>
                <w:szCs w:val="20"/>
              </w:rPr>
            </w:pPr>
            <w:r w:rsidRPr="004A792A">
              <w:rPr>
                <w:rStyle w:val="25"/>
                <w:rFonts w:asciiTheme="minorHAnsi" w:hAnsiTheme="minorHAnsi" w:cstheme="minorHAnsi"/>
                <w:sz w:val="20"/>
                <w:szCs w:val="20"/>
              </w:rPr>
              <w:t xml:space="preserve">Wood </w:t>
            </w:r>
            <w:proofErr w:type="spellStart"/>
            <w:r w:rsidRPr="004A792A">
              <w:rPr>
                <w:rStyle w:val="25"/>
                <w:rFonts w:asciiTheme="minorHAnsi" w:hAnsiTheme="minorHAnsi" w:cstheme="minorHAnsi"/>
                <w:sz w:val="20"/>
                <w:szCs w:val="20"/>
              </w:rPr>
              <w:t>treaters</w:t>
            </w:r>
            <w:proofErr w:type="spellEnd"/>
            <w:r w:rsidRPr="004A792A">
              <w:rPr>
                <w:rStyle w:val="25"/>
                <w:rFonts w:asciiTheme="minorHAnsi" w:hAnsiTheme="minorHAnsi" w:cstheme="minorHAnsi"/>
                <w:sz w:val="20"/>
                <w:szCs w:val="20"/>
              </w:rPr>
              <w:t>, cabinet-makers and related trades workers</w:t>
            </w:r>
          </w:p>
        </w:tc>
        <w:tc>
          <w:tcPr>
            <w:tcW w:w="792" w:type="dxa"/>
            <w:shd w:val="clear" w:color="auto" w:fill="FFFFFF"/>
          </w:tcPr>
          <w:p w14:paraId="2FDE88A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3.3</w:t>
            </w:r>
          </w:p>
        </w:tc>
        <w:tc>
          <w:tcPr>
            <w:tcW w:w="793" w:type="dxa"/>
            <w:shd w:val="clear" w:color="auto" w:fill="FFFFFF"/>
          </w:tcPr>
          <w:p w14:paraId="072C65E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10.3</w:t>
            </w:r>
          </w:p>
        </w:tc>
        <w:tc>
          <w:tcPr>
            <w:tcW w:w="791" w:type="dxa"/>
            <w:shd w:val="clear" w:color="auto" w:fill="FFFFFF"/>
          </w:tcPr>
          <w:p w14:paraId="4D4EFBFB"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13.1</w:t>
            </w:r>
          </w:p>
        </w:tc>
        <w:tc>
          <w:tcPr>
            <w:tcW w:w="792" w:type="dxa"/>
            <w:shd w:val="clear" w:color="auto" w:fill="FFFFFF"/>
          </w:tcPr>
          <w:p w14:paraId="6A259F94"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21.1</w:t>
            </w:r>
          </w:p>
        </w:tc>
        <w:tc>
          <w:tcPr>
            <w:tcW w:w="791" w:type="dxa"/>
            <w:shd w:val="clear" w:color="auto" w:fill="FFFFFF"/>
          </w:tcPr>
          <w:p w14:paraId="4067D0F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14.3</w:t>
            </w:r>
          </w:p>
        </w:tc>
        <w:tc>
          <w:tcPr>
            <w:tcW w:w="792" w:type="dxa"/>
            <w:shd w:val="clear" w:color="auto" w:fill="FFFFFF"/>
          </w:tcPr>
          <w:p w14:paraId="69C8C2F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12.7</w:t>
            </w:r>
          </w:p>
        </w:tc>
        <w:tc>
          <w:tcPr>
            <w:tcW w:w="791" w:type="dxa"/>
            <w:shd w:val="clear" w:color="auto" w:fill="FFFFFF"/>
          </w:tcPr>
          <w:p w14:paraId="55ED3847"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14.9</w:t>
            </w:r>
          </w:p>
        </w:tc>
        <w:tc>
          <w:tcPr>
            <w:tcW w:w="792" w:type="dxa"/>
            <w:shd w:val="clear" w:color="auto" w:fill="FFFFFF"/>
          </w:tcPr>
          <w:p w14:paraId="0894E9D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24.5</w:t>
            </w:r>
          </w:p>
        </w:tc>
        <w:tc>
          <w:tcPr>
            <w:tcW w:w="791" w:type="dxa"/>
            <w:shd w:val="clear" w:color="auto" w:fill="FFFFFF"/>
          </w:tcPr>
          <w:p w14:paraId="53DC969B"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11.6</w:t>
            </w:r>
          </w:p>
        </w:tc>
        <w:tc>
          <w:tcPr>
            <w:tcW w:w="792" w:type="dxa"/>
            <w:shd w:val="clear" w:color="auto" w:fill="FFFFFF"/>
          </w:tcPr>
          <w:p w14:paraId="508A918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9.7</w:t>
            </w:r>
          </w:p>
        </w:tc>
        <w:tc>
          <w:tcPr>
            <w:tcW w:w="523" w:type="dxa"/>
            <w:tcBorders>
              <w:right w:val="single" w:sz="4" w:space="0" w:color="auto"/>
            </w:tcBorders>
            <w:shd w:val="clear" w:color="auto" w:fill="FFFFFF"/>
          </w:tcPr>
          <w:p w14:paraId="6EFE8E82"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4.3</w:t>
            </w:r>
          </w:p>
        </w:tc>
        <w:tc>
          <w:tcPr>
            <w:tcW w:w="1061" w:type="dxa"/>
            <w:tcBorders>
              <w:left w:val="single" w:sz="4" w:space="0" w:color="auto"/>
            </w:tcBorders>
            <w:shd w:val="clear" w:color="auto" w:fill="FFFFFF"/>
          </w:tcPr>
          <w:p w14:paraId="7D932448" w14:textId="489B9DAD"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0.04</w:t>
            </w:r>
          </w:p>
        </w:tc>
        <w:tc>
          <w:tcPr>
            <w:tcW w:w="792" w:type="dxa"/>
            <w:shd w:val="clear" w:color="auto" w:fill="FFFFFF"/>
          </w:tcPr>
          <w:p w14:paraId="60C39C5D" w14:textId="14FCC054"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0.9</w:t>
            </w:r>
          </w:p>
        </w:tc>
      </w:tr>
      <w:tr w:rsidR="00E74E73" w:rsidRPr="004A792A" w14:paraId="376868F9" w14:textId="4B5291A6" w:rsidTr="00E74E73">
        <w:trPr>
          <w:trHeight w:val="247"/>
        </w:trPr>
        <w:tc>
          <w:tcPr>
            <w:tcW w:w="557" w:type="dxa"/>
            <w:shd w:val="clear" w:color="auto" w:fill="FFFFFF"/>
          </w:tcPr>
          <w:p w14:paraId="4DFF44CB"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541</w:t>
            </w:r>
          </w:p>
        </w:tc>
        <w:tc>
          <w:tcPr>
            <w:tcW w:w="4176" w:type="dxa"/>
            <w:shd w:val="clear" w:color="auto" w:fill="FFFFFF"/>
          </w:tcPr>
          <w:p w14:paraId="54FF0EA4"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Protective services workers</w:t>
            </w:r>
          </w:p>
        </w:tc>
        <w:tc>
          <w:tcPr>
            <w:tcW w:w="792" w:type="dxa"/>
            <w:shd w:val="clear" w:color="auto" w:fill="FFFFFF"/>
          </w:tcPr>
          <w:p w14:paraId="57E17CD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5.5</w:t>
            </w:r>
          </w:p>
        </w:tc>
        <w:tc>
          <w:tcPr>
            <w:tcW w:w="793" w:type="dxa"/>
            <w:shd w:val="clear" w:color="auto" w:fill="FFFFFF"/>
          </w:tcPr>
          <w:p w14:paraId="007E7CE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2.8</w:t>
            </w:r>
          </w:p>
        </w:tc>
        <w:tc>
          <w:tcPr>
            <w:tcW w:w="791" w:type="dxa"/>
            <w:shd w:val="clear" w:color="auto" w:fill="FFFFFF"/>
          </w:tcPr>
          <w:p w14:paraId="0F8B548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3.7</w:t>
            </w:r>
          </w:p>
        </w:tc>
        <w:tc>
          <w:tcPr>
            <w:tcW w:w="792" w:type="dxa"/>
            <w:shd w:val="clear" w:color="auto" w:fill="FFFFFF"/>
          </w:tcPr>
          <w:p w14:paraId="6F35D2D8"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7.3</w:t>
            </w:r>
          </w:p>
        </w:tc>
        <w:tc>
          <w:tcPr>
            <w:tcW w:w="791" w:type="dxa"/>
            <w:shd w:val="clear" w:color="auto" w:fill="FFFFFF"/>
          </w:tcPr>
          <w:p w14:paraId="7EE6A914"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9.9</w:t>
            </w:r>
          </w:p>
        </w:tc>
        <w:tc>
          <w:tcPr>
            <w:tcW w:w="792" w:type="dxa"/>
            <w:shd w:val="clear" w:color="auto" w:fill="FFFFFF"/>
          </w:tcPr>
          <w:p w14:paraId="71F16F8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5.3</w:t>
            </w:r>
          </w:p>
        </w:tc>
        <w:tc>
          <w:tcPr>
            <w:tcW w:w="791" w:type="dxa"/>
            <w:shd w:val="clear" w:color="auto" w:fill="FFFFFF"/>
          </w:tcPr>
          <w:p w14:paraId="56518E3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7.1</w:t>
            </w:r>
          </w:p>
        </w:tc>
        <w:tc>
          <w:tcPr>
            <w:tcW w:w="792" w:type="dxa"/>
            <w:shd w:val="clear" w:color="auto" w:fill="FFFFFF"/>
          </w:tcPr>
          <w:p w14:paraId="11C91ED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6.9</w:t>
            </w:r>
          </w:p>
        </w:tc>
        <w:tc>
          <w:tcPr>
            <w:tcW w:w="791" w:type="dxa"/>
            <w:shd w:val="clear" w:color="auto" w:fill="FFFFFF"/>
          </w:tcPr>
          <w:p w14:paraId="6BB199B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7.2</w:t>
            </w:r>
          </w:p>
        </w:tc>
        <w:tc>
          <w:tcPr>
            <w:tcW w:w="792" w:type="dxa"/>
            <w:shd w:val="clear" w:color="auto" w:fill="FFFFFF"/>
          </w:tcPr>
          <w:p w14:paraId="1762D960"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5.1</w:t>
            </w:r>
          </w:p>
        </w:tc>
        <w:tc>
          <w:tcPr>
            <w:tcW w:w="523" w:type="dxa"/>
            <w:tcBorders>
              <w:right w:val="single" w:sz="4" w:space="0" w:color="auto"/>
            </w:tcBorders>
            <w:shd w:val="clear" w:color="auto" w:fill="FFFFFF"/>
          </w:tcPr>
          <w:p w14:paraId="4639EDE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3.1</w:t>
            </w:r>
          </w:p>
        </w:tc>
        <w:tc>
          <w:tcPr>
            <w:tcW w:w="1061" w:type="dxa"/>
            <w:tcBorders>
              <w:left w:val="single" w:sz="4" w:space="0" w:color="auto"/>
            </w:tcBorders>
            <w:shd w:val="clear" w:color="auto" w:fill="FFFFFF"/>
          </w:tcPr>
          <w:p w14:paraId="0DF66248" w14:textId="4F61E104"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0.06</w:t>
            </w:r>
          </w:p>
        </w:tc>
        <w:tc>
          <w:tcPr>
            <w:tcW w:w="792" w:type="dxa"/>
            <w:shd w:val="clear" w:color="auto" w:fill="FFFFFF"/>
          </w:tcPr>
          <w:p w14:paraId="39AA5C6E" w14:textId="79023E9A"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1.85</w:t>
            </w:r>
          </w:p>
        </w:tc>
      </w:tr>
      <w:tr w:rsidR="00E74E73" w:rsidRPr="004A792A" w14:paraId="0AB5A476" w14:textId="57A8BA9B" w:rsidTr="00E74E73">
        <w:trPr>
          <w:trHeight w:val="267"/>
        </w:trPr>
        <w:tc>
          <w:tcPr>
            <w:tcW w:w="557" w:type="dxa"/>
            <w:shd w:val="clear" w:color="auto" w:fill="FFFFFF"/>
          </w:tcPr>
          <w:p w14:paraId="3B8FD8D2"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933</w:t>
            </w:r>
          </w:p>
        </w:tc>
        <w:tc>
          <w:tcPr>
            <w:tcW w:w="4176" w:type="dxa"/>
            <w:shd w:val="clear" w:color="auto" w:fill="FFFFFF"/>
          </w:tcPr>
          <w:p w14:paraId="187DCB41"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Transport and storage laborers</w:t>
            </w:r>
          </w:p>
        </w:tc>
        <w:tc>
          <w:tcPr>
            <w:tcW w:w="792" w:type="dxa"/>
            <w:shd w:val="clear" w:color="auto" w:fill="FFFFFF"/>
          </w:tcPr>
          <w:p w14:paraId="2CEB43B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2.5</w:t>
            </w:r>
          </w:p>
        </w:tc>
        <w:tc>
          <w:tcPr>
            <w:tcW w:w="793" w:type="dxa"/>
            <w:shd w:val="clear" w:color="auto" w:fill="FFFFFF"/>
          </w:tcPr>
          <w:p w14:paraId="5891D225"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3.1</w:t>
            </w:r>
          </w:p>
        </w:tc>
        <w:tc>
          <w:tcPr>
            <w:tcW w:w="791" w:type="dxa"/>
            <w:shd w:val="clear" w:color="auto" w:fill="FFFFFF"/>
          </w:tcPr>
          <w:p w14:paraId="6D37A94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2.4</w:t>
            </w:r>
          </w:p>
        </w:tc>
        <w:tc>
          <w:tcPr>
            <w:tcW w:w="792" w:type="dxa"/>
            <w:shd w:val="clear" w:color="auto" w:fill="FFFFFF"/>
          </w:tcPr>
          <w:p w14:paraId="0B66392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4.4</w:t>
            </w:r>
          </w:p>
        </w:tc>
        <w:tc>
          <w:tcPr>
            <w:tcW w:w="791" w:type="dxa"/>
            <w:shd w:val="clear" w:color="auto" w:fill="FFFFFF"/>
          </w:tcPr>
          <w:p w14:paraId="6BAC3D4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3.6</w:t>
            </w:r>
          </w:p>
        </w:tc>
        <w:tc>
          <w:tcPr>
            <w:tcW w:w="792" w:type="dxa"/>
            <w:shd w:val="clear" w:color="auto" w:fill="FFFFFF"/>
          </w:tcPr>
          <w:p w14:paraId="49B89787"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5.0</w:t>
            </w:r>
          </w:p>
        </w:tc>
        <w:tc>
          <w:tcPr>
            <w:tcW w:w="791" w:type="dxa"/>
            <w:shd w:val="clear" w:color="auto" w:fill="FFFFFF"/>
          </w:tcPr>
          <w:p w14:paraId="4999E6E4"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3.4</w:t>
            </w:r>
          </w:p>
        </w:tc>
        <w:tc>
          <w:tcPr>
            <w:tcW w:w="792" w:type="dxa"/>
            <w:shd w:val="clear" w:color="auto" w:fill="FFFFFF"/>
          </w:tcPr>
          <w:p w14:paraId="303B924B"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1.3</w:t>
            </w:r>
          </w:p>
        </w:tc>
        <w:tc>
          <w:tcPr>
            <w:tcW w:w="791" w:type="dxa"/>
            <w:shd w:val="clear" w:color="auto" w:fill="FFFFFF"/>
          </w:tcPr>
          <w:p w14:paraId="78681C70"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3.8</w:t>
            </w:r>
          </w:p>
        </w:tc>
        <w:tc>
          <w:tcPr>
            <w:tcW w:w="792" w:type="dxa"/>
            <w:shd w:val="clear" w:color="auto" w:fill="FFFFFF"/>
          </w:tcPr>
          <w:p w14:paraId="4D17E2AF"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3.5</w:t>
            </w:r>
          </w:p>
        </w:tc>
        <w:tc>
          <w:tcPr>
            <w:tcW w:w="523" w:type="dxa"/>
            <w:tcBorders>
              <w:right w:val="single" w:sz="4" w:space="0" w:color="auto"/>
            </w:tcBorders>
            <w:shd w:val="clear" w:color="auto" w:fill="FFFFFF"/>
          </w:tcPr>
          <w:p w14:paraId="28601FE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2.4</w:t>
            </w:r>
          </w:p>
        </w:tc>
        <w:tc>
          <w:tcPr>
            <w:tcW w:w="1061" w:type="dxa"/>
            <w:tcBorders>
              <w:left w:val="single" w:sz="4" w:space="0" w:color="auto"/>
            </w:tcBorders>
            <w:shd w:val="clear" w:color="auto" w:fill="FFFFFF"/>
          </w:tcPr>
          <w:p w14:paraId="6822A961" w14:textId="36F53F7B"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0.04</w:t>
            </w:r>
          </w:p>
        </w:tc>
        <w:tc>
          <w:tcPr>
            <w:tcW w:w="792" w:type="dxa"/>
            <w:shd w:val="clear" w:color="auto" w:fill="FFFFFF"/>
          </w:tcPr>
          <w:p w14:paraId="7F0BB38E" w14:textId="79913290"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1.8</w:t>
            </w:r>
          </w:p>
        </w:tc>
      </w:tr>
      <w:tr w:rsidR="00E74E73" w:rsidRPr="004A792A" w14:paraId="0C26D3C1" w14:textId="7EF45A53" w:rsidTr="00E74E73">
        <w:trPr>
          <w:trHeight w:val="465"/>
        </w:trPr>
        <w:tc>
          <w:tcPr>
            <w:tcW w:w="557" w:type="dxa"/>
            <w:shd w:val="clear" w:color="auto" w:fill="FFFFFF"/>
          </w:tcPr>
          <w:p w14:paraId="757302C7"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721</w:t>
            </w:r>
          </w:p>
        </w:tc>
        <w:tc>
          <w:tcPr>
            <w:tcW w:w="4176" w:type="dxa"/>
            <w:shd w:val="clear" w:color="auto" w:fill="FFFFFF"/>
          </w:tcPr>
          <w:p w14:paraId="583E8A2C" w14:textId="77777777" w:rsidR="00E74E73" w:rsidRPr="004A792A" w:rsidRDefault="00E74E73" w:rsidP="00E74E73">
            <w:pPr>
              <w:pStyle w:val="61"/>
              <w:shd w:val="clear" w:color="auto" w:fill="auto"/>
              <w:spacing w:line="226" w:lineRule="exact"/>
              <w:rPr>
                <w:rFonts w:asciiTheme="minorHAnsi" w:hAnsiTheme="minorHAnsi" w:cstheme="minorHAnsi"/>
                <w:sz w:val="20"/>
                <w:szCs w:val="20"/>
              </w:rPr>
            </w:pPr>
            <w:r w:rsidRPr="004A792A">
              <w:rPr>
                <w:rStyle w:val="25"/>
                <w:rFonts w:asciiTheme="minorHAnsi" w:hAnsiTheme="minorHAnsi" w:cstheme="minorHAnsi"/>
                <w:sz w:val="20"/>
                <w:szCs w:val="20"/>
              </w:rPr>
              <w:t>Sheet and structural metal workers, molders and welders, and related workers</w:t>
            </w:r>
          </w:p>
        </w:tc>
        <w:tc>
          <w:tcPr>
            <w:tcW w:w="792" w:type="dxa"/>
            <w:shd w:val="clear" w:color="auto" w:fill="FFFFFF"/>
          </w:tcPr>
          <w:p w14:paraId="724799D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3.4</w:t>
            </w:r>
          </w:p>
        </w:tc>
        <w:tc>
          <w:tcPr>
            <w:tcW w:w="793" w:type="dxa"/>
            <w:shd w:val="clear" w:color="auto" w:fill="FFFFFF"/>
          </w:tcPr>
          <w:p w14:paraId="3FE4CCFA"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1.2</w:t>
            </w:r>
          </w:p>
        </w:tc>
        <w:tc>
          <w:tcPr>
            <w:tcW w:w="791" w:type="dxa"/>
            <w:shd w:val="clear" w:color="auto" w:fill="FFFFFF"/>
          </w:tcPr>
          <w:p w14:paraId="47987BF2"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1.1</w:t>
            </w:r>
          </w:p>
        </w:tc>
        <w:tc>
          <w:tcPr>
            <w:tcW w:w="792" w:type="dxa"/>
            <w:shd w:val="clear" w:color="auto" w:fill="FFFFFF"/>
          </w:tcPr>
          <w:p w14:paraId="3FD7C6AF"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1.5</w:t>
            </w:r>
          </w:p>
        </w:tc>
        <w:tc>
          <w:tcPr>
            <w:tcW w:w="791" w:type="dxa"/>
            <w:shd w:val="clear" w:color="auto" w:fill="FFFFFF"/>
          </w:tcPr>
          <w:p w14:paraId="53EE0442"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1.9</w:t>
            </w:r>
          </w:p>
        </w:tc>
        <w:tc>
          <w:tcPr>
            <w:tcW w:w="792" w:type="dxa"/>
            <w:shd w:val="clear" w:color="auto" w:fill="FFFFFF"/>
          </w:tcPr>
          <w:p w14:paraId="6D264C4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791" w:type="dxa"/>
            <w:shd w:val="clear" w:color="auto" w:fill="FFFFFF"/>
          </w:tcPr>
          <w:p w14:paraId="7148A2F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0.3</w:t>
            </w:r>
          </w:p>
        </w:tc>
        <w:tc>
          <w:tcPr>
            <w:tcW w:w="792" w:type="dxa"/>
            <w:shd w:val="clear" w:color="auto" w:fill="FFFFFF"/>
          </w:tcPr>
          <w:p w14:paraId="0A9FFA74"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1" w:type="dxa"/>
            <w:shd w:val="clear" w:color="auto" w:fill="FFFFFF"/>
          </w:tcPr>
          <w:p w14:paraId="3657F435"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2" w:type="dxa"/>
            <w:shd w:val="clear" w:color="auto" w:fill="FFFFFF"/>
          </w:tcPr>
          <w:p w14:paraId="67405457"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2.6</w:t>
            </w:r>
          </w:p>
        </w:tc>
        <w:tc>
          <w:tcPr>
            <w:tcW w:w="523" w:type="dxa"/>
            <w:tcBorders>
              <w:right w:val="single" w:sz="4" w:space="0" w:color="auto"/>
            </w:tcBorders>
            <w:shd w:val="clear" w:color="auto" w:fill="FFFFFF"/>
          </w:tcPr>
          <w:p w14:paraId="29F08B90"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2.1</w:t>
            </w:r>
          </w:p>
        </w:tc>
        <w:tc>
          <w:tcPr>
            <w:tcW w:w="1061" w:type="dxa"/>
            <w:tcBorders>
              <w:left w:val="single" w:sz="4" w:space="0" w:color="auto"/>
            </w:tcBorders>
            <w:shd w:val="clear" w:color="auto" w:fill="FFFFFF"/>
          </w:tcPr>
          <w:p w14:paraId="76824F7E" w14:textId="657B0072"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0.02</w:t>
            </w:r>
          </w:p>
        </w:tc>
        <w:tc>
          <w:tcPr>
            <w:tcW w:w="792" w:type="dxa"/>
            <w:shd w:val="clear" w:color="auto" w:fill="FFFFFF"/>
          </w:tcPr>
          <w:p w14:paraId="7F3A1936" w14:textId="3ACD1491"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1.01</w:t>
            </w:r>
          </w:p>
        </w:tc>
      </w:tr>
      <w:tr w:rsidR="00E74E73" w:rsidRPr="004A792A" w14:paraId="62C58236" w14:textId="72E61E95" w:rsidTr="00E74E73">
        <w:trPr>
          <w:trHeight w:val="251"/>
        </w:trPr>
        <w:tc>
          <w:tcPr>
            <w:tcW w:w="557" w:type="dxa"/>
            <w:shd w:val="clear" w:color="auto" w:fill="FFFFFF"/>
          </w:tcPr>
          <w:p w14:paraId="48964EAE"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834</w:t>
            </w:r>
          </w:p>
        </w:tc>
        <w:tc>
          <w:tcPr>
            <w:tcW w:w="4176" w:type="dxa"/>
            <w:shd w:val="clear" w:color="auto" w:fill="FFFFFF"/>
          </w:tcPr>
          <w:p w14:paraId="4955528F"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Mobile plant operators</w:t>
            </w:r>
          </w:p>
        </w:tc>
        <w:tc>
          <w:tcPr>
            <w:tcW w:w="792" w:type="dxa"/>
            <w:shd w:val="clear" w:color="auto" w:fill="FFFFFF"/>
          </w:tcPr>
          <w:p w14:paraId="694D209F"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0.3</w:t>
            </w:r>
          </w:p>
        </w:tc>
        <w:tc>
          <w:tcPr>
            <w:tcW w:w="793" w:type="dxa"/>
            <w:shd w:val="clear" w:color="auto" w:fill="FFFFFF"/>
          </w:tcPr>
          <w:p w14:paraId="4EE96A7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0.9</w:t>
            </w:r>
          </w:p>
        </w:tc>
        <w:tc>
          <w:tcPr>
            <w:tcW w:w="791" w:type="dxa"/>
            <w:shd w:val="clear" w:color="auto" w:fill="FFFFFF"/>
          </w:tcPr>
          <w:p w14:paraId="6BA58CD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0.6</w:t>
            </w:r>
          </w:p>
        </w:tc>
        <w:tc>
          <w:tcPr>
            <w:tcW w:w="792" w:type="dxa"/>
            <w:shd w:val="clear" w:color="auto" w:fill="FFFFFF"/>
          </w:tcPr>
          <w:p w14:paraId="49186CB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1" w:type="dxa"/>
            <w:shd w:val="clear" w:color="auto" w:fill="FFFFFF"/>
          </w:tcPr>
          <w:p w14:paraId="490EADD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792" w:type="dxa"/>
            <w:shd w:val="clear" w:color="auto" w:fill="FFFFFF"/>
          </w:tcPr>
          <w:p w14:paraId="532F443A"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0.6</w:t>
            </w:r>
          </w:p>
        </w:tc>
        <w:tc>
          <w:tcPr>
            <w:tcW w:w="791" w:type="dxa"/>
            <w:shd w:val="clear" w:color="auto" w:fill="FFFFFF"/>
          </w:tcPr>
          <w:p w14:paraId="5759575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0.3</w:t>
            </w:r>
          </w:p>
        </w:tc>
        <w:tc>
          <w:tcPr>
            <w:tcW w:w="792" w:type="dxa"/>
            <w:shd w:val="clear" w:color="auto" w:fill="FFFFFF"/>
          </w:tcPr>
          <w:p w14:paraId="1978582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791" w:type="dxa"/>
            <w:shd w:val="clear" w:color="auto" w:fill="FFFFFF"/>
          </w:tcPr>
          <w:p w14:paraId="38DACF2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1.2</w:t>
            </w:r>
          </w:p>
        </w:tc>
        <w:tc>
          <w:tcPr>
            <w:tcW w:w="792" w:type="dxa"/>
            <w:shd w:val="clear" w:color="auto" w:fill="FFFFFF"/>
          </w:tcPr>
          <w:p w14:paraId="3D4AA04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3.2</w:t>
            </w:r>
          </w:p>
        </w:tc>
        <w:tc>
          <w:tcPr>
            <w:tcW w:w="523" w:type="dxa"/>
            <w:tcBorders>
              <w:right w:val="single" w:sz="4" w:space="0" w:color="auto"/>
            </w:tcBorders>
            <w:shd w:val="clear" w:color="auto" w:fill="FFFFFF"/>
          </w:tcPr>
          <w:p w14:paraId="72F2AC3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1.4</w:t>
            </w:r>
          </w:p>
        </w:tc>
        <w:tc>
          <w:tcPr>
            <w:tcW w:w="1061" w:type="dxa"/>
            <w:tcBorders>
              <w:left w:val="single" w:sz="4" w:space="0" w:color="auto"/>
            </w:tcBorders>
            <w:shd w:val="clear" w:color="auto" w:fill="FFFFFF"/>
          </w:tcPr>
          <w:p w14:paraId="63A7A2F1" w14:textId="6B811CC1"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0.04</w:t>
            </w:r>
          </w:p>
        </w:tc>
        <w:tc>
          <w:tcPr>
            <w:tcW w:w="792" w:type="dxa"/>
            <w:shd w:val="clear" w:color="auto" w:fill="FFFFFF"/>
          </w:tcPr>
          <w:p w14:paraId="01301E9D" w14:textId="533907AE"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2.61</w:t>
            </w:r>
          </w:p>
        </w:tc>
      </w:tr>
      <w:tr w:rsidR="00E74E73" w:rsidRPr="004A792A" w14:paraId="3135985E" w14:textId="2E13107A" w:rsidTr="00E74E73">
        <w:trPr>
          <w:trHeight w:val="259"/>
        </w:trPr>
        <w:tc>
          <w:tcPr>
            <w:tcW w:w="557" w:type="dxa"/>
            <w:shd w:val="clear" w:color="auto" w:fill="FFFFFF"/>
          </w:tcPr>
          <w:p w14:paraId="4E212F5A"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833</w:t>
            </w:r>
          </w:p>
        </w:tc>
        <w:tc>
          <w:tcPr>
            <w:tcW w:w="4176" w:type="dxa"/>
            <w:shd w:val="clear" w:color="auto" w:fill="FFFFFF"/>
          </w:tcPr>
          <w:p w14:paraId="6A227273"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Heavy truck and bus drivers</w:t>
            </w:r>
          </w:p>
        </w:tc>
        <w:tc>
          <w:tcPr>
            <w:tcW w:w="792" w:type="dxa"/>
            <w:shd w:val="clear" w:color="auto" w:fill="FFFFFF"/>
          </w:tcPr>
          <w:p w14:paraId="468D8F0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2.5</w:t>
            </w:r>
          </w:p>
        </w:tc>
        <w:tc>
          <w:tcPr>
            <w:tcW w:w="793" w:type="dxa"/>
            <w:shd w:val="clear" w:color="auto" w:fill="FFFFFF"/>
          </w:tcPr>
          <w:p w14:paraId="3FB5C76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0.8</w:t>
            </w:r>
          </w:p>
        </w:tc>
        <w:tc>
          <w:tcPr>
            <w:tcW w:w="791" w:type="dxa"/>
            <w:shd w:val="clear" w:color="auto" w:fill="FFFFFF"/>
          </w:tcPr>
          <w:p w14:paraId="3BB09B68"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1.4</w:t>
            </w:r>
          </w:p>
        </w:tc>
        <w:tc>
          <w:tcPr>
            <w:tcW w:w="792" w:type="dxa"/>
            <w:shd w:val="clear" w:color="auto" w:fill="FFFFFF"/>
          </w:tcPr>
          <w:p w14:paraId="0146B37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w:t>
            </w:r>
          </w:p>
        </w:tc>
        <w:tc>
          <w:tcPr>
            <w:tcW w:w="791" w:type="dxa"/>
            <w:shd w:val="clear" w:color="auto" w:fill="FFFFFF"/>
          </w:tcPr>
          <w:p w14:paraId="105F5EB5"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0.2</w:t>
            </w:r>
          </w:p>
        </w:tc>
        <w:tc>
          <w:tcPr>
            <w:tcW w:w="792" w:type="dxa"/>
            <w:shd w:val="clear" w:color="auto" w:fill="FFFFFF"/>
          </w:tcPr>
          <w:p w14:paraId="35C0F902"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1.3</w:t>
            </w:r>
          </w:p>
        </w:tc>
        <w:tc>
          <w:tcPr>
            <w:tcW w:w="791" w:type="dxa"/>
            <w:shd w:val="clear" w:color="auto" w:fill="FFFFFF"/>
          </w:tcPr>
          <w:p w14:paraId="471D89FF"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1.6</w:t>
            </w:r>
          </w:p>
        </w:tc>
        <w:tc>
          <w:tcPr>
            <w:tcW w:w="792" w:type="dxa"/>
            <w:shd w:val="clear" w:color="auto" w:fill="FFFFFF"/>
          </w:tcPr>
          <w:p w14:paraId="5343C9B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1.7</w:t>
            </w:r>
          </w:p>
        </w:tc>
        <w:tc>
          <w:tcPr>
            <w:tcW w:w="791" w:type="dxa"/>
            <w:shd w:val="clear" w:color="auto" w:fill="FFFFFF"/>
          </w:tcPr>
          <w:p w14:paraId="6A9E2F4B"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2" w:type="dxa"/>
            <w:shd w:val="clear" w:color="auto" w:fill="FFFFFF"/>
          </w:tcPr>
          <w:p w14:paraId="51894AD4"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1.5</w:t>
            </w:r>
          </w:p>
        </w:tc>
        <w:tc>
          <w:tcPr>
            <w:tcW w:w="523" w:type="dxa"/>
            <w:tcBorders>
              <w:right w:val="single" w:sz="4" w:space="0" w:color="auto"/>
            </w:tcBorders>
            <w:shd w:val="clear" w:color="auto" w:fill="FFFFFF"/>
          </w:tcPr>
          <w:p w14:paraId="1B088727"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1.1</w:t>
            </w:r>
          </w:p>
        </w:tc>
        <w:tc>
          <w:tcPr>
            <w:tcW w:w="1061" w:type="dxa"/>
            <w:tcBorders>
              <w:left w:val="single" w:sz="4" w:space="0" w:color="auto"/>
            </w:tcBorders>
            <w:shd w:val="clear" w:color="auto" w:fill="FFFFFF"/>
          </w:tcPr>
          <w:p w14:paraId="2179D5DC" w14:textId="2151632F"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0.05</w:t>
            </w:r>
          </w:p>
        </w:tc>
        <w:tc>
          <w:tcPr>
            <w:tcW w:w="792" w:type="dxa"/>
            <w:shd w:val="clear" w:color="auto" w:fill="FFFFFF"/>
          </w:tcPr>
          <w:p w14:paraId="2C6BEEF1" w14:textId="4A56CCA1"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4.15</w:t>
            </w:r>
          </w:p>
        </w:tc>
      </w:tr>
      <w:tr w:rsidR="00E74E73" w:rsidRPr="004A792A" w14:paraId="2358A095" w14:textId="43BA51A1" w:rsidTr="00E74E73">
        <w:trPr>
          <w:trHeight w:val="267"/>
        </w:trPr>
        <w:tc>
          <w:tcPr>
            <w:tcW w:w="557" w:type="dxa"/>
            <w:shd w:val="clear" w:color="auto" w:fill="FFFFFF"/>
          </w:tcPr>
          <w:p w14:paraId="702326A3"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711</w:t>
            </w:r>
          </w:p>
        </w:tc>
        <w:tc>
          <w:tcPr>
            <w:tcW w:w="4176" w:type="dxa"/>
            <w:shd w:val="clear" w:color="auto" w:fill="FFFFFF"/>
          </w:tcPr>
          <w:p w14:paraId="0F8E28EA"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Building frame and related trades workers</w:t>
            </w:r>
          </w:p>
        </w:tc>
        <w:tc>
          <w:tcPr>
            <w:tcW w:w="792" w:type="dxa"/>
            <w:shd w:val="clear" w:color="auto" w:fill="FFFFFF"/>
          </w:tcPr>
          <w:p w14:paraId="5BC4497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2.5</w:t>
            </w:r>
          </w:p>
        </w:tc>
        <w:tc>
          <w:tcPr>
            <w:tcW w:w="793" w:type="dxa"/>
            <w:shd w:val="clear" w:color="auto" w:fill="FFFFFF"/>
          </w:tcPr>
          <w:p w14:paraId="144407E5"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1.7</w:t>
            </w:r>
          </w:p>
        </w:tc>
        <w:tc>
          <w:tcPr>
            <w:tcW w:w="791" w:type="dxa"/>
            <w:shd w:val="clear" w:color="auto" w:fill="FFFFFF"/>
          </w:tcPr>
          <w:p w14:paraId="10EF9A9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1.4</w:t>
            </w:r>
          </w:p>
        </w:tc>
        <w:tc>
          <w:tcPr>
            <w:tcW w:w="792" w:type="dxa"/>
            <w:shd w:val="clear" w:color="auto" w:fill="FFFFFF"/>
          </w:tcPr>
          <w:p w14:paraId="530B11E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1.0</w:t>
            </w:r>
          </w:p>
        </w:tc>
        <w:tc>
          <w:tcPr>
            <w:tcW w:w="791" w:type="dxa"/>
            <w:shd w:val="clear" w:color="auto" w:fill="FFFFFF"/>
          </w:tcPr>
          <w:p w14:paraId="6ABAFD2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0.3</w:t>
            </w:r>
          </w:p>
        </w:tc>
        <w:tc>
          <w:tcPr>
            <w:tcW w:w="792" w:type="dxa"/>
            <w:shd w:val="clear" w:color="auto" w:fill="FFFFFF"/>
          </w:tcPr>
          <w:p w14:paraId="228F5F8C"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1.8</w:t>
            </w:r>
          </w:p>
        </w:tc>
        <w:tc>
          <w:tcPr>
            <w:tcW w:w="791" w:type="dxa"/>
            <w:shd w:val="clear" w:color="auto" w:fill="FFFFFF"/>
          </w:tcPr>
          <w:p w14:paraId="71513A2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1.6</w:t>
            </w:r>
          </w:p>
        </w:tc>
        <w:tc>
          <w:tcPr>
            <w:tcW w:w="792" w:type="dxa"/>
            <w:shd w:val="clear" w:color="auto" w:fill="FFFFFF"/>
          </w:tcPr>
          <w:p w14:paraId="5431B2A7"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1.1</w:t>
            </w:r>
          </w:p>
        </w:tc>
        <w:tc>
          <w:tcPr>
            <w:tcW w:w="791" w:type="dxa"/>
            <w:shd w:val="clear" w:color="auto" w:fill="FFFFFF"/>
          </w:tcPr>
          <w:p w14:paraId="119F9680"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0.3</w:t>
            </w:r>
          </w:p>
        </w:tc>
        <w:tc>
          <w:tcPr>
            <w:tcW w:w="792" w:type="dxa"/>
            <w:shd w:val="clear" w:color="auto" w:fill="FFFFFF"/>
          </w:tcPr>
          <w:p w14:paraId="325D5A35"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3.5</w:t>
            </w:r>
          </w:p>
        </w:tc>
        <w:tc>
          <w:tcPr>
            <w:tcW w:w="523" w:type="dxa"/>
            <w:tcBorders>
              <w:right w:val="single" w:sz="4" w:space="0" w:color="auto"/>
            </w:tcBorders>
            <w:shd w:val="clear" w:color="auto" w:fill="FFFFFF"/>
          </w:tcPr>
          <w:p w14:paraId="425A757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1061" w:type="dxa"/>
            <w:tcBorders>
              <w:left w:val="single" w:sz="4" w:space="0" w:color="auto"/>
            </w:tcBorders>
            <w:shd w:val="clear" w:color="auto" w:fill="FFFFFF"/>
          </w:tcPr>
          <w:p w14:paraId="6BB02C2D" w14:textId="76C8128F"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0.01</w:t>
            </w:r>
          </w:p>
        </w:tc>
        <w:tc>
          <w:tcPr>
            <w:tcW w:w="792" w:type="dxa"/>
            <w:shd w:val="clear" w:color="auto" w:fill="FFFFFF"/>
          </w:tcPr>
          <w:p w14:paraId="5DDA66EA" w14:textId="747CEC63"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2.23</w:t>
            </w:r>
          </w:p>
        </w:tc>
      </w:tr>
      <w:tr w:rsidR="00E74E73" w:rsidRPr="004A792A" w14:paraId="0C7C7B7E" w14:textId="1EAB03DD" w:rsidTr="00E74E73">
        <w:trPr>
          <w:trHeight w:val="267"/>
        </w:trPr>
        <w:tc>
          <w:tcPr>
            <w:tcW w:w="557" w:type="dxa"/>
            <w:shd w:val="clear" w:color="auto" w:fill="FFFFFF"/>
          </w:tcPr>
          <w:p w14:paraId="1A154BDF"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832</w:t>
            </w:r>
          </w:p>
        </w:tc>
        <w:tc>
          <w:tcPr>
            <w:tcW w:w="4176" w:type="dxa"/>
            <w:shd w:val="clear" w:color="auto" w:fill="FFFFFF"/>
          </w:tcPr>
          <w:p w14:paraId="3E0C7863"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Car, van and motorcycle drivers</w:t>
            </w:r>
          </w:p>
        </w:tc>
        <w:tc>
          <w:tcPr>
            <w:tcW w:w="792" w:type="dxa"/>
            <w:shd w:val="clear" w:color="auto" w:fill="FFFFFF"/>
          </w:tcPr>
          <w:p w14:paraId="7F7347A7"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0.7</w:t>
            </w:r>
          </w:p>
        </w:tc>
        <w:tc>
          <w:tcPr>
            <w:tcW w:w="793" w:type="dxa"/>
            <w:shd w:val="clear" w:color="auto" w:fill="FFFFFF"/>
          </w:tcPr>
          <w:p w14:paraId="0490BBC5"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0.3</w:t>
            </w:r>
          </w:p>
        </w:tc>
        <w:tc>
          <w:tcPr>
            <w:tcW w:w="791" w:type="dxa"/>
            <w:shd w:val="clear" w:color="auto" w:fill="FFFFFF"/>
          </w:tcPr>
          <w:p w14:paraId="3F802FD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0.1</w:t>
            </w:r>
          </w:p>
        </w:tc>
        <w:tc>
          <w:tcPr>
            <w:tcW w:w="792" w:type="dxa"/>
            <w:shd w:val="clear" w:color="auto" w:fill="FFFFFF"/>
          </w:tcPr>
          <w:p w14:paraId="33B7F238"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1" w:type="dxa"/>
            <w:shd w:val="clear" w:color="auto" w:fill="FFFFFF"/>
          </w:tcPr>
          <w:p w14:paraId="32D42124"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0.2</w:t>
            </w:r>
          </w:p>
        </w:tc>
        <w:tc>
          <w:tcPr>
            <w:tcW w:w="792" w:type="dxa"/>
            <w:shd w:val="clear" w:color="auto" w:fill="FFFFFF"/>
          </w:tcPr>
          <w:p w14:paraId="0F0830E8"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791" w:type="dxa"/>
            <w:shd w:val="clear" w:color="auto" w:fill="FFFFFF"/>
          </w:tcPr>
          <w:p w14:paraId="4848EB0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2" w:type="dxa"/>
            <w:shd w:val="clear" w:color="auto" w:fill="FFFFFF"/>
          </w:tcPr>
          <w:p w14:paraId="306E497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791" w:type="dxa"/>
            <w:shd w:val="clear" w:color="auto" w:fill="FFFFFF"/>
          </w:tcPr>
          <w:p w14:paraId="1204F163"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0.6</w:t>
            </w:r>
          </w:p>
        </w:tc>
        <w:tc>
          <w:tcPr>
            <w:tcW w:w="792" w:type="dxa"/>
            <w:shd w:val="clear" w:color="auto" w:fill="FFFFFF"/>
          </w:tcPr>
          <w:p w14:paraId="62AD1B4F"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0.8</w:t>
            </w:r>
          </w:p>
        </w:tc>
        <w:tc>
          <w:tcPr>
            <w:tcW w:w="523" w:type="dxa"/>
            <w:tcBorders>
              <w:right w:val="single" w:sz="4" w:space="0" w:color="auto"/>
            </w:tcBorders>
            <w:shd w:val="clear" w:color="auto" w:fill="FFFFFF"/>
          </w:tcPr>
          <w:p w14:paraId="25FD965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1061" w:type="dxa"/>
            <w:tcBorders>
              <w:left w:val="single" w:sz="4" w:space="0" w:color="auto"/>
            </w:tcBorders>
            <w:shd w:val="clear" w:color="auto" w:fill="FFFFFF"/>
          </w:tcPr>
          <w:p w14:paraId="4F483C74" w14:textId="5EF939AA"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w:t>
            </w:r>
          </w:p>
        </w:tc>
        <w:tc>
          <w:tcPr>
            <w:tcW w:w="792" w:type="dxa"/>
            <w:shd w:val="clear" w:color="auto" w:fill="FFFFFF"/>
          </w:tcPr>
          <w:p w14:paraId="21BFFB7F" w14:textId="1A261DCE"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3.83</w:t>
            </w:r>
          </w:p>
        </w:tc>
      </w:tr>
      <w:tr w:rsidR="00E74E73" w:rsidRPr="004A792A" w14:paraId="22E30BF2" w14:textId="5D1FF22E" w:rsidTr="00E74E73">
        <w:trPr>
          <w:trHeight w:val="309"/>
        </w:trPr>
        <w:tc>
          <w:tcPr>
            <w:tcW w:w="557" w:type="dxa"/>
            <w:tcBorders>
              <w:bottom w:val="single" w:sz="4" w:space="0" w:color="auto"/>
            </w:tcBorders>
            <w:shd w:val="clear" w:color="auto" w:fill="FFFFFF"/>
          </w:tcPr>
          <w:p w14:paraId="1E9A50FD"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723</w:t>
            </w:r>
          </w:p>
        </w:tc>
        <w:tc>
          <w:tcPr>
            <w:tcW w:w="4176" w:type="dxa"/>
            <w:tcBorders>
              <w:bottom w:val="single" w:sz="4" w:space="0" w:color="auto"/>
            </w:tcBorders>
            <w:shd w:val="clear" w:color="auto" w:fill="FFFFFF"/>
          </w:tcPr>
          <w:p w14:paraId="2121C6F0" w14:textId="77777777" w:rsidR="00E74E73" w:rsidRPr="004A792A" w:rsidRDefault="00E74E73" w:rsidP="00E74E73">
            <w:pPr>
              <w:pStyle w:val="61"/>
              <w:shd w:val="clear" w:color="auto" w:fill="auto"/>
              <w:spacing w:line="180" w:lineRule="exact"/>
              <w:rPr>
                <w:rFonts w:asciiTheme="minorHAnsi" w:hAnsiTheme="minorHAnsi" w:cstheme="minorHAnsi"/>
                <w:sz w:val="20"/>
                <w:szCs w:val="20"/>
              </w:rPr>
            </w:pPr>
            <w:r w:rsidRPr="004A792A">
              <w:rPr>
                <w:rStyle w:val="25"/>
                <w:rFonts w:asciiTheme="minorHAnsi" w:hAnsiTheme="minorHAnsi" w:cstheme="minorHAnsi"/>
                <w:sz w:val="20"/>
                <w:szCs w:val="20"/>
              </w:rPr>
              <w:t>Machinery mechanics and repairers</w:t>
            </w:r>
          </w:p>
        </w:tc>
        <w:tc>
          <w:tcPr>
            <w:tcW w:w="792" w:type="dxa"/>
            <w:tcBorders>
              <w:bottom w:val="single" w:sz="4" w:space="0" w:color="auto"/>
            </w:tcBorders>
            <w:shd w:val="clear" w:color="auto" w:fill="FFFFFF"/>
          </w:tcPr>
          <w:p w14:paraId="27D9B48A"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793" w:type="dxa"/>
            <w:tcBorders>
              <w:bottom w:val="single" w:sz="4" w:space="0" w:color="auto"/>
            </w:tcBorders>
            <w:shd w:val="clear" w:color="auto" w:fill="FFFFFF"/>
          </w:tcPr>
          <w:p w14:paraId="65EFD352"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2.0</w:t>
            </w:r>
          </w:p>
        </w:tc>
        <w:tc>
          <w:tcPr>
            <w:tcW w:w="791" w:type="dxa"/>
            <w:tcBorders>
              <w:bottom w:val="single" w:sz="4" w:space="0" w:color="auto"/>
            </w:tcBorders>
            <w:shd w:val="clear" w:color="auto" w:fill="FFFFFF"/>
          </w:tcPr>
          <w:p w14:paraId="3C8ACBA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2.6</w:t>
            </w:r>
          </w:p>
        </w:tc>
        <w:tc>
          <w:tcPr>
            <w:tcW w:w="792" w:type="dxa"/>
            <w:tcBorders>
              <w:bottom w:val="single" w:sz="4" w:space="0" w:color="auto"/>
            </w:tcBorders>
            <w:shd w:val="clear" w:color="auto" w:fill="FFFFFF"/>
          </w:tcPr>
          <w:p w14:paraId="33B4925A"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0.4</w:t>
            </w:r>
          </w:p>
        </w:tc>
        <w:tc>
          <w:tcPr>
            <w:tcW w:w="791" w:type="dxa"/>
            <w:tcBorders>
              <w:bottom w:val="single" w:sz="4" w:space="0" w:color="auto"/>
            </w:tcBorders>
            <w:shd w:val="clear" w:color="auto" w:fill="FFFFFF"/>
          </w:tcPr>
          <w:p w14:paraId="315F4CC1"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0.5</w:t>
            </w:r>
          </w:p>
        </w:tc>
        <w:tc>
          <w:tcPr>
            <w:tcW w:w="792" w:type="dxa"/>
            <w:tcBorders>
              <w:bottom w:val="single" w:sz="4" w:space="0" w:color="auto"/>
            </w:tcBorders>
            <w:shd w:val="clear" w:color="auto" w:fill="FFFFFF"/>
          </w:tcPr>
          <w:p w14:paraId="30105B96"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0.8</w:t>
            </w:r>
          </w:p>
        </w:tc>
        <w:tc>
          <w:tcPr>
            <w:tcW w:w="791" w:type="dxa"/>
            <w:tcBorders>
              <w:bottom w:val="single" w:sz="4" w:space="0" w:color="auto"/>
            </w:tcBorders>
            <w:shd w:val="clear" w:color="auto" w:fill="FFFFFF"/>
          </w:tcPr>
          <w:p w14:paraId="7E964A4D"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1.2</w:t>
            </w:r>
          </w:p>
        </w:tc>
        <w:tc>
          <w:tcPr>
            <w:tcW w:w="792" w:type="dxa"/>
            <w:tcBorders>
              <w:bottom w:val="single" w:sz="4" w:space="0" w:color="auto"/>
            </w:tcBorders>
            <w:shd w:val="clear" w:color="auto" w:fill="FFFFFF"/>
          </w:tcPr>
          <w:p w14:paraId="66AD70BE"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0.8</w:t>
            </w:r>
          </w:p>
        </w:tc>
        <w:tc>
          <w:tcPr>
            <w:tcW w:w="791" w:type="dxa"/>
            <w:tcBorders>
              <w:bottom w:val="single" w:sz="4" w:space="0" w:color="auto"/>
            </w:tcBorders>
            <w:shd w:val="clear" w:color="auto" w:fill="FFFFFF"/>
          </w:tcPr>
          <w:p w14:paraId="26CB2422"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0.7</w:t>
            </w:r>
          </w:p>
        </w:tc>
        <w:tc>
          <w:tcPr>
            <w:tcW w:w="792" w:type="dxa"/>
            <w:tcBorders>
              <w:bottom w:val="single" w:sz="4" w:space="0" w:color="auto"/>
            </w:tcBorders>
            <w:shd w:val="clear" w:color="auto" w:fill="FFFFFF"/>
          </w:tcPr>
          <w:p w14:paraId="5A35F08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523" w:type="dxa"/>
            <w:tcBorders>
              <w:bottom w:val="single" w:sz="4" w:space="0" w:color="auto"/>
              <w:right w:val="single" w:sz="4" w:space="0" w:color="auto"/>
            </w:tcBorders>
            <w:shd w:val="clear" w:color="auto" w:fill="FFFFFF"/>
          </w:tcPr>
          <w:p w14:paraId="62599CD9" w14:textId="77777777" w:rsidR="00E74E73" w:rsidRPr="004A792A" w:rsidRDefault="00E74E73" w:rsidP="004D7AFF">
            <w:pPr>
              <w:pStyle w:val="61"/>
              <w:shd w:val="clear" w:color="auto" w:fill="auto"/>
              <w:spacing w:line="180" w:lineRule="exact"/>
              <w:jc w:val="center"/>
              <w:rPr>
                <w:rFonts w:asciiTheme="minorHAnsi" w:hAnsiTheme="minorHAnsi" w:cstheme="minorHAnsi"/>
                <w:sz w:val="20"/>
                <w:szCs w:val="20"/>
              </w:rPr>
            </w:pPr>
            <w:r w:rsidRPr="004A792A">
              <w:rPr>
                <w:rStyle w:val="25"/>
                <w:rFonts w:asciiTheme="minorHAnsi" w:hAnsiTheme="minorHAnsi" w:cstheme="minorHAnsi"/>
                <w:sz w:val="20"/>
                <w:szCs w:val="20"/>
              </w:rPr>
              <w:t>0.0</w:t>
            </w:r>
          </w:p>
        </w:tc>
        <w:tc>
          <w:tcPr>
            <w:tcW w:w="1061" w:type="dxa"/>
            <w:tcBorders>
              <w:left w:val="single" w:sz="4" w:space="0" w:color="auto"/>
              <w:bottom w:val="single" w:sz="4" w:space="0" w:color="auto"/>
            </w:tcBorders>
            <w:shd w:val="clear" w:color="auto" w:fill="FFFFFF"/>
          </w:tcPr>
          <w:p w14:paraId="48C5276F" w14:textId="5D48C66F"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0</w:t>
            </w:r>
          </w:p>
        </w:tc>
        <w:tc>
          <w:tcPr>
            <w:tcW w:w="792" w:type="dxa"/>
            <w:tcBorders>
              <w:bottom w:val="single" w:sz="4" w:space="0" w:color="auto"/>
            </w:tcBorders>
            <w:shd w:val="clear" w:color="auto" w:fill="FFFFFF"/>
          </w:tcPr>
          <w:p w14:paraId="2D9AADA6" w14:textId="4BF1813E" w:rsidR="00E74E73" w:rsidRPr="005D67FD" w:rsidRDefault="00E74E73" w:rsidP="004D7AFF">
            <w:pPr>
              <w:pStyle w:val="61"/>
              <w:shd w:val="clear" w:color="auto" w:fill="auto"/>
              <w:spacing w:line="180" w:lineRule="exact"/>
              <w:jc w:val="center"/>
              <w:rPr>
                <w:rStyle w:val="25"/>
                <w:rFonts w:asciiTheme="minorHAnsi" w:hAnsiTheme="minorHAnsi" w:cstheme="minorHAnsi"/>
                <w:sz w:val="20"/>
                <w:szCs w:val="20"/>
              </w:rPr>
            </w:pPr>
            <w:r w:rsidRPr="005D67FD">
              <w:rPr>
                <w:rStyle w:val="25"/>
                <w:rFonts w:asciiTheme="minorHAnsi" w:hAnsiTheme="minorHAnsi" w:cstheme="minorHAnsi"/>
                <w:sz w:val="20"/>
                <w:szCs w:val="20"/>
              </w:rPr>
              <w:t>2.5</w:t>
            </w:r>
          </w:p>
        </w:tc>
      </w:tr>
    </w:tbl>
    <w:p w14:paraId="1D7CB360" w14:textId="2A8E68C7" w:rsidR="004D7AFF" w:rsidRDefault="004D7AFF" w:rsidP="006F4EE0">
      <w:pPr>
        <w:pStyle w:val="aff4"/>
        <w:shd w:val="clear" w:color="auto" w:fill="auto"/>
        <w:spacing w:before="120" w:line="240" w:lineRule="auto"/>
        <w:rPr>
          <w:sz w:val="20"/>
          <w:szCs w:val="20"/>
        </w:rPr>
      </w:pPr>
      <w:r>
        <w:rPr>
          <w:sz w:val="20"/>
          <w:szCs w:val="20"/>
        </w:rPr>
        <w:t>Source: LFS individual-level data.</w:t>
      </w:r>
    </w:p>
    <w:p w14:paraId="7B4E17F4" w14:textId="19F2CB20" w:rsidR="006F4EE0" w:rsidRPr="004A792A" w:rsidRDefault="006F4EE0" w:rsidP="006F4EE0">
      <w:pPr>
        <w:pStyle w:val="aff4"/>
        <w:shd w:val="clear" w:color="auto" w:fill="auto"/>
        <w:spacing w:before="120" w:line="240" w:lineRule="auto"/>
        <w:rPr>
          <w:sz w:val="20"/>
          <w:szCs w:val="20"/>
        </w:rPr>
      </w:pPr>
      <w:r w:rsidRPr="004A792A">
        <w:rPr>
          <w:sz w:val="20"/>
          <w:szCs w:val="20"/>
        </w:rPr>
        <w:t xml:space="preserve">Note: This </w:t>
      </w:r>
      <w:r w:rsidR="00810FE9">
        <w:rPr>
          <w:sz w:val="20"/>
          <w:szCs w:val="20"/>
        </w:rPr>
        <w:t xml:space="preserve">analysis </w:t>
      </w:r>
      <w:r w:rsidRPr="004A792A">
        <w:rPr>
          <w:sz w:val="20"/>
          <w:szCs w:val="20"/>
        </w:rPr>
        <w:t>excludes occupations with less than 20 observations in 2016</w:t>
      </w:r>
      <w:r w:rsidR="00033B7B">
        <w:rPr>
          <w:sz w:val="20"/>
          <w:szCs w:val="20"/>
        </w:rPr>
        <w:t xml:space="preserve"> to avoid small cell size problems</w:t>
      </w:r>
      <w:r w:rsidRPr="004A792A">
        <w:rPr>
          <w:sz w:val="20"/>
          <w:szCs w:val="20"/>
        </w:rPr>
        <w:t>.</w:t>
      </w:r>
    </w:p>
    <w:p w14:paraId="7DF9F20F" w14:textId="77777777" w:rsidR="00E13694" w:rsidRPr="004A792A" w:rsidRDefault="00E13694">
      <w:pPr>
        <w:spacing w:before="0" w:after="160" w:line="259" w:lineRule="auto"/>
        <w:rPr>
          <w:lang w:val="en-US"/>
        </w:rPr>
      </w:pPr>
      <w:r w:rsidRPr="004A792A">
        <w:rPr>
          <w:lang w:val="en-US"/>
        </w:rPr>
        <w:br w:type="page"/>
      </w:r>
    </w:p>
    <w:p w14:paraId="78C8248E" w14:textId="77777777" w:rsidR="00E13694" w:rsidRPr="004A792A" w:rsidRDefault="00E13694" w:rsidP="006F4EE0">
      <w:pPr>
        <w:spacing w:before="0"/>
        <w:jc w:val="both"/>
        <w:rPr>
          <w:lang w:val="en-US"/>
        </w:rPr>
        <w:sectPr w:rsidR="00E13694" w:rsidRPr="004A792A" w:rsidSect="00E13694">
          <w:pgSz w:w="16834" w:h="11909" w:orient="landscape" w:code="9"/>
          <w:pgMar w:top="1440" w:right="1440" w:bottom="1440" w:left="1440" w:header="720" w:footer="720" w:gutter="0"/>
          <w:cols w:space="720"/>
          <w:docGrid w:linePitch="360"/>
        </w:sectPr>
      </w:pPr>
    </w:p>
    <w:p w14:paraId="312F4636" w14:textId="2BCF6563" w:rsidR="00850240" w:rsidRPr="004A792A" w:rsidRDefault="00850240" w:rsidP="00850240">
      <w:pPr>
        <w:pStyle w:val="61"/>
        <w:shd w:val="clear" w:color="auto" w:fill="auto"/>
        <w:spacing w:before="120" w:line="240" w:lineRule="auto"/>
        <w:jc w:val="both"/>
        <w:rPr>
          <w:color w:val="000000"/>
          <w:sz w:val="22"/>
          <w:szCs w:val="22"/>
        </w:rPr>
      </w:pPr>
      <w:bookmarkStart w:id="26" w:name="_Ref519152151"/>
      <w:r w:rsidRPr="004D7AFF">
        <w:rPr>
          <w:b/>
          <w:color w:val="000000"/>
          <w:sz w:val="22"/>
          <w:szCs w:val="22"/>
        </w:rPr>
        <w:lastRenderedPageBreak/>
        <w:t>Gender segregation exists even within 2-digit STEM occupations</w:t>
      </w:r>
      <w:r w:rsidRPr="004A792A">
        <w:rPr>
          <w:color w:val="000000"/>
          <w:sz w:val="22"/>
          <w:szCs w:val="22"/>
        </w:rPr>
        <w:t>. For example, science and engineering female professionals are more concentrated in Cartographers and Surveyors (2165), Biologists, botanists, zoologists and related professionals (2131), Product and garment designers (2163)</w:t>
      </w:r>
      <w:r w:rsidR="00031299">
        <w:rPr>
          <w:color w:val="000000"/>
          <w:sz w:val="22"/>
          <w:szCs w:val="22"/>
        </w:rPr>
        <w:t>,</w:t>
      </w:r>
      <w:r w:rsidRPr="004A792A">
        <w:rPr>
          <w:color w:val="000000"/>
          <w:sz w:val="22"/>
          <w:szCs w:val="22"/>
        </w:rPr>
        <w:t xml:space="preserve"> and Chemical engineers (2145). Their male colleagues more often work as Electrical engineers (2151), Farming, forestry and fisheries advisers (2132), Civil engineers (2142)</w:t>
      </w:r>
      <w:r w:rsidR="00031299">
        <w:rPr>
          <w:color w:val="000000"/>
          <w:sz w:val="22"/>
          <w:szCs w:val="22"/>
        </w:rPr>
        <w:t>,</w:t>
      </w:r>
      <w:r w:rsidRPr="004A792A">
        <w:rPr>
          <w:color w:val="000000"/>
          <w:sz w:val="22"/>
          <w:szCs w:val="22"/>
        </w:rPr>
        <w:t xml:space="preserve"> and other science and engineering professionals. Similarly, ICT female professionals prevail in Database designers and administrators (2521) while male professionals dominate in the other ICT occupations.</w:t>
      </w:r>
    </w:p>
    <w:p w14:paraId="7DA54B5F" w14:textId="7DBEE0DB" w:rsidR="00237B50" w:rsidRPr="004A792A" w:rsidRDefault="00237B50" w:rsidP="00237B50">
      <w:pPr>
        <w:pStyle w:val="ad"/>
        <w:spacing w:before="240" w:after="0"/>
        <w:jc w:val="left"/>
        <w:rPr>
          <w:lang w:val="en-US"/>
        </w:rPr>
      </w:pPr>
      <w:bookmarkStart w:id="27" w:name="_Ref525117835"/>
      <w:bookmarkStart w:id="28" w:name="_Toc533211761"/>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5</w:t>
      </w:r>
      <w:r w:rsidRPr="004A792A">
        <w:rPr>
          <w:lang w:val="en-US"/>
        </w:rPr>
        <w:fldChar w:fldCharType="end"/>
      </w:r>
      <w:bookmarkEnd w:id="26"/>
      <w:bookmarkEnd w:id="27"/>
      <w:r w:rsidRPr="004A792A">
        <w:rPr>
          <w:lang w:val="en-US"/>
        </w:rPr>
        <w:t>: Female share in STEM 2-digit occupations (%), 2006-2016</w:t>
      </w:r>
      <w:bookmarkEnd w:id="28"/>
    </w:p>
    <w:p w14:paraId="49497FD6" w14:textId="77777777" w:rsidR="00237B50" w:rsidRPr="004A792A" w:rsidRDefault="006D2CC9" w:rsidP="00236AB4">
      <w:pPr>
        <w:jc w:val="center"/>
        <w:rPr>
          <w:lang w:val="en-US"/>
        </w:rPr>
      </w:pPr>
      <w:r w:rsidRPr="006D2CC9">
        <w:rPr>
          <w:noProof/>
          <w:lang w:val="ru-RU" w:eastAsia="ru-RU"/>
        </w:rPr>
        <w:drawing>
          <wp:inline distT="0" distB="0" distL="0" distR="0" wp14:anchorId="5B5028E3" wp14:editId="2D3D83E7">
            <wp:extent cx="4578350" cy="2228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350" cy="2228850"/>
                    </a:xfrm>
                    <a:prstGeom prst="rect">
                      <a:avLst/>
                    </a:prstGeom>
                    <a:noFill/>
                    <a:ln>
                      <a:noFill/>
                    </a:ln>
                  </pic:spPr>
                </pic:pic>
              </a:graphicData>
            </a:graphic>
          </wp:inline>
        </w:drawing>
      </w:r>
    </w:p>
    <w:p w14:paraId="23BA0631" w14:textId="77777777" w:rsidR="00E54BA9" w:rsidRPr="004A792A" w:rsidRDefault="00E54BA9" w:rsidP="00236AB4">
      <w:pPr>
        <w:jc w:val="center"/>
        <w:rPr>
          <w:lang w:val="en-US"/>
        </w:rPr>
      </w:pPr>
    </w:p>
    <w:p w14:paraId="328C4A49" w14:textId="654501AF" w:rsidR="00B54CE4" w:rsidRDefault="00CD17AD" w:rsidP="00937BBC">
      <w:pPr>
        <w:pStyle w:val="61"/>
        <w:jc w:val="both"/>
        <w:rPr>
          <w:color w:val="000000"/>
          <w:sz w:val="22"/>
          <w:szCs w:val="22"/>
        </w:rPr>
      </w:pPr>
      <w:r w:rsidRPr="004A792A">
        <w:rPr>
          <w:color w:val="000000"/>
          <w:sz w:val="22"/>
          <w:szCs w:val="22"/>
        </w:rPr>
        <w:t xml:space="preserve">Yet, </w:t>
      </w:r>
      <w:r w:rsidRPr="004D7AFF">
        <w:rPr>
          <w:b/>
          <w:color w:val="000000"/>
          <w:sz w:val="22"/>
          <w:szCs w:val="22"/>
        </w:rPr>
        <w:t>there are many occupations that have seen considerable change in their gender composition during 2006-2016</w:t>
      </w:r>
      <w:r w:rsidRPr="004A792A">
        <w:rPr>
          <w:color w:val="000000"/>
          <w:sz w:val="22"/>
          <w:szCs w:val="22"/>
        </w:rPr>
        <w:t xml:space="preserve"> </w:t>
      </w:r>
      <w:r w:rsidR="002A19EB" w:rsidRPr="004A792A">
        <w:rPr>
          <w:color w:val="000000"/>
          <w:sz w:val="22"/>
          <w:szCs w:val="22"/>
        </w:rPr>
        <w:t>(</w:t>
      </w:r>
      <w:r w:rsidR="002A19EB" w:rsidRPr="004A792A">
        <w:rPr>
          <w:color w:val="000000"/>
          <w:sz w:val="22"/>
          <w:szCs w:val="22"/>
        </w:rPr>
        <w:fldChar w:fldCharType="begin"/>
      </w:r>
      <w:r w:rsidR="002A19EB" w:rsidRPr="004A792A">
        <w:rPr>
          <w:color w:val="000000"/>
          <w:sz w:val="22"/>
          <w:szCs w:val="22"/>
        </w:rPr>
        <w:instrText xml:space="preserve"> REF _Ref519152430 \h  \* MERGEFORMAT </w:instrText>
      </w:r>
      <w:r w:rsidR="002A19EB" w:rsidRPr="004A792A">
        <w:rPr>
          <w:color w:val="000000"/>
          <w:sz w:val="22"/>
          <w:szCs w:val="22"/>
        </w:rPr>
      </w:r>
      <w:r w:rsidR="002A19EB" w:rsidRPr="004A792A">
        <w:rPr>
          <w:color w:val="000000"/>
          <w:sz w:val="22"/>
          <w:szCs w:val="22"/>
        </w:rPr>
        <w:fldChar w:fldCharType="separate"/>
      </w:r>
      <w:r w:rsidR="00C00C0D" w:rsidRPr="004D7AFF">
        <w:rPr>
          <w:sz w:val="22"/>
          <w:szCs w:val="22"/>
        </w:rPr>
        <w:t xml:space="preserve">Figure </w:t>
      </w:r>
      <w:r w:rsidR="00C00C0D" w:rsidRPr="004D7AFF">
        <w:rPr>
          <w:noProof/>
          <w:sz w:val="22"/>
          <w:szCs w:val="22"/>
        </w:rPr>
        <w:t>6</w:t>
      </w:r>
      <w:r w:rsidR="002A19EB" w:rsidRPr="004A792A">
        <w:rPr>
          <w:color w:val="000000"/>
          <w:sz w:val="22"/>
          <w:szCs w:val="22"/>
        </w:rPr>
        <w:fldChar w:fldCharType="end"/>
      </w:r>
      <w:r w:rsidR="002A19EB" w:rsidRPr="004A792A">
        <w:rPr>
          <w:color w:val="000000"/>
          <w:sz w:val="22"/>
          <w:szCs w:val="22"/>
        </w:rPr>
        <w:t>).</w:t>
      </w:r>
      <w:r w:rsidRPr="004A792A">
        <w:rPr>
          <w:bCs/>
          <w:sz w:val="22"/>
          <w:szCs w:val="22"/>
        </w:rPr>
        <w:t xml:space="preserve"> </w:t>
      </w:r>
      <w:r w:rsidRPr="004A792A">
        <w:rPr>
          <w:color w:val="000000"/>
          <w:sz w:val="22"/>
          <w:szCs w:val="22"/>
        </w:rPr>
        <w:t>Due to an increase in female share</w:t>
      </w:r>
      <w:r w:rsidR="00031299">
        <w:rPr>
          <w:color w:val="000000"/>
          <w:sz w:val="22"/>
          <w:szCs w:val="22"/>
        </w:rPr>
        <w:t>,</w:t>
      </w:r>
      <w:r w:rsidRPr="004A792A">
        <w:rPr>
          <w:color w:val="000000"/>
          <w:sz w:val="22"/>
          <w:szCs w:val="22"/>
        </w:rPr>
        <w:t xml:space="preserve"> some occupations that were male-dominated in 2006 have become more integrated in 2016, e.g. Managing directors and chief executives (a change in female share from 14.1 percent in 2006 to 55.8 percent in 2016), Retail and wholesale trade managers (33.6 and 45.2 percent, respectively), or even female-dominated, e.g. Professional services managers (36 and 69 percent, respectively). </w:t>
      </w:r>
    </w:p>
    <w:p w14:paraId="4B0AAD1C" w14:textId="235E8C5D" w:rsidR="00CD17AD" w:rsidRPr="004A792A" w:rsidRDefault="00E54BA9" w:rsidP="002A19EB">
      <w:pPr>
        <w:pStyle w:val="ad"/>
        <w:spacing w:before="240" w:after="0"/>
        <w:jc w:val="left"/>
        <w:rPr>
          <w:lang w:val="en-US"/>
        </w:rPr>
      </w:pPr>
      <w:bookmarkStart w:id="29" w:name="_Ref519152430"/>
      <w:bookmarkStart w:id="30" w:name="_Toc533211762"/>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6</w:t>
      </w:r>
      <w:r w:rsidRPr="004A792A">
        <w:rPr>
          <w:lang w:val="en-US"/>
        </w:rPr>
        <w:fldChar w:fldCharType="end"/>
      </w:r>
      <w:bookmarkEnd w:id="29"/>
      <w:r w:rsidRPr="004A792A">
        <w:rPr>
          <w:lang w:val="en-US"/>
        </w:rPr>
        <w:t>:</w:t>
      </w:r>
      <w:r w:rsidR="00CD17AD" w:rsidRPr="004A792A">
        <w:rPr>
          <w:lang w:val="en-US"/>
        </w:rPr>
        <w:t xml:space="preserve"> Occupations with the largest changes in female share from 2006 to 2016</w:t>
      </w:r>
      <w:bookmarkEnd w:id="30"/>
    </w:p>
    <w:p w14:paraId="739FD5CC" w14:textId="77777777" w:rsidR="00CD17AD" w:rsidRPr="004A792A" w:rsidRDefault="002A19EB" w:rsidP="002A19EB">
      <w:pPr>
        <w:pStyle w:val="61"/>
        <w:shd w:val="clear" w:color="auto" w:fill="auto"/>
        <w:tabs>
          <w:tab w:val="left" w:pos="236"/>
        </w:tabs>
        <w:spacing w:before="120" w:line="240" w:lineRule="auto"/>
        <w:rPr>
          <w:sz w:val="22"/>
          <w:szCs w:val="22"/>
        </w:rPr>
      </w:pPr>
      <w:r w:rsidRPr="004A792A">
        <w:rPr>
          <w:sz w:val="22"/>
          <w:szCs w:val="22"/>
        </w:rPr>
        <w:t xml:space="preserve">A) </w:t>
      </w:r>
      <w:r w:rsidR="00CD17AD" w:rsidRPr="004A792A">
        <w:rPr>
          <w:sz w:val="22"/>
          <w:szCs w:val="22"/>
        </w:rPr>
        <w:t>Occupations with the largest growth in female share from 2006 to 2016</w:t>
      </w:r>
    </w:p>
    <w:p w14:paraId="55D9F004" w14:textId="4DC437CD" w:rsidR="00CD17AD" w:rsidRDefault="00C00C0D" w:rsidP="002A55FF">
      <w:pPr>
        <w:jc w:val="center"/>
        <w:rPr>
          <w:lang w:val="en-US"/>
        </w:rPr>
      </w:pPr>
      <w:r>
        <w:rPr>
          <w:noProof/>
          <w:lang w:val="ru-RU" w:eastAsia="ru-RU"/>
        </w:rPr>
        <w:drawing>
          <wp:inline distT="0" distB="0" distL="0" distR="0" wp14:anchorId="129B59EE" wp14:editId="492E26E1">
            <wp:extent cx="5733415" cy="2240915"/>
            <wp:effectExtent l="0" t="0" r="635" b="698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D99B80" w14:textId="77777777" w:rsidR="00D34179" w:rsidRDefault="00D34179" w:rsidP="002A55FF">
      <w:pPr>
        <w:jc w:val="center"/>
        <w:rPr>
          <w:lang w:val="en-US"/>
        </w:rPr>
      </w:pPr>
    </w:p>
    <w:p w14:paraId="4B2F535E" w14:textId="77777777" w:rsidR="00D34179" w:rsidRDefault="00D34179" w:rsidP="002A55FF">
      <w:pPr>
        <w:jc w:val="center"/>
        <w:rPr>
          <w:lang w:val="en-US"/>
        </w:rPr>
      </w:pPr>
    </w:p>
    <w:p w14:paraId="719E1D21" w14:textId="77777777" w:rsidR="00D34179" w:rsidRPr="004A792A" w:rsidRDefault="00D34179" w:rsidP="002A55FF">
      <w:pPr>
        <w:jc w:val="center"/>
        <w:rPr>
          <w:lang w:val="en-US"/>
        </w:rPr>
      </w:pPr>
    </w:p>
    <w:p w14:paraId="59D06EFA" w14:textId="77777777" w:rsidR="00CD17AD" w:rsidRPr="004A792A" w:rsidRDefault="002A19EB" w:rsidP="002A19EB">
      <w:pPr>
        <w:pStyle w:val="61"/>
        <w:shd w:val="clear" w:color="auto" w:fill="auto"/>
        <w:tabs>
          <w:tab w:val="left" w:pos="236"/>
        </w:tabs>
        <w:spacing w:before="120" w:line="240" w:lineRule="auto"/>
        <w:rPr>
          <w:sz w:val="22"/>
          <w:szCs w:val="22"/>
        </w:rPr>
      </w:pPr>
      <w:r w:rsidRPr="004A792A">
        <w:rPr>
          <w:sz w:val="22"/>
          <w:szCs w:val="22"/>
        </w:rPr>
        <w:lastRenderedPageBreak/>
        <w:t xml:space="preserve">B) </w:t>
      </w:r>
      <w:r w:rsidR="00CD17AD" w:rsidRPr="004A792A">
        <w:rPr>
          <w:sz w:val="22"/>
          <w:szCs w:val="22"/>
        </w:rPr>
        <w:t>Occupations with the largest decline in female share from 2006 to 2016</w:t>
      </w:r>
    </w:p>
    <w:p w14:paraId="2C3E4D8E" w14:textId="6DB638AA" w:rsidR="00E54BA9" w:rsidRPr="00553FA3" w:rsidRDefault="00C00C0D" w:rsidP="002A55FF">
      <w:pPr>
        <w:pStyle w:val="63"/>
        <w:shd w:val="clear" w:color="auto" w:fill="auto"/>
        <w:spacing w:before="120" w:line="240" w:lineRule="auto"/>
        <w:jc w:val="center"/>
        <w:rPr>
          <w:lang w:val="ru-RU"/>
        </w:rPr>
      </w:pPr>
      <w:r>
        <w:rPr>
          <w:noProof/>
          <w:lang w:val="ru-RU" w:eastAsia="ru-RU"/>
        </w:rPr>
        <w:drawing>
          <wp:inline distT="0" distB="0" distL="0" distR="0" wp14:anchorId="6C598315" wp14:editId="70082191">
            <wp:extent cx="5733415" cy="2359025"/>
            <wp:effectExtent l="0" t="0" r="635" b="317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32072A" w14:textId="77777777" w:rsidR="00CD17AD" w:rsidRDefault="00CD17AD" w:rsidP="00E54BA9">
      <w:pPr>
        <w:pStyle w:val="63"/>
        <w:shd w:val="clear" w:color="auto" w:fill="auto"/>
        <w:spacing w:before="120" w:line="240" w:lineRule="auto"/>
        <w:jc w:val="left"/>
        <w:rPr>
          <w:sz w:val="20"/>
          <w:szCs w:val="20"/>
        </w:rPr>
      </w:pPr>
      <w:r w:rsidRPr="004A792A">
        <w:rPr>
          <w:sz w:val="20"/>
          <w:szCs w:val="20"/>
        </w:rPr>
        <w:t>Note: The figure shows all 3-digit occupations with the change in female share of over 10 percentage points in absolute value from 2006 to 2016. It excludes occupations with less than 20 observations in 2016.</w:t>
      </w:r>
    </w:p>
    <w:p w14:paraId="3349DA82" w14:textId="77777777" w:rsidR="00937BBC" w:rsidRDefault="00937BBC" w:rsidP="00937BBC">
      <w:pPr>
        <w:pStyle w:val="61"/>
        <w:jc w:val="both"/>
        <w:rPr>
          <w:color w:val="000000"/>
          <w:sz w:val="22"/>
          <w:szCs w:val="22"/>
        </w:rPr>
      </w:pPr>
    </w:p>
    <w:p w14:paraId="335077A2" w14:textId="355D57C5" w:rsidR="00937BBC" w:rsidRDefault="00937BBC" w:rsidP="00937BBC">
      <w:pPr>
        <w:pStyle w:val="61"/>
        <w:jc w:val="both"/>
        <w:rPr>
          <w:color w:val="000000"/>
          <w:sz w:val="22"/>
          <w:szCs w:val="22"/>
        </w:rPr>
      </w:pPr>
      <w:r w:rsidRPr="001F6FDC">
        <w:rPr>
          <w:b/>
          <w:color w:val="000000"/>
          <w:sz w:val="22"/>
          <w:szCs w:val="22"/>
        </w:rPr>
        <w:t>Some occupations that were relatively gender-balanced in 2006 have become more female-dominated</w:t>
      </w:r>
      <w:r w:rsidR="001F6FDC">
        <w:rPr>
          <w:b/>
          <w:color w:val="000000"/>
          <w:sz w:val="22"/>
          <w:szCs w:val="22"/>
        </w:rPr>
        <w:t xml:space="preserve"> in 2016</w:t>
      </w:r>
      <w:r w:rsidRPr="004A792A">
        <w:rPr>
          <w:color w:val="000000"/>
          <w:sz w:val="22"/>
          <w:szCs w:val="22"/>
        </w:rPr>
        <w:t xml:space="preserve">, e.g. Business services and administration managers (55.4 and 79.1 percent, respectively) and Administration professionals (55.9 and 75.6 percent, respectively). </w:t>
      </w:r>
      <w:r w:rsidRPr="00A70114">
        <w:rPr>
          <w:color w:val="000000"/>
          <w:sz w:val="22"/>
          <w:szCs w:val="22"/>
        </w:rPr>
        <w:t>An increase in the female share in highly-skilled managerial positions signals the opening of previously male-dominated positions to women</w:t>
      </w:r>
      <w:r w:rsidR="00913BFD">
        <w:rPr>
          <w:color w:val="000000"/>
          <w:sz w:val="22"/>
          <w:szCs w:val="22"/>
        </w:rPr>
        <w:t xml:space="preserve">, </w:t>
      </w:r>
      <w:r w:rsidR="001F6FDC" w:rsidRPr="001F6FDC">
        <w:rPr>
          <w:color w:val="000000"/>
          <w:sz w:val="22"/>
          <w:szCs w:val="22"/>
        </w:rPr>
        <w:t>probably due to a growing number of small businesses</w:t>
      </w:r>
      <w:r w:rsidR="00913BFD" w:rsidRPr="001F6FDC">
        <w:rPr>
          <w:color w:val="000000"/>
          <w:sz w:val="22"/>
          <w:szCs w:val="22"/>
        </w:rPr>
        <w:t>,</w:t>
      </w:r>
      <w:r w:rsidRPr="001F6FDC">
        <w:rPr>
          <w:color w:val="000000"/>
          <w:sz w:val="22"/>
          <w:szCs w:val="22"/>
        </w:rPr>
        <w:t xml:space="preserve"> and</w:t>
      </w:r>
      <w:r w:rsidRPr="00A70114">
        <w:rPr>
          <w:color w:val="000000"/>
          <w:sz w:val="22"/>
          <w:szCs w:val="22"/>
        </w:rPr>
        <w:t xml:space="preserve"> also serves as encouragement for other women to seek employment in the top occupational group.</w:t>
      </w:r>
      <w:r w:rsidRPr="0087464F">
        <w:rPr>
          <w:color w:val="000000"/>
          <w:sz w:val="22"/>
          <w:szCs w:val="22"/>
        </w:rPr>
        <w:t xml:space="preserve"> </w:t>
      </w:r>
      <w:r w:rsidRPr="004A792A">
        <w:rPr>
          <w:color w:val="000000"/>
          <w:sz w:val="22"/>
          <w:szCs w:val="22"/>
        </w:rPr>
        <w:t>Many other occupations have remained male-dominated despite a considerable increase in female share since 2006 (</w:t>
      </w:r>
      <w:r w:rsidRPr="004A792A">
        <w:rPr>
          <w:color w:val="000000"/>
          <w:sz w:val="22"/>
          <w:szCs w:val="22"/>
        </w:rPr>
        <w:fldChar w:fldCharType="begin"/>
      </w:r>
      <w:r w:rsidRPr="004A792A">
        <w:rPr>
          <w:color w:val="000000"/>
          <w:sz w:val="22"/>
          <w:szCs w:val="22"/>
        </w:rPr>
        <w:instrText xml:space="preserve"> REF _Ref519152430 \h  \* MERGEFORMAT </w:instrText>
      </w:r>
      <w:r w:rsidRPr="004A792A">
        <w:rPr>
          <w:color w:val="000000"/>
          <w:sz w:val="22"/>
          <w:szCs w:val="22"/>
        </w:rPr>
      </w:r>
      <w:r w:rsidRPr="004A792A">
        <w:rPr>
          <w:color w:val="000000"/>
          <w:sz w:val="22"/>
          <w:szCs w:val="22"/>
        </w:rPr>
        <w:fldChar w:fldCharType="separate"/>
      </w:r>
      <w:r w:rsidR="001F6FDC" w:rsidRPr="001F6FDC">
        <w:rPr>
          <w:sz w:val="22"/>
          <w:szCs w:val="22"/>
        </w:rPr>
        <w:t xml:space="preserve">Figure </w:t>
      </w:r>
      <w:r w:rsidR="001F6FDC" w:rsidRPr="001F6FDC">
        <w:rPr>
          <w:noProof/>
          <w:sz w:val="22"/>
          <w:szCs w:val="22"/>
        </w:rPr>
        <w:t>6</w:t>
      </w:r>
      <w:r w:rsidRPr="004A792A">
        <w:rPr>
          <w:color w:val="000000"/>
          <w:sz w:val="22"/>
          <w:szCs w:val="22"/>
        </w:rPr>
        <w:fldChar w:fldCharType="end"/>
      </w:r>
      <w:r w:rsidRPr="004A792A">
        <w:rPr>
          <w:color w:val="000000"/>
          <w:sz w:val="22"/>
          <w:szCs w:val="22"/>
        </w:rPr>
        <w:t>, panel A).</w:t>
      </w:r>
    </w:p>
    <w:p w14:paraId="310A437D" w14:textId="780328C9" w:rsidR="00937BBC" w:rsidRPr="006607EA" w:rsidRDefault="00913BFD" w:rsidP="00937BBC">
      <w:pPr>
        <w:pStyle w:val="61"/>
        <w:shd w:val="clear" w:color="auto" w:fill="auto"/>
        <w:spacing w:before="120" w:line="240" w:lineRule="auto"/>
        <w:jc w:val="both"/>
        <w:rPr>
          <w:color w:val="000000"/>
          <w:sz w:val="22"/>
          <w:szCs w:val="22"/>
        </w:rPr>
      </w:pPr>
      <w:r w:rsidRPr="001F6FDC">
        <w:rPr>
          <w:b/>
          <w:color w:val="000000"/>
          <w:sz w:val="22"/>
          <w:szCs w:val="22"/>
        </w:rPr>
        <w:t>C</w:t>
      </w:r>
      <w:r w:rsidR="00937BBC" w:rsidRPr="001F6FDC">
        <w:rPr>
          <w:b/>
          <w:color w:val="000000"/>
          <w:sz w:val="22"/>
          <w:szCs w:val="22"/>
        </w:rPr>
        <w:t>hanges towards more gender-balanced composition of occupations are also observed in previously female-dominated occupations due to a decrease in female share</w:t>
      </w:r>
      <w:r w:rsidR="001F6FDC">
        <w:rPr>
          <w:b/>
          <w:color w:val="000000"/>
          <w:sz w:val="22"/>
          <w:szCs w:val="22"/>
        </w:rPr>
        <w:t xml:space="preserve"> over 2006-2016</w:t>
      </w:r>
      <w:r w:rsidR="00937BBC" w:rsidRPr="004A792A">
        <w:rPr>
          <w:color w:val="000000"/>
          <w:sz w:val="22"/>
          <w:szCs w:val="22"/>
        </w:rPr>
        <w:t xml:space="preserve">, e.g. vocational education teachers, other teaching professionals, medical and pharmaceutical technicians, other health associate professionals, client </w:t>
      </w:r>
      <w:r w:rsidR="00937BBC" w:rsidRPr="001F6FDC">
        <w:rPr>
          <w:color w:val="000000"/>
          <w:sz w:val="22"/>
          <w:szCs w:val="22"/>
        </w:rPr>
        <w:t>information workers</w:t>
      </w:r>
      <w:r w:rsidR="00031299" w:rsidRPr="001F6FDC">
        <w:rPr>
          <w:color w:val="000000"/>
          <w:sz w:val="22"/>
          <w:szCs w:val="22"/>
        </w:rPr>
        <w:t>,</w:t>
      </w:r>
      <w:r w:rsidR="00937BBC" w:rsidRPr="001F6FDC">
        <w:rPr>
          <w:color w:val="000000"/>
          <w:sz w:val="22"/>
          <w:szCs w:val="22"/>
        </w:rPr>
        <w:t xml:space="preserve"> and waiters and bartenders (</w:t>
      </w:r>
      <w:r w:rsidR="00937BBC" w:rsidRPr="001F6FDC">
        <w:rPr>
          <w:color w:val="000000"/>
          <w:sz w:val="22"/>
          <w:szCs w:val="22"/>
        </w:rPr>
        <w:fldChar w:fldCharType="begin"/>
      </w:r>
      <w:r w:rsidR="00937BBC" w:rsidRPr="001F6FDC">
        <w:rPr>
          <w:color w:val="000000"/>
          <w:sz w:val="22"/>
          <w:szCs w:val="22"/>
        </w:rPr>
        <w:instrText xml:space="preserve"> REF _Ref519152430 \h  \* MERGEFORMAT </w:instrText>
      </w:r>
      <w:r w:rsidR="00937BBC" w:rsidRPr="001F6FDC">
        <w:rPr>
          <w:color w:val="000000"/>
          <w:sz w:val="22"/>
          <w:szCs w:val="22"/>
        </w:rPr>
      </w:r>
      <w:r w:rsidR="00937BBC" w:rsidRPr="001F6FDC">
        <w:rPr>
          <w:color w:val="000000"/>
          <w:sz w:val="22"/>
          <w:szCs w:val="22"/>
        </w:rPr>
        <w:fldChar w:fldCharType="separate"/>
      </w:r>
      <w:r w:rsidR="001F6FDC" w:rsidRPr="001F6FDC">
        <w:rPr>
          <w:sz w:val="22"/>
          <w:szCs w:val="22"/>
        </w:rPr>
        <w:t xml:space="preserve">Figure </w:t>
      </w:r>
      <w:r w:rsidR="001F6FDC" w:rsidRPr="001F6FDC">
        <w:rPr>
          <w:noProof/>
          <w:sz w:val="22"/>
          <w:szCs w:val="22"/>
        </w:rPr>
        <w:t>6</w:t>
      </w:r>
      <w:r w:rsidR="00937BBC" w:rsidRPr="001F6FDC">
        <w:rPr>
          <w:color w:val="000000"/>
          <w:sz w:val="22"/>
          <w:szCs w:val="22"/>
        </w:rPr>
        <w:fldChar w:fldCharType="end"/>
      </w:r>
      <w:r w:rsidR="00937BBC" w:rsidRPr="001F6FDC">
        <w:rPr>
          <w:color w:val="000000"/>
          <w:sz w:val="22"/>
          <w:szCs w:val="22"/>
        </w:rPr>
        <w:t xml:space="preserve">, panel B). </w:t>
      </w:r>
      <w:r w:rsidR="001F6FDC" w:rsidRPr="001F6FDC">
        <w:rPr>
          <w:color w:val="000000"/>
          <w:sz w:val="22"/>
          <w:szCs w:val="22"/>
        </w:rPr>
        <w:t>Decreasing female share in vocational education might signal that women were crowded out of the sector of vocational education which experienced net job losses in recent years</w:t>
      </w:r>
      <w:r w:rsidR="00937BBC" w:rsidRPr="001F6FDC">
        <w:rPr>
          <w:color w:val="000000"/>
          <w:sz w:val="22"/>
          <w:szCs w:val="22"/>
        </w:rPr>
        <w:t>.</w:t>
      </w:r>
      <w:r w:rsidR="00EC64E1" w:rsidRPr="001F6FDC">
        <w:rPr>
          <w:color w:val="000000"/>
          <w:sz w:val="22"/>
          <w:szCs w:val="22"/>
        </w:rPr>
        <w:t xml:space="preserve"> </w:t>
      </w:r>
      <w:r w:rsidR="007D2A7F" w:rsidRPr="001F6FDC">
        <w:rPr>
          <w:color w:val="000000"/>
          <w:sz w:val="22"/>
          <w:szCs w:val="22"/>
        </w:rPr>
        <w:t xml:space="preserve">Yet, a relative increase in the share of male teachers in vocational education </w:t>
      </w:r>
      <w:r w:rsidR="00EC64E1" w:rsidRPr="001F6FDC">
        <w:rPr>
          <w:color w:val="000000"/>
          <w:sz w:val="22"/>
          <w:szCs w:val="22"/>
        </w:rPr>
        <w:t xml:space="preserve">might have an important long-term effect of breaking down gender stereotypes </w:t>
      </w:r>
      <w:r w:rsidR="001F6FDC" w:rsidRPr="001F6FDC">
        <w:rPr>
          <w:color w:val="000000"/>
          <w:sz w:val="22"/>
          <w:szCs w:val="22"/>
        </w:rPr>
        <w:t xml:space="preserve">among students </w:t>
      </w:r>
      <w:r w:rsidR="00EC64E1" w:rsidRPr="001F6FDC">
        <w:rPr>
          <w:color w:val="000000"/>
          <w:sz w:val="22"/>
          <w:szCs w:val="22"/>
        </w:rPr>
        <w:t>and</w:t>
      </w:r>
      <w:r w:rsidR="00EC64E1" w:rsidRPr="00A70114">
        <w:rPr>
          <w:color w:val="000000"/>
          <w:sz w:val="22"/>
          <w:szCs w:val="22"/>
        </w:rPr>
        <w:t xml:space="preserve"> decreasing occupational segregation in the </w:t>
      </w:r>
      <w:r w:rsidR="00EC64E1" w:rsidRPr="006607EA">
        <w:rPr>
          <w:color w:val="000000"/>
          <w:sz w:val="22"/>
          <w:szCs w:val="22"/>
        </w:rPr>
        <w:t>future.</w:t>
      </w:r>
    </w:p>
    <w:p w14:paraId="71CBF0BE" w14:textId="342866B7" w:rsidR="00D34179" w:rsidRPr="00607595" w:rsidRDefault="001F6FDC" w:rsidP="00937BBC">
      <w:pPr>
        <w:pStyle w:val="61"/>
        <w:shd w:val="clear" w:color="auto" w:fill="auto"/>
        <w:spacing w:before="120" w:line="240" w:lineRule="auto"/>
        <w:jc w:val="both"/>
        <w:rPr>
          <w:color w:val="000000"/>
          <w:sz w:val="22"/>
          <w:szCs w:val="22"/>
        </w:rPr>
      </w:pPr>
      <w:r w:rsidRPr="001F6FDC">
        <w:rPr>
          <w:b/>
          <w:color w:val="000000"/>
          <w:sz w:val="22"/>
          <w:szCs w:val="22"/>
        </w:rPr>
        <w:t>Occupational segregation in Moldova is not directly linked with the differences in the level of skills between men and women</w:t>
      </w:r>
      <w:r w:rsidRPr="00607595">
        <w:rPr>
          <w:color w:val="000000"/>
          <w:sz w:val="22"/>
          <w:szCs w:val="22"/>
        </w:rPr>
        <w:t>.</w:t>
      </w:r>
      <w:r w:rsidR="00937BBC" w:rsidRPr="004A792A">
        <w:rPr>
          <w:color w:val="000000"/>
          <w:sz w:val="22"/>
          <w:szCs w:val="22"/>
        </w:rPr>
        <w:t xml:space="preserve"> </w:t>
      </w:r>
      <w:r>
        <w:rPr>
          <w:color w:val="000000"/>
          <w:sz w:val="22"/>
          <w:szCs w:val="22"/>
        </w:rPr>
        <w:t>When w</w:t>
      </w:r>
      <w:r w:rsidR="00937BBC" w:rsidRPr="004A792A">
        <w:rPr>
          <w:color w:val="000000"/>
          <w:sz w:val="22"/>
          <w:szCs w:val="22"/>
        </w:rPr>
        <w:t xml:space="preserve">e split all 2-digit ISCO </w:t>
      </w:r>
      <w:r w:rsidR="00937BBC" w:rsidRPr="00607595">
        <w:rPr>
          <w:color w:val="000000"/>
          <w:sz w:val="22"/>
          <w:szCs w:val="22"/>
        </w:rPr>
        <w:t>occupations into female-dominated, mixed</w:t>
      </w:r>
      <w:r w:rsidR="00031299">
        <w:rPr>
          <w:color w:val="000000"/>
          <w:sz w:val="22"/>
          <w:szCs w:val="22"/>
        </w:rPr>
        <w:t>,</w:t>
      </w:r>
      <w:r w:rsidR="00937BBC" w:rsidRPr="00607595">
        <w:rPr>
          <w:color w:val="000000"/>
          <w:sz w:val="22"/>
          <w:szCs w:val="22"/>
        </w:rPr>
        <w:t xml:space="preserve"> and male-dominated occupations using cut-offs of 40 and 60 percent</w:t>
      </w:r>
      <w:r w:rsidR="00031299">
        <w:rPr>
          <w:color w:val="000000"/>
          <w:sz w:val="22"/>
          <w:szCs w:val="22"/>
        </w:rPr>
        <w:t xml:space="preserve"> of female share in employment</w:t>
      </w:r>
      <w:r>
        <w:rPr>
          <w:color w:val="000000"/>
          <w:sz w:val="22"/>
          <w:szCs w:val="22"/>
        </w:rPr>
        <w:t xml:space="preserve"> and u</w:t>
      </w:r>
      <w:r w:rsidR="00D34179" w:rsidRPr="00607595">
        <w:rPr>
          <w:color w:val="000000"/>
          <w:sz w:val="22"/>
          <w:szCs w:val="22"/>
        </w:rPr>
        <w:t>s</w:t>
      </w:r>
      <w:r>
        <w:rPr>
          <w:color w:val="000000"/>
          <w:sz w:val="22"/>
          <w:szCs w:val="22"/>
        </w:rPr>
        <w:t>e</w:t>
      </w:r>
      <w:r w:rsidR="00D34179" w:rsidRPr="00607595">
        <w:rPr>
          <w:color w:val="000000"/>
          <w:sz w:val="22"/>
          <w:szCs w:val="22"/>
        </w:rPr>
        <w:t xml:space="preserve"> the ILO four-point skill-level scale </w:t>
      </w:r>
      <w:r w:rsidR="007C0E6F" w:rsidRPr="00607595">
        <w:rPr>
          <w:color w:val="000000"/>
          <w:sz w:val="22"/>
          <w:szCs w:val="22"/>
        </w:rPr>
        <w:t xml:space="preserve">corresponding to ISCO-based 1-digit </w:t>
      </w:r>
      <w:r w:rsidR="00D34179" w:rsidRPr="00607595">
        <w:rPr>
          <w:color w:val="000000"/>
          <w:sz w:val="22"/>
          <w:szCs w:val="22"/>
        </w:rPr>
        <w:t>occupation</w:t>
      </w:r>
      <w:r w:rsidR="007C0E6F" w:rsidRPr="00607595">
        <w:rPr>
          <w:color w:val="000000"/>
          <w:sz w:val="22"/>
          <w:szCs w:val="22"/>
        </w:rPr>
        <w:t xml:space="preserve">al groups </w:t>
      </w:r>
      <w:r w:rsidR="00D34179" w:rsidRPr="00607595">
        <w:rPr>
          <w:color w:val="000000"/>
          <w:sz w:val="22"/>
          <w:szCs w:val="22"/>
        </w:rPr>
        <w:t>(ILO, 2012)</w:t>
      </w:r>
      <w:r>
        <w:rPr>
          <w:color w:val="000000"/>
          <w:sz w:val="22"/>
          <w:szCs w:val="22"/>
        </w:rPr>
        <w:t>,</w:t>
      </w:r>
      <w:r w:rsidR="007C0E6F" w:rsidRPr="00607595">
        <w:rPr>
          <w:rStyle w:val="af9"/>
          <w:color w:val="000000"/>
          <w:sz w:val="22"/>
          <w:szCs w:val="22"/>
        </w:rPr>
        <w:footnoteReference w:id="6"/>
      </w:r>
      <w:r w:rsidR="00C71168" w:rsidRPr="00607595">
        <w:rPr>
          <w:color w:val="000000"/>
          <w:sz w:val="22"/>
          <w:szCs w:val="22"/>
        </w:rPr>
        <w:t xml:space="preserve"> we can </w:t>
      </w:r>
      <w:r w:rsidR="00031299">
        <w:rPr>
          <w:color w:val="000000"/>
          <w:sz w:val="22"/>
          <w:szCs w:val="22"/>
        </w:rPr>
        <w:t>observe</w:t>
      </w:r>
      <w:r w:rsidR="00031299" w:rsidRPr="00607595">
        <w:rPr>
          <w:color w:val="000000"/>
          <w:sz w:val="22"/>
          <w:szCs w:val="22"/>
        </w:rPr>
        <w:t xml:space="preserve"> </w:t>
      </w:r>
      <w:r w:rsidR="00C71168" w:rsidRPr="00607595">
        <w:rPr>
          <w:color w:val="000000"/>
          <w:sz w:val="22"/>
          <w:szCs w:val="22"/>
        </w:rPr>
        <w:t xml:space="preserve">that </w:t>
      </w:r>
      <w:r w:rsidR="00A90765" w:rsidRPr="00607595">
        <w:rPr>
          <w:color w:val="000000"/>
          <w:sz w:val="22"/>
          <w:szCs w:val="22"/>
        </w:rPr>
        <w:t>female-dominated</w:t>
      </w:r>
      <w:r w:rsidR="00A90765">
        <w:rPr>
          <w:color w:val="000000"/>
          <w:sz w:val="22"/>
          <w:szCs w:val="22"/>
        </w:rPr>
        <w:t xml:space="preserve"> </w:t>
      </w:r>
      <w:r w:rsidR="00F465F2">
        <w:rPr>
          <w:color w:val="000000"/>
          <w:sz w:val="22"/>
          <w:szCs w:val="22"/>
        </w:rPr>
        <w:t>occupations, as well as</w:t>
      </w:r>
      <w:r w:rsidR="00A90765">
        <w:rPr>
          <w:color w:val="000000"/>
          <w:sz w:val="22"/>
          <w:szCs w:val="22"/>
        </w:rPr>
        <w:t xml:space="preserve"> male-dominated </w:t>
      </w:r>
      <w:r w:rsidR="00F465F2">
        <w:rPr>
          <w:color w:val="000000"/>
          <w:sz w:val="22"/>
          <w:szCs w:val="22"/>
        </w:rPr>
        <w:t xml:space="preserve">ones, </w:t>
      </w:r>
      <w:r w:rsidR="00A90765">
        <w:rPr>
          <w:color w:val="000000"/>
          <w:sz w:val="22"/>
          <w:szCs w:val="22"/>
        </w:rPr>
        <w:t xml:space="preserve">belong to the different groups of occupations in terms of the </w:t>
      </w:r>
      <w:r w:rsidR="00D34179" w:rsidRPr="00607595">
        <w:rPr>
          <w:color w:val="000000"/>
          <w:sz w:val="22"/>
          <w:szCs w:val="22"/>
        </w:rPr>
        <w:t xml:space="preserve">skill level </w:t>
      </w:r>
      <w:r w:rsidR="00A90765">
        <w:rPr>
          <w:color w:val="000000"/>
          <w:sz w:val="22"/>
          <w:szCs w:val="22"/>
        </w:rPr>
        <w:t>(</w:t>
      </w:r>
      <w:r w:rsidR="00A90765" w:rsidRPr="001F6FDC">
        <w:rPr>
          <w:color w:val="000000"/>
          <w:sz w:val="22"/>
          <w:szCs w:val="22"/>
        </w:rPr>
        <w:fldChar w:fldCharType="begin"/>
      </w:r>
      <w:r w:rsidR="00A90765" w:rsidRPr="001F6FDC">
        <w:rPr>
          <w:color w:val="000000"/>
          <w:sz w:val="22"/>
          <w:szCs w:val="22"/>
        </w:rPr>
        <w:instrText xml:space="preserve"> REF _Ref525305983 \h </w:instrText>
      </w:r>
      <w:r w:rsidR="00A90765">
        <w:rPr>
          <w:color w:val="000000"/>
          <w:sz w:val="22"/>
          <w:szCs w:val="22"/>
        </w:rPr>
        <w:instrText xml:space="preserve"> \* MERGEFORMAT </w:instrText>
      </w:r>
      <w:r w:rsidR="00A90765" w:rsidRPr="001F6FDC">
        <w:rPr>
          <w:color w:val="000000"/>
          <w:sz w:val="22"/>
          <w:szCs w:val="22"/>
        </w:rPr>
      </w:r>
      <w:r w:rsidR="00A90765" w:rsidRPr="001F6FDC">
        <w:rPr>
          <w:color w:val="000000"/>
          <w:sz w:val="22"/>
          <w:szCs w:val="22"/>
        </w:rPr>
        <w:fldChar w:fldCharType="separate"/>
      </w:r>
      <w:r w:rsidR="00A90765" w:rsidRPr="001F6FDC">
        <w:rPr>
          <w:sz w:val="22"/>
          <w:szCs w:val="22"/>
        </w:rPr>
        <w:t>Table A-</w:t>
      </w:r>
      <w:r w:rsidR="00A90765" w:rsidRPr="001F6FDC">
        <w:rPr>
          <w:noProof/>
          <w:sz w:val="22"/>
          <w:szCs w:val="22"/>
        </w:rPr>
        <w:t>2</w:t>
      </w:r>
      <w:r w:rsidR="00A90765" w:rsidRPr="001F6FDC">
        <w:rPr>
          <w:color w:val="000000"/>
          <w:sz w:val="22"/>
          <w:szCs w:val="22"/>
        </w:rPr>
        <w:fldChar w:fldCharType="end"/>
      </w:r>
      <w:r w:rsidR="00A90765">
        <w:rPr>
          <w:color w:val="000000"/>
          <w:sz w:val="22"/>
          <w:szCs w:val="22"/>
        </w:rPr>
        <w:t>)</w:t>
      </w:r>
      <w:r w:rsidR="00D34179" w:rsidRPr="00607595">
        <w:rPr>
          <w:color w:val="000000"/>
          <w:sz w:val="22"/>
          <w:szCs w:val="22"/>
        </w:rPr>
        <w:t>.</w:t>
      </w:r>
    </w:p>
    <w:p w14:paraId="4BC5DFFD" w14:textId="36C22837" w:rsidR="00F465F2" w:rsidRPr="00474FA5" w:rsidRDefault="00E25EBC" w:rsidP="00474FA5">
      <w:pPr>
        <w:pStyle w:val="61"/>
        <w:shd w:val="clear" w:color="auto" w:fill="auto"/>
        <w:spacing w:before="120" w:line="240" w:lineRule="auto"/>
        <w:jc w:val="both"/>
        <w:rPr>
          <w:color w:val="000000"/>
          <w:sz w:val="22"/>
          <w:szCs w:val="22"/>
        </w:rPr>
      </w:pPr>
      <w:r>
        <w:rPr>
          <w:b/>
          <w:color w:val="000000"/>
          <w:sz w:val="22"/>
          <w:szCs w:val="22"/>
        </w:rPr>
        <w:t>T</w:t>
      </w:r>
      <w:r w:rsidR="00937BBC" w:rsidRPr="00E25EBC">
        <w:rPr>
          <w:b/>
          <w:color w:val="000000"/>
          <w:sz w:val="22"/>
          <w:szCs w:val="22"/>
        </w:rPr>
        <w:t>he proportion of men working in female-dominated occupations is larger than the proportion of women working in male-dominated occupations</w:t>
      </w:r>
      <w:r>
        <w:rPr>
          <w:b/>
          <w:color w:val="000000"/>
          <w:sz w:val="22"/>
          <w:szCs w:val="22"/>
        </w:rPr>
        <w:t xml:space="preserve"> </w:t>
      </w:r>
      <w:r w:rsidRPr="00661FF3">
        <w:rPr>
          <w:color w:val="000000"/>
          <w:sz w:val="22"/>
          <w:szCs w:val="22"/>
        </w:rPr>
        <w:t>(</w:t>
      </w:r>
      <w:r w:rsidRPr="00661FF3">
        <w:rPr>
          <w:color w:val="000000"/>
        </w:rPr>
        <w:fldChar w:fldCharType="begin"/>
      </w:r>
      <w:r w:rsidRPr="00661FF3">
        <w:rPr>
          <w:color w:val="000000"/>
          <w:sz w:val="22"/>
          <w:szCs w:val="22"/>
        </w:rPr>
        <w:instrText xml:space="preserve"> REF _Ref519153038 \h  \* MERGEFORMAT </w:instrText>
      </w:r>
      <w:r w:rsidRPr="00661FF3">
        <w:rPr>
          <w:color w:val="000000"/>
        </w:rPr>
      </w:r>
      <w:r w:rsidRPr="00661FF3">
        <w:rPr>
          <w:color w:val="000000"/>
        </w:rPr>
        <w:fldChar w:fldCharType="separate"/>
      </w:r>
      <w:r w:rsidRPr="00661FF3">
        <w:rPr>
          <w:color w:val="000000"/>
          <w:sz w:val="22"/>
          <w:szCs w:val="22"/>
        </w:rPr>
        <w:t>Table 2</w:t>
      </w:r>
      <w:r w:rsidRPr="00661FF3">
        <w:rPr>
          <w:color w:val="000000"/>
        </w:rPr>
        <w:fldChar w:fldCharType="end"/>
      </w:r>
      <w:r w:rsidRPr="00661FF3">
        <w:rPr>
          <w:color w:val="000000"/>
          <w:sz w:val="22"/>
          <w:szCs w:val="22"/>
        </w:rPr>
        <w:t>).</w:t>
      </w:r>
      <w:r w:rsidR="00937BBC" w:rsidRPr="00661FF3">
        <w:rPr>
          <w:color w:val="000000"/>
          <w:sz w:val="22"/>
          <w:szCs w:val="22"/>
        </w:rPr>
        <w:t xml:space="preserve"> </w:t>
      </w:r>
      <w:r w:rsidRPr="00661FF3">
        <w:rPr>
          <w:color w:val="000000"/>
          <w:sz w:val="22"/>
          <w:szCs w:val="22"/>
        </w:rPr>
        <w:t xml:space="preserve">Besides, the share of men in female-dominated occupations </w:t>
      </w:r>
      <w:r w:rsidR="00937BBC" w:rsidRPr="00661FF3">
        <w:rPr>
          <w:color w:val="000000"/>
          <w:sz w:val="22"/>
          <w:szCs w:val="22"/>
        </w:rPr>
        <w:t xml:space="preserve">increased </w:t>
      </w:r>
      <w:r w:rsidRPr="00661FF3">
        <w:rPr>
          <w:color w:val="000000"/>
          <w:sz w:val="22"/>
          <w:szCs w:val="22"/>
        </w:rPr>
        <w:t>whereas the share of women in male-dominated occupations</w:t>
      </w:r>
      <w:r w:rsidR="00937BBC" w:rsidRPr="00661FF3">
        <w:rPr>
          <w:color w:val="000000"/>
          <w:sz w:val="22"/>
          <w:szCs w:val="22"/>
        </w:rPr>
        <w:t>, on the contrary, decreased</w:t>
      </w:r>
      <w:r w:rsidRPr="00661FF3">
        <w:rPr>
          <w:color w:val="000000"/>
          <w:sz w:val="22"/>
          <w:szCs w:val="22"/>
        </w:rPr>
        <w:t xml:space="preserve"> during 2014-2016</w:t>
      </w:r>
      <w:r w:rsidR="00937BBC" w:rsidRPr="00661FF3">
        <w:rPr>
          <w:color w:val="000000"/>
          <w:sz w:val="22"/>
          <w:szCs w:val="22"/>
        </w:rPr>
        <w:t xml:space="preserve">. </w:t>
      </w:r>
      <w:r w:rsidRPr="00661FF3">
        <w:rPr>
          <w:color w:val="000000"/>
          <w:sz w:val="22"/>
          <w:szCs w:val="22"/>
        </w:rPr>
        <w:t xml:space="preserve">One of the possible interpretations of this </w:t>
      </w:r>
      <w:r w:rsidR="00937BBC" w:rsidRPr="00661FF3">
        <w:rPr>
          <w:color w:val="000000"/>
          <w:sz w:val="22"/>
          <w:szCs w:val="22"/>
        </w:rPr>
        <w:t xml:space="preserve">finding </w:t>
      </w:r>
      <w:r w:rsidRPr="00661FF3">
        <w:rPr>
          <w:color w:val="000000"/>
          <w:sz w:val="22"/>
          <w:szCs w:val="22"/>
        </w:rPr>
        <w:t xml:space="preserve">is </w:t>
      </w:r>
      <w:r w:rsidR="00937BBC" w:rsidRPr="00661FF3">
        <w:rPr>
          <w:color w:val="000000"/>
          <w:sz w:val="22"/>
          <w:szCs w:val="22"/>
        </w:rPr>
        <w:t xml:space="preserve">that </w:t>
      </w:r>
      <w:r w:rsidR="00937BBC" w:rsidRPr="00661FF3">
        <w:rPr>
          <w:color w:val="000000"/>
          <w:sz w:val="22"/>
          <w:szCs w:val="22"/>
        </w:rPr>
        <w:lastRenderedPageBreak/>
        <w:t xml:space="preserve">entry of female workers to male-dominated occupations </w:t>
      </w:r>
      <w:r w:rsidR="00031299" w:rsidRPr="00661FF3">
        <w:rPr>
          <w:color w:val="000000"/>
          <w:sz w:val="22"/>
          <w:szCs w:val="22"/>
        </w:rPr>
        <w:t xml:space="preserve">has </w:t>
      </w:r>
      <w:r w:rsidR="00937BBC" w:rsidRPr="00661FF3">
        <w:rPr>
          <w:color w:val="000000"/>
          <w:sz w:val="22"/>
          <w:szCs w:val="22"/>
        </w:rPr>
        <w:t xml:space="preserve">become more limited </w:t>
      </w:r>
      <w:r w:rsidR="00031299" w:rsidRPr="00661FF3">
        <w:rPr>
          <w:color w:val="000000"/>
          <w:sz w:val="22"/>
          <w:szCs w:val="22"/>
        </w:rPr>
        <w:t xml:space="preserve">compared to </w:t>
      </w:r>
      <w:r w:rsidR="00937BBC" w:rsidRPr="00661FF3">
        <w:rPr>
          <w:color w:val="000000"/>
          <w:sz w:val="22"/>
          <w:szCs w:val="22"/>
        </w:rPr>
        <w:t>men's entry to female-dominated occupations. At the same time, a decrease in the shares of men in male-dominated occupations and of women in female-dominated occupations can be interpreted as a positive development towards higher proportion of both men and women employed in mixed occupations, and therefore, a more gender-balanced composition of employment in Moldova.</w:t>
      </w:r>
      <w:r w:rsidR="002D0FD7" w:rsidRPr="00661FF3">
        <w:rPr>
          <w:color w:val="000000"/>
          <w:sz w:val="22"/>
          <w:szCs w:val="22"/>
        </w:rPr>
        <w:t xml:space="preserve"> However, a closer look at mixed occupations in </w:t>
      </w:r>
      <w:r w:rsidR="002D0FD7" w:rsidRPr="00661FF3">
        <w:rPr>
          <w:color w:val="000000"/>
        </w:rPr>
        <w:fldChar w:fldCharType="begin"/>
      </w:r>
      <w:r w:rsidR="002D0FD7" w:rsidRPr="00661FF3">
        <w:rPr>
          <w:color w:val="000000"/>
          <w:sz w:val="22"/>
          <w:szCs w:val="22"/>
        </w:rPr>
        <w:instrText xml:space="preserve"> REF _Ref525305983 \h  \* MERGEFORMAT </w:instrText>
      </w:r>
      <w:r w:rsidR="002D0FD7" w:rsidRPr="00661FF3">
        <w:rPr>
          <w:color w:val="000000"/>
        </w:rPr>
      </w:r>
      <w:r w:rsidR="002D0FD7" w:rsidRPr="00661FF3">
        <w:rPr>
          <w:color w:val="000000"/>
        </w:rPr>
        <w:fldChar w:fldCharType="separate"/>
      </w:r>
      <w:r w:rsidR="002D0FD7" w:rsidRPr="00661FF3">
        <w:rPr>
          <w:color w:val="000000"/>
          <w:sz w:val="22"/>
          <w:szCs w:val="22"/>
        </w:rPr>
        <w:t>Table A-2</w:t>
      </w:r>
      <w:r w:rsidR="002D0FD7" w:rsidRPr="00661FF3">
        <w:rPr>
          <w:color w:val="000000"/>
        </w:rPr>
        <w:fldChar w:fldCharType="end"/>
      </w:r>
      <w:r w:rsidR="002D0FD7" w:rsidRPr="00661FF3">
        <w:rPr>
          <w:color w:val="000000"/>
          <w:sz w:val="22"/>
          <w:szCs w:val="22"/>
        </w:rPr>
        <w:t xml:space="preserve"> reveals that this gender-balanced composition is mainly due to a widespread employment of both women and men in occupations (Market-oriented skilled agricultural workers, Subsistence farmers, fishers, hunters and gatherers and Agricultural, forestry and fishery laborers).</w:t>
      </w:r>
    </w:p>
    <w:p w14:paraId="189D1CB7" w14:textId="596B7D5E" w:rsidR="00E96C47" w:rsidRPr="004A792A" w:rsidRDefault="00E96C47" w:rsidP="00E96C47">
      <w:pPr>
        <w:pStyle w:val="ad"/>
        <w:spacing w:before="240"/>
        <w:jc w:val="left"/>
        <w:rPr>
          <w:lang w:val="en-US"/>
        </w:rPr>
      </w:pPr>
      <w:bookmarkStart w:id="31" w:name="_Ref519153038"/>
      <w:bookmarkStart w:id="32" w:name="_Toc533211792"/>
      <w:r w:rsidRPr="004A79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2</w:t>
      </w:r>
      <w:r w:rsidR="007B7CCA">
        <w:rPr>
          <w:lang w:val="en-US"/>
        </w:rPr>
        <w:fldChar w:fldCharType="end"/>
      </w:r>
      <w:bookmarkEnd w:id="31"/>
      <w:r w:rsidRPr="004A792A">
        <w:rPr>
          <w:lang w:val="en-US"/>
        </w:rPr>
        <w:t>: Employment in female/male-dominated and mixed occupations (% of total employment), 2014-2016</w:t>
      </w:r>
      <w:bookmarkEnd w:id="32"/>
    </w:p>
    <w:tbl>
      <w:tblPr>
        <w:tblOverlap w:val="never"/>
        <w:tblW w:w="9062" w:type="dxa"/>
        <w:tblInd w:w="10" w:type="dxa"/>
        <w:tblLayout w:type="fixed"/>
        <w:tblCellMar>
          <w:left w:w="10" w:type="dxa"/>
          <w:right w:w="10" w:type="dxa"/>
        </w:tblCellMar>
        <w:tblLook w:val="04A0" w:firstRow="1" w:lastRow="0" w:firstColumn="1" w:lastColumn="0" w:noHBand="0" w:noVBand="1"/>
      </w:tblPr>
      <w:tblGrid>
        <w:gridCol w:w="1045"/>
        <w:gridCol w:w="1020"/>
        <w:gridCol w:w="917"/>
        <w:gridCol w:w="1255"/>
        <w:gridCol w:w="592"/>
        <w:gridCol w:w="1020"/>
        <w:gridCol w:w="913"/>
        <w:gridCol w:w="1263"/>
        <w:gridCol w:w="1037"/>
      </w:tblGrid>
      <w:tr w:rsidR="0047772E" w:rsidRPr="00EF6D46" w14:paraId="1C0FD281" w14:textId="77777777" w:rsidTr="00EC4515">
        <w:tc>
          <w:tcPr>
            <w:tcW w:w="1045" w:type="dxa"/>
            <w:tcBorders>
              <w:top w:val="single" w:sz="4" w:space="0" w:color="auto"/>
            </w:tcBorders>
            <w:shd w:val="clear" w:color="auto" w:fill="FFFFFF"/>
          </w:tcPr>
          <w:p w14:paraId="5E6364C2" w14:textId="77777777" w:rsidR="0047772E" w:rsidRPr="00EF6D46" w:rsidRDefault="0047772E" w:rsidP="0047772E">
            <w:pPr>
              <w:spacing w:before="0"/>
              <w:rPr>
                <w:rFonts w:cstheme="minorHAnsi"/>
                <w:sz w:val="20"/>
                <w:szCs w:val="20"/>
                <w:lang w:val="en-US"/>
              </w:rPr>
            </w:pPr>
          </w:p>
        </w:tc>
        <w:tc>
          <w:tcPr>
            <w:tcW w:w="3784" w:type="dxa"/>
            <w:gridSpan w:val="4"/>
            <w:tcBorders>
              <w:top w:val="single" w:sz="4" w:space="0" w:color="auto"/>
              <w:left w:val="single" w:sz="4" w:space="0" w:color="auto"/>
            </w:tcBorders>
            <w:shd w:val="clear" w:color="auto" w:fill="FFFFFF"/>
          </w:tcPr>
          <w:p w14:paraId="261D3CDF" w14:textId="77777777" w:rsidR="0047772E" w:rsidRPr="00EF6D46" w:rsidRDefault="0047772E" w:rsidP="0047772E">
            <w:pPr>
              <w:pStyle w:val="61"/>
              <w:shd w:val="clear" w:color="auto" w:fill="auto"/>
              <w:spacing w:line="240" w:lineRule="auto"/>
              <w:jc w:val="center"/>
              <w:rPr>
                <w:rStyle w:val="25"/>
                <w:rFonts w:asciiTheme="minorHAnsi" w:hAnsiTheme="minorHAnsi" w:cstheme="minorHAnsi"/>
                <w:sz w:val="20"/>
                <w:szCs w:val="20"/>
              </w:rPr>
            </w:pPr>
            <w:r w:rsidRPr="00EF6D46">
              <w:rPr>
                <w:rStyle w:val="85pt"/>
                <w:rFonts w:asciiTheme="minorHAnsi" w:hAnsiTheme="minorHAnsi" w:cstheme="minorHAnsi"/>
                <w:sz w:val="20"/>
                <w:szCs w:val="20"/>
              </w:rPr>
              <w:t>Based on 2-digit ISCO</w:t>
            </w:r>
          </w:p>
        </w:tc>
        <w:tc>
          <w:tcPr>
            <w:tcW w:w="4233" w:type="dxa"/>
            <w:gridSpan w:val="4"/>
            <w:tcBorders>
              <w:top w:val="single" w:sz="4" w:space="0" w:color="auto"/>
              <w:left w:val="single" w:sz="4" w:space="0" w:color="auto"/>
            </w:tcBorders>
            <w:shd w:val="clear" w:color="auto" w:fill="FFFFFF"/>
          </w:tcPr>
          <w:p w14:paraId="4AB4FB0C" w14:textId="77777777" w:rsidR="0047772E" w:rsidRPr="00EF6D46" w:rsidRDefault="0047772E" w:rsidP="0047772E">
            <w:pPr>
              <w:pStyle w:val="61"/>
              <w:shd w:val="clear" w:color="auto" w:fill="auto"/>
              <w:spacing w:line="240" w:lineRule="auto"/>
              <w:jc w:val="center"/>
              <w:rPr>
                <w:rStyle w:val="25"/>
                <w:rFonts w:asciiTheme="minorHAnsi" w:hAnsiTheme="minorHAnsi" w:cstheme="minorHAnsi"/>
                <w:sz w:val="20"/>
                <w:szCs w:val="20"/>
              </w:rPr>
            </w:pPr>
            <w:r w:rsidRPr="00EF6D46">
              <w:rPr>
                <w:rStyle w:val="85pt"/>
                <w:rFonts w:asciiTheme="minorHAnsi" w:hAnsiTheme="minorHAnsi" w:cstheme="minorHAnsi"/>
                <w:sz w:val="20"/>
                <w:szCs w:val="20"/>
              </w:rPr>
              <w:t>Based on 3-digit ISCO</w:t>
            </w:r>
          </w:p>
        </w:tc>
      </w:tr>
      <w:tr w:rsidR="00E96C47" w:rsidRPr="00EF6D46" w14:paraId="71AF83B6" w14:textId="77777777" w:rsidTr="00EC4515">
        <w:tc>
          <w:tcPr>
            <w:tcW w:w="1045" w:type="dxa"/>
            <w:tcBorders>
              <w:bottom w:val="single" w:sz="4" w:space="0" w:color="auto"/>
            </w:tcBorders>
            <w:shd w:val="clear" w:color="auto" w:fill="FFFFFF"/>
          </w:tcPr>
          <w:p w14:paraId="260B5BDB" w14:textId="77777777" w:rsidR="00E96C47" w:rsidRPr="00EF6D46" w:rsidRDefault="00E96C47" w:rsidP="0047772E">
            <w:pPr>
              <w:pStyle w:val="61"/>
              <w:shd w:val="clear" w:color="auto" w:fill="auto"/>
              <w:spacing w:line="240" w:lineRule="auto"/>
              <w:rPr>
                <w:rStyle w:val="85pt"/>
                <w:rFonts w:asciiTheme="minorHAnsi" w:hAnsiTheme="minorHAnsi" w:cstheme="minorHAnsi"/>
                <w:sz w:val="20"/>
                <w:szCs w:val="20"/>
              </w:rPr>
            </w:pPr>
          </w:p>
        </w:tc>
        <w:tc>
          <w:tcPr>
            <w:tcW w:w="1020" w:type="dxa"/>
            <w:tcBorders>
              <w:left w:val="single" w:sz="4" w:space="0" w:color="auto"/>
              <w:bottom w:val="single" w:sz="4" w:space="0" w:color="auto"/>
            </w:tcBorders>
            <w:shd w:val="clear" w:color="auto" w:fill="FFFFFF"/>
          </w:tcPr>
          <w:p w14:paraId="1CCFB4DB"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Female-dominated</w:t>
            </w:r>
          </w:p>
        </w:tc>
        <w:tc>
          <w:tcPr>
            <w:tcW w:w="917" w:type="dxa"/>
            <w:tcBorders>
              <w:bottom w:val="single" w:sz="4" w:space="0" w:color="auto"/>
            </w:tcBorders>
            <w:shd w:val="clear" w:color="auto" w:fill="FFFFFF"/>
          </w:tcPr>
          <w:p w14:paraId="6759F64B" w14:textId="77777777" w:rsidR="00E96C47" w:rsidRPr="00EF6D46" w:rsidRDefault="00E96C47" w:rsidP="0047772E">
            <w:pPr>
              <w:spacing w:before="0"/>
              <w:jc w:val="center"/>
              <w:rPr>
                <w:rFonts w:cstheme="minorHAnsi"/>
                <w:sz w:val="20"/>
                <w:szCs w:val="20"/>
                <w:lang w:val="en-US"/>
              </w:rPr>
            </w:pPr>
            <w:r w:rsidRPr="00EF6D46">
              <w:rPr>
                <w:rFonts w:cstheme="minorHAnsi"/>
                <w:sz w:val="20"/>
                <w:szCs w:val="20"/>
                <w:lang w:val="en-US"/>
              </w:rPr>
              <w:t>Mixed</w:t>
            </w:r>
          </w:p>
        </w:tc>
        <w:tc>
          <w:tcPr>
            <w:tcW w:w="1255" w:type="dxa"/>
            <w:tcBorders>
              <w:bottom w:val="single" w:sz="4" w:space="0" w:color="auto"/>
            </w:tcBorders>
            <w:shd w:val="clear" w:color="auto" w:fill="FFFFFF"/>
          </w:tcPr>
          <w:p w14:paraId="014A990E"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Male-dominated</w:t>
            </w:r>
          </w:p>
        </w:tc>
        <w:tc>
          <w:tcPr>
            <w:tcW w:w="592" w:type="dxa"/>
            <w:tcBorders>
              <w:bottom w:val="single" w:sz="4" w:space="0" w:color="auto"/>
            </w:tcBorders>
            <w:shd w:val="clear" w:color="auto" w:fill="FFFFFF"/>
          </w:tcPr>
          <w:p w14:paraId="25DE6097"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Total</w:t>
            </w:r>
          </w:p>
        </w:tc>
        <w:tc>
          <w:tcPr>
            <w:tcW w:w="1020" w:type="dxa"/>
            <w:tcBorders>
              <w:left w:val="single" w:sz="4" w:space="0" w:color="auto"/>
              <w:bottom w:val="single" w:sz="4" w:space="0" w:color="auto"/>
            </w:tcBorders>
            <w:shd w:val="clear" w:color="auto" w:fill="FFFFFF"/>
          </w:tcPr>
          <w:p w14:paraId="5F2C44AA"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Female-dominated</w:t>
            </w:r>
          </w:p>
        </w:tc>
        <w:tc>
          <w:tcPr>
            <w:tcW w:w="913" w:type="dxa"/>
            <w:tcBorders>
              <w:bottom w:val="single" w:sz="4" w:space="0" w:color="auto"/>
            </w:tcBorders>
            <w:shd w:val="clear" w:color="auto" w:fill="FFFFFF"/>
          </w:tcPr>
          <w:p w14:paraId="405321DC" w14:textId="77777777" w:rsidR="00E96C47" w:rsidRPr="00EF6D46" w:rsidRDefault="00E96C47" w:rsidP="0047772E">
            <w:pPr>
              <w:spacing w:before="0"/>
              <w:jc w:val="center"/>
              <w:rPr>
                <w:rFonts w:cstheme="minorHAnsi"/>
                <w:sz w:val="20"/>
                <w:szCs w:val="20"/>
                <w:lang w:val="en-US"/>
              </w:rPr>
            </w:pPr>
            <w:r w:rsidRPr="00EF6D46">
              <w:rPr>
                <w:rFonts w:cstheme="minorHAnsi"/>
                <w:sz w:val="20"/>
                <w:szCs w:val="20"/>
                <w:lang w:val="en-US"/>
              </w:rPr>
              <w:t>Mixed</w:t>
            </w:r>
          </w:p>
        </w:tc>
        <w:tc>
          <w:tcPr>
            <w:tcW w:w="1263" w:type="dxa"/>
            <w:tcBorders>
              <w:bottom w:val="single" w:sz="4" w:space="0" w:color="auto"/>
            </w:tcBorders>
            <w:shd w:val="clear" w:color="auto" w:fill="FFFFFF"/>
          </w:tcPr>
          <w:p w14:paraId="5046CCE3"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Male-dominated</w:t>
            </w:r>
          </w:p>
        </w:tc>
        <w:tc>
          <w:tcPr>
            <w:tcW w:w="1037" w:type="dxa"/>
            <w:tcBorders>
              <w:bottom w:val="single" w:sz="4" w:space="0" w:color="auto"/>
            </w:tcBorders>
            <w:shd w:val="clear" w:color="auto" w:fill="FFFFFF"/>
          </w:tcPr>
          <w:p w14:paraId="472F03BF"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Total</w:t>
            </w:r>
          </w:p>
        </w:tc>
      </w:tr>
      <w:tr w:rsidR="00E96C47" w:rsidRPr="00EF6D46" w14:paraId="4B5AFFC1" w14:textId="77777777" w:rsidTr="00EC4515">
        <w:tc>
          <w:tcPr>
            <w:tcW w:w="1045" w:type="dxa"/>
            <w:tcBorders>
              <w:top w:val="single" w:sz="4" w:space="0" w:color="auto"/>
            </w:tcBorders>
            <w:shd w:val="clear" w:color="auto" w:fill="FFFFFF"/>
          </w:tcPr>
          <w:p w14:paraId="755CC856"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85pt"/>
                <w:rFonts w:asciiTheme="minorHAnsi" w:hAnsiTheme="minorHAnsi" w:cstheme="minorHAnsi"/>
                <w:sz w:val="20"/>
                <w:szCs w:val="20"/>
              </w:rPr>
              <w:t>2014</w:t>
            </w:r>
          </w:p>
        </w:tc>
        <w:tc>
          <w:tcPr>
            <w:tcW w:w="1020" w:type="dxa"/>
            <w:tcBorders>
              <w:top w:val="single" w:sz="4" w:space="0" w:color="auto"/>
              <w:left w:val="single" w:sz="4" w:space="0" w:color="auto"/>
            </w:tcBorders>
            <w:shd w:val="clear" w:color="auto" w:fill="FFFFFF"/>
          </w:tcPr>
          <w:p w14:paraId="037E88C0" w14:textId="77777777" w:rsidR="00E96C47" w:rsidRPr="00EF6D46" w:rsidRDefault="00E96C47" w:rsidP="0047772E">
            <w:pPr>
              <w:spacing w:before="0"/>
              <w:jc w:val="center"/>
              <w:rPr>
                <w:rFonts w:cstheme="minorHAnsi"/>
                <w:sz w:val="20"/>
                <w:szCs w:val="20"/>
                <w:lang w:val="en-US"/>
              </w:rPr>
            </w:pPr>
          </w:p>
        </w:tc>
        <w:tc>
          <w:tcPr>
            <w:tcW w:w="917" w:type="dxa"/>
            <w:tcBorders>
              <w:top w:val="single" w:sz="4" w:space="0" w:color="auto"/>
            </w:tcBorders>
            <w:shd w:val="clear" w:color="auto" w:fill="FFFFFF"/>
          </w:tcPr>
          <w:p w14:paraId="2850EAD1" w14:textId="77777777" w:rsidR="00E96C47" w:rsidRPr="00EF6D46" w:rsidRDefault="00E96C47" w:rsidP="0047772E">
            <w:pPr>
              <w:spacing w:before="0"/>
              <w:jc w:val="center"/>
              <w:rPr>
                <w:rFonts w:cstheme="minorHAnsi"/>
                <w:sz w:val="20"/>
                <w:szCs w:val="20"/>
                <w:lang w:val="en-US"/>
              </w:rPr>
            </w:pPr>
          </w:p>
        </w:tc>
        <w:tc>
          <w:tcPr>
            <w:tcW w:w="1255" w:type="dxa"/>
            <w:tcBorders>
              <w:top w:val="single" w:sz="4" w:space="0" w:color="auto"/>
            </w:tcBorders>
            <w:shd w:val="clear" w:color="auto" w:fill="FFFFFF"/>
          </w:tcPr>
          <w:p w14:paraId="434D2F30" w14:textId="77777777" w:rsidR="00E96C47" w:rsidRPr="00EF6D46" w:rsidRDefault="00E96C47" w:rsidP="0047772E">
            <w:pPr>
              <w:spacing w:before="0"/>
              <w:jc w:val="center"/>
              <w:rPr>
                <w:rFonts w:cstheme="minorHAnsi"/>
                <w:sz w:val="20"/>
                <w:szCs w:val="20"/>
                <w:lang w:val="en-US"/>
              </w:rPr>
            </w:pPr>
          </w:p>
        </w:tc>
        <w:tc>
          <w:tcPr>
            <w:tcW w:w="592" w:type="dxa"/>
            <w:tcBorders>
              <w:top w:val="single" w:sz="4" w:space="0" w:color="auto"/>
            </w:tcBorders>
            <w:shd w:val="clear" w:color="auto" w:fill="FFFFFF"/>
          </w:tcPr>
          <w:p w14:paraId="0318276C" w14:textId="77777777" w:rsidR="00E96C47" w:rsidRPr="00EF6D46" w:rsidRDefault="00E96C47" w:rsidP="0047772E">
            <w:pPr>
              <w:spacing w:before="0"/>
              <w:jc w:val="center"/>
              <w:rPr>
                <w:rFonts w:cstheme="minorHAnsi"/>
                <w:sz w:val="20"/>
                <w:szCs w:val="20"/>
                <w:lang w:val="en-US"/>
              </w:rPr>
            </w:pPr>
          </w:p>
        </w:tc>
        <w:tc>
          <w:tcPr>
            <w:tcW w:w="1020" w:type="dxa"/>
            <w:tcBorders>
              <w:top w:val="single" w:sz="4" w:space="0" w:color="auto"/>
              <w:left w:val="single" w:sz="4" w:space="0" w:color="auto"/>
            </w:tcBorders>
            <w:shd w:val="clear" w:color="auto" w:fill="FFFFFF"/>
          </w:tcPr>
          <w:p w14:paraId="50AD0BB0" w14:textId="77777777" w:rsidR="00E96C47" w:rsidRPr="00EF6D46" w:rsidRDefault="00E96C47" w:rsidP="0047772E">
            <w:pPr>
              <w:spacing w:before="0"/>
              <w:jc w:val="center"/>
              <w:rPr>
                <w:rFonts w:cstheme="minorHAnsi"/>
                <w:sz w:val="20"/>
                <w:szCs w:val="20"/>
                <w:lang w:val="en-US"/>
              </w:rPr>
            </w:pPr>
          </w:p>
        </w:tc>
        <w:tc>
          <w:tcPr>
            <w:tcW w:w="913" w:type="dxa"/>
            <w:tcBorders>
              <w:top w:val="single" w:sz="4" w:space="0" w:color="auto"/>
            </w:tcBorders>
            <w:shd w:val="clear" w:color="auto" w:fill="FFFFFF"/>
          </w:tcPr>
          <w:p w14:paraId="19A63449" w14:textId="77777777" w:rsidR="00E96C47" w:rsidRPr="00EF6D46" w:rsidRDefault="00E96C47" w:rsidP="0047772E">
            <w:pPr>
              <w:spacing w:before="0"/>
              <w:jc w:val="center"/>
              <w:rPr>
                <w:rFonts w:cstheme="minorHAnsi"/>
                <w:sz w:val="20"/>
                <w:szCs w:val="20"/>
                <w:lang w:val="en-US"/>
              </w:rPr>
            </w:pPr>
          </w:p>
        </w:tc>
        <w:tc>
          <w:tcPr>
            <w:tcW w:w="1263" w:type="dxa"/>
            <w:tcBorders>
              <w:top w:val="single" w:sz="4" w:space="0" w:color="auto"/>
            </w:tcBorders>
            <w:shd w:val="clear" w:color="auto" w:fill="FFFFFF"/>
          </w:tcPr>
          <w:p w14:paraId="18309ABB" w14:textId="77777777" w:rsidR="00E96C47" w:rsidRPr="00EF6D46" w:rsidRDefault="00E96C47" w:rsidP="0047772E">
            <w:pPr>
              <w:spacing w:before="0"/>
              <w:jc w:val="center"/>
              <w:rPr>
                <w:rFonts w:cstheme="minorHAnsi"/>
                <w:sz w:val="20"/>
                <w:szCs w:val="20"/>
                <w:lang w:val="en-US"/>
              </w:rPr>
            </w:pPr>
          </w:p>
        </w:tc>
        <w:tc>
          <w:tcPr>
            <w:tcW w:w="1037" w:type="dxa"/>
            <w:tcBorders>
              <w:top w:val="single" w:sz="4" w:space="0" w:color="auto"/>
            </w:tcBorders>
            <w:shd w:val="clear" w:color="auto" w:fill="FFFFFF"/>
          </w:tcPr>
          <w:p w14:paraId="1BACB2FB" w14:textId="77777777" w:rsidR="00E96C47" w:rsidRPr="00EF6D46" w:rsidRDefault="00E96C47" w:rsidP="0047772E">
            <w:pPr>
              <w:spacing w:before="0"/>
              <w:jc w:val="center"/>
              <w:rPr>
                <w:rFonts w:cstheme="minorHAnsi"/>
                <w:sz w:val="20"/>
                <w:szCs w:val="20"/>
                <w:lang w:val="en-US"/>
              </w:rPr>
            </w:pPr>
          </w:p>
        </w:tc>
      </w:tr>
      <w:tr w:rsidR="00E96C47" w:rsidRPr="00EF6D46" w14:paraId="78EDD691" w14:textId="77777777" w:rsidTr="0047772E">
        <w:tc>
          <w:tcPr>
            <w:tcW w:w="1045" w:type="dxa"/>
            <w:shd w:val="clear" w:color="auto" w:fill="FFFFFF"/>
          </w:tcPr>
          <w:p w14:paraId="7D126E45"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25"/>
                <w:rFonts w:asciiTheme="minorHAnsi" w:hAnsiTheme="minorHAnsi" w:cstheme="minorHAnsi"/>
                <w:sz w:val="20"/>
                <w:szCs w:val="20"/>
              </w:rPr>
              <w:t>Men</w:t>
            </w:r>
          </w:p>
        </w:tc>
        <w:tc>
          <w:tcPr>
            <w:tcW w:w="1020" w:type="dxa"/>
            <w:tcBorders>
              <w:left w:val="single" w:sz="4" w:space="0" w:color="auto"/>
            </w:tcBorders>
            <w:shd w:val="clear" w:color="auto" w:fill="FFFFFF"/>
          </w:tcPr>
          <w:p w14:paraId="471D4121"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11.6</w:t>
            </w:r>
          </w:p>
        </w:tc>
        <w:tc>
          <w:tcPr>
            <w:tcW w:w="917" w:type="dxa"/>
            <w:shd w:val="clear" w:color="auto" w:fill="FFFFFF"/>
          </w:tcPr>
          <w:p w14:paraId="485876C4"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41.2</w:t>
            </w:r>
          </w:p>
        </w:tc>
        <w:tc>
          <w:tcPr>
            <w:tcW w:w="1255" w:type="dxa"/>
            <w:shd w:val="clear" w:color="auto" w:fill="FFFFFF"/>
          </w:tcPr>
          <w:p w14:paraId="04D106A3"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47.2</w:t>
            </w:r>
          </w:p>
        </w:tc>
        <w:tc>
          <w:tcPr>
            <w:tcW w:w="592" w:type="dxa"/>
            <w:shd w:val="clear" w:color="auto" w:fill="FFFFFF"/>
          </w:tcPr>
          <w:p w14:paraId="61F84EFD"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0DFB2D75"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9.9</w:t>
            </w:r>
          </w:p>
        </w:tc>
        <w:tc>
          <w:tcPr>
            <w:tcW w:w="913" w:type="dxa"/>
            <w:shd w:val="clear" w:color="auto" w:fill="FFFFFF"/>
          </w:tcPr>
          <w:p w14:paraId="780BAA68"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35.4</w:t>
            </w:r>
          </w:p>
        </w:tc>
        <w:tc>
          <w:tcPr>
            <w:tcW w:w="1263" w:type="dxa"/>
            <w:shd w:val="clear" w:color="auto" w:fill="FFFFFF"/>
          </w:tcPr>
          <w:p w14:paraId="72954DDE"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54.7</w:t>
            </w:r>
          </w:p>
        </w:tc>
        <w:tc>
          <w:tcPr>
            <w:tcW w:w="1037" w:type="dxa"/>
            <w:shd w:val="clear" w:color="auto" w:fill="FFFFFF"/>
          </w:tcPr>
          <w:p w14:paraId="64D921AD"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r>
      <w:tr w:rsidR="00E96C47" w:rsidRPr="00EF6D46" w14:paraId="6EAE072A" w14:textId="77777777" w:rsidTr="0047772E">
        <w:tc>
          <w:tcPr>
            <w:tcW w:w="1045" w:type="dxa"/>
            <w:shd w:val="clear" w:color="auto" w:fill="FFFFFF"/>
          </w:tcPr>
          <w:p w14:paraId="574D6805"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25"/>
                <w:rFonts w:asciiTheme="minorHAnsi" w:hAnsiTheme="minorHAnsi" w:cstheme="minorHAnsi"/>
                <w:sz w:val="20"/>
                <w:szCs w:val="20"/>
              </w:rPr>
              <w:t>Women</w:t>
            </w:r>
          </w:p>
        </w:tc>
        <w:tc>
          <w:tcPr>
            <w:tcW w:w="1020" w:type="dxa"/>
            <w:tcBorders>
              <w:left w:val="single" w:sz="4" w:space="0" w:color="auto"/>
            </w:tcBorders>
            <w:shd w:val="clear" w:color="auto" w:fill="FFFFFF"/>
          </w:tcPr>
          <w:p w14:paraId="4F9C5EA8"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54.9</w:t>
            </w:r>
          </w:p>
        </w:tc>
        <w:tc>
          <w:tcPr>
            <w:tcW w:w="917" w:type="dxa"/>
            <w:shd w:val="clear" w:color="auto" w:fill="FFFFFF"/>
          </w:tcPr>
          <w:p w14:paraId="3CE840E0"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37.1</w:t>
            </w:r>
          </w:p>
        </w:tc>
        <w:tc>
          <w:tcPr>
            <w:tcW w:w="1255" w:type="dxa"/>
            <w:shd w:val="clear" w:color="auto" w:fill="FFFFFF"/>
          </w:tcPr>
          <w:p w14:paraId="350DB628"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8.0</w:t>
            </w:r>
          </w:p>
        </w:tc>
        <w:tc>
          <w:tcPr>
            <w:tcW w:w="592" w:type="dxa"/>
            <w:shd w:val="clear" w:color="auto" w:fill="FFFFFF"/>
          </w:tcPr>
          <w:p w14:paraId="6A11DBC5"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4A28FA18"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58.1</w:t>
            </w:r>
          </w:p>
        </w:tc>
        <w:tc>
          <w:tcPr>
            <w:tcW w:w="913" w:type="dxa"/>
            <w:shd w:val="clear" w:color="auto" w:fill="FFFFFF"/>
          </w:tcPr>
          <w:p w14:paraId="210F4948"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32.1</w:t>
            </w:r>
          </w:p>
        </w:tc>
        <w:tc>
          <w:tcPr>
            <w:tcW w:w="1263" w:type="dxa"/>
            <w:shd w:val="clear" w:color="auto" w:fill="FFFFFF"/>
          </w:tcPr>
          <w:p w14:paraId="627B0B79"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9.8</w:t>
            </w:r>
          </w:p>
        </w:tc>
        <w:tc>
          <w:tcPr>
            <w:tcW w:w="1037" w:type="dxa"/>
            <w:shd w:val="clear" w:color="auto" w:fill="FFFFFF"/>
          </w:tcPr>
          <w:p w14:paraId="25740344"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r>
      <w:tr w:rsidR="00E96C47" w:rsidRPr="00EF6D46" w14:paraId="7A1A3B0F" w14:textId="77777777" w:rsidTr="0047772E">
        <w:tc>
          <w:tcPr>
            <w:tcW w:w="1045" w:type="dxa"/>
            <w:shd w:val="clear" w:color="auto" w:fill="FFFFFF"/>
          </w:tcPr>
          <w:p w14:paraId="2555D0B1"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25"/>
                <w:rFonts w:asciiTheme="minorHAnsi" w:hAnsiTheme="minorHAnsi" w:cstheme="minorHAnsi"/>
                <w:sz w:val="20"/>
                <w:szCs w:val="20"/>
              </w:rPr>
              <w:t>Total</w:t>
            </w:r>
          </w:p>
        </w:tc>
        <w:tc>
          <w:tcPr>
            <w:tcW w:w="1020" w:type="dxa"/>
            <w:tcBorders>
              <w:left w:val="single" w:sz="4" w:space="0" w:color="auto"/>
            </w:tcBorders>
            <w:shd w:val="clear" w:color="auto" w:fill="FFFFFF"/>
          </w:tcPr>
          <w:p w14:paraId="6833E8A5"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33.1</w:t>
            </w:r>
          </w:p>
        </w:tc>
        <w:tc>
          <w:tcPr>
            <w:tcW w:w="917" w:type="dxa"/>
            <w:shd w:val="clear" w:color="auto" w:fill="FFFFFF"/>
          </w:tcPr>
          <w:p w14:paraId="2A70F3AF"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39.2</w:t>
            </w:r>
          </w:p>
        </w:tc>
        <w:tc>
          <w:tcPr>
            <w:tcW w:w="1255" w:type="dxa"/>
            <w:shd w:val="clear" w:color="auto" w:fill="FFFFFF"/>
          </w:tcPr>
          <w:p w14:paraId="4A415013"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27.7</w:t>
            </w:r>
          </w:p>
        </w:tc>
        <w:tc>
          <w:tcPr>
            <w:tcW w:w="592" w:type="dxa"/>
            <w:shd w:val="clear" w:color="auto" w:fill="FFFFFF"/>
          </w:tcPr>
          <w:p w14:paraId="46A9B807"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7805B730"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33.8</w:t>
            </w:r>
          </w:p>
        </w:tc>
        <w:tc>
          <w:tcPr>
            <w:tcW w:w="913" w:type="dxa"/>
            <w:shd w:val="clear" w:color="auto" w:fill="FFFFFF"/>
          </w:tcPr>
          <w:p w14:paraId="0E5193B1"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33.8</w:t>
            </w:r>
          </w:p>
        </w:tc>
        <w:tc>
          <w:tcPr>
            <w:tcW w:w="1263" w:type="dxa"/>
            <w:shd w:val="clear" w:color="auto" w:fill="FFFFFF"/>
          </w:tcPr>
          <w:p w14:paraId="6A9BAC77"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32.4</w:t>
            </w:r>
          </w:p>
        </w:tc>
        <w:tc>
          <w:tcPr>
            <w:tcW w:w="1037" w:type="dxa"/>
            <w:shd w:val="clear" w:color="auto" w:fill="FFFFFF"/>
          </w:tcPr>
          <w:p w14:paraId="71342FCA"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r>
      <w:tr w:rsidR="00E96C47" w:rsidRPr="00EF6D46" w14:paraId="2DC9B837" w14:textId="77777777" w:rsidTr="0047772E">
        <w:tc>
          <w:tcPr>
            <w:tcW w:w="1045" w:type="dxa"/>
            <w:shd w:val="clear" w:color="auto" w:fill="FFFFFF"/>
          </w:tcPr>
          <w:p w14:paraId="5B58B731"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85pt"/>
                <w:rFonts w:asciiTheme="minorHAnsi" w:hAnsiTheme="minorHAnsi" w:cstheme="minorHAnsi"/>
                <w:sz w:val="20"/>
                <w:szCs w:val="20"/>
              </w:rPr>
              <w:t>2015</w:t>
            </w:r>
          </w:p>
        </w:tc>
        <w:tc>
          <w:tcPr>
            <w:tcW w:w="1020" w:type="dxa"/>
            <w:tcBorders>
              <w:left w:val="single" w:sz="4" w:space="0" w:color="auto"/>
            </w:tcBorders>
            <w:shd w:val="clear" w:color="auto" w:fill="FFFFFF"/>
          </w:tcPr>
          <w:p w14:paraId="7578BFAB" w14:textId="77777777" w:rsidR="00E96C47" w:rsidRPr="00EF6D46" w:rsidRDefault="00E96C47" w:rsidP="0047772E">
            <w:pPr>
              <w:spacing w:before="0"/>
              <w:jc w:val="center"/>
              <w:rPr>
                <w:rFonts w:cstheme="minorHAnsi"/>
                <w:sz w:val="20"/>
                <w:szCs w:val="20"/>
                <w:lang w:val="en-US"/>
              </w:rPr>
            </w:pPr>
          </w:p>
        </w:tc>
        <w:tc>
          <w:tcPr>
            <w:tcW w:w="917" w:type="dxa"/>
            <w:shd w:val="clear" w:color="auto" w:fill="FFFFFF"/>
          </w:tcPr>
          <w:p w14:paraId="345E0067" w14:textId="77777777" w:rsidR="00E96C47" w:rsidRPr="00EF6D46" w:rsidRDefault="00E96C47" w:rsidP="0047772E">
            <w:pPr>
              <w:spacing w:before="0"/>
              <w:jc w:val="center"/>
              <w:rPr>
                <w:rFonts w:cstheme="minorHAnsi"/>
                <w:sz w:val="20"/>
                <w:szCs w:val="20"/>
                <w:lang w:val="en-US"/>
              </w:rPr>
            </w:pPr>
          </w:p>
        </w:tc>
        <w:tc>
          <w:tcPr>
            <w:tcW w:w="1255" w:type="dxa"/>
            <w:shd w:val="clear" w:color="auto" w:fill="FFFFFF"/>
          </w:tcPr>
          <w:p w14:paraId="15423DDF" w14:textId="77777777" w:rsidR="00E96C47" w:rsidRPr="00EF6D46" w:rsidRDefault="00E96C47" w:rsidP="0047772E">
            <w:pPr>
              <w:spacing w:before="0"/>
              <w:jc w:val="center"/>
              <w:rPr>
                <w:rFonts w:cstheme="minorHAnsi"/>
                <w:sz w:val="20"/>
                <w:szCs w:val="20"/>
                <w:lang w:val="en-US"/>
              </w:rPr>
            </w:pPr>
          </w:p>
        </w:tc>
        <w:tc>
          <w:tcPr>
            <w:tcW w:w="592" w:type="dxa"/>
            <w:shd w:val="clear" w:color="auto" w:fill="FFFFFF"/>
          </w:tcPr>
          <w:p w14:paraId="294C4E4F" w14:textId="77777777" w:rsidR="00E96C47" w:rsidRPr="00EF6D46" w:rsidRDefault="00E96C47" w:rsidP="0047772E">
            <w:pPr>
              <w:spacing w:before="0"/>
              <w:jc w:val="center"/>
              <w:rPr>
                <w:rFonts w:cstheme="minorHAnsi"/>
                <w:sz w:val="20"/>
                <w:szCs w:val="20"/>
                <w:lang w:val="en-US"/>
              </w:rPr>
            </w:pPr>
          </w:p>
        </w:tc>
        <w:tc>
          <w:tcPr>
            <w:tcW w:w="1020" w:type="dxa"/>
            <w:tcBorders>
              <w:left w:val="single" w:sz="4" w:space="0" w:color="auto"/>
            </w:tcBorders>
            <w:shd w:val="clear" w:color="auto" w:fill="FFFFFF"/>
          </w:tcPr>
          <w:p w14:paraId="6F64EC50" w14:textId="77777777" w:rsidR="00E96C47" w:rsidRPr="00EF6D46" w:rsidRDefault="00E96C47" w:rsidP="0047772E">
            <w:pPr>
              <w:spacing w:before="0"/>
              <w:jc w:val="center"/>
              <w:rPr>
                <w:rFonts w:cstheme="minorHAnsi"/>
                <w:sz w:val="20"/>
                <w:szCs w:val="20"/>
                <w:lang w:val="en-US"/>
              </w:rPr>
            </w:pPr>
          </w:p>
        </w:tc>
        <w:tc>
          <w:tcPr>
            <w:tcW w:w="913" w:type="dxa"/>
            <w:shd w:val="clear" w:color="auto" w:fill="FFFFFF"/>
          </w:tcPr>
          <w:p w14:paraId="0DCA9B12" w14:textId="77777777" w:rsidR="00E96C47" w:rsidRPr="00EF6D46" w:rsidRDefault="00E96C47" w:rsidP="0047772E">
            <w:pPr>
              <w:spacing w:before="0"/>
              <w:jc w:val="center"/>
              <w:rPr>
                <w:rFonts w:cstheme="minorHAnsi"/>
                <w:sz w:val="20"/>
                <w:szCs w:val="20"/>
                <w:lang w:val="en-US"/>
              </w:rPr>
            </w:pPr>
          </w:p>
        </w:tc>
        <w:tc>
          <w:tcPr>
            <w:tcW w:w="1263" w:type="dxa"/>
            <w:shd w:val="clear" w:color="auto" w:fill="FFFFFF"/>
          </w:tcPr>
          <w:p w14:paraId="30ABCB7F" w14:textId="77777777" w:rsidR="00E96C47" w:rsidRPr="00EF6D46" w:rsidRDefault="00E96C47" w:rsidP="0047772E">
            <w:pPr>
              <w:spacing w:before="0"/>
              <w:jc w:val="center"/>
              <w:rPr>
                <w:rFonts w:cstheme="minorHAnsi"/>
                <w:sz w:val="20"/>
                <w:szCs w:val="20"/>
                <w:lang w:val="en-US"/>
              </w:rPr>
            </w:pPr>
          </w:p>
        </w:tc>
        <w:tc>
          <w:tcPr>
            <w:tcW w:w="1037" w:type="dxa"/>
            <w:shd w:val="clear" w:color="auto" w:fill="FFFFFF"/>
          </w:tcPr>
          <w:p w14:paraId="49AA8554" w14:textId="77777777" w:rsidR="00E96C47" w:rsidRPr="00EF6D46" w:rsidRDefault="00E96C47" w:rsidP="0047772E">
            <w:pPr>
              <w:spacing w:before="0"/>
              <w:jc w:val="center"/>
              <w:rPr>
                <w:rFonts w:cstheme="minorHAnsi"/>
                <w:sz w:val="20"/>
                <w:szCs w:val="20"/>
                <w:lang w:val="en-US"/>
              </w:rPr>
            </w:pPr>
          </w:p>
        </w:tc>
      </w:tr>
      <w:tr w:rsidR="00E96C47" w:rsidRPr="00EF6D46" w14:paraId="56C8DF9D" w14:textId="77777777" w:rsidTr="0047772E">
        <w:tc>
          <w:tcPr>
            <w:tcW w:w="1045" w:type="dxa"/>
            <w:shd w:val="clear" w:color="auto" w:fill="FFFFFF"/>
          </w:tcPr>
          <w:p w14:paraId="2EACE182"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25"/>
                <w:rFonts w:asciiTheme="minorHAnsi" w:hAnsiTheme="minorHAnsi" w:cstheme="minorHAnsi"/>
                <w:sz w:val="20"/>
                <w:szCs w:val="20"/>
              </w:rPr>
              <w:t>Men</w:t>
            </w:r>
          </w:p>
        </w:tc>
        <w:tc>
          <w:tcPr>
            <w:tcW w:w="1020" w:type="dxa"/>
            <w:tcBorders>
              <w:left w:val="single" w:sz="4" w:space="0" w:color="auto"/>
            </w:tcBorders>
            <w:shd w:val="clear" w:color="auto" w:fill="FFFFFF"/>
          </w:tcPr>
          <w:p w14:paraId="395415AA"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12.8</w:t>
            </w:r>
          </w:p>
        </w:tc>
        <w:tc>
          <w:tcPr>
            <w:tcW w:w="917" w:type="dxa"/>
            <w:shd w:val="clear" w:color="auto" w:fill="FFFFFF"/>
          </w:tcPr>
          <w:p w14:paraId="69CFE1A3"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41.8</w:t>
            </w:r>
          </w:p>
        </w:tc>
        <w:tc>
          <w:tcPr>
            <w:tcW w:w="1255" w:type="dxa"/>
            <w:shd w:val="clear" w:color="auto" w:fill="FFFFFF"/>
          </w:tcPr>
          <w:p w14:paraId="671023F9"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45.4</w:t>
            </w:r>
          </w:p>
        </w:tc>
        <w:tc>
          <w:tcPr>
            <w:tcW w:w="592" w:type="dxa"/>
            <w:shd w:val="clear" w:color="auto" w:fill="FFFFFF"/>
          </w:tcPr>
          <w:p w14:paraId="7140E7AA"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62044749"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10.2</w:t>
            </w:r>
          </w:p>
        </w:tc>
        <w:tc>
          <w:tcPr>
            <w:tcW w:w="913" w:type="dxa"/>
            <w:shd w:val="clear" w:color="auto" w:fill="FFFFFF"/>
          </w:tcPr>
          <w:p w14:paraId="592FB653"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36.8</w:t>
            </w:r>
          </w:p>
        </w:tc>
        <w:tc>
          <w:tcPr>
            <w:tcW w:w="1263" w:type="dxa"/>
            <w:shd w:val="clear" w:color="auto" w:fill="FFFFFF"/>
          </w:tcPr>
          <w:p w14:paraId="16728331"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53.0</w:t>
            </w:r>
          </w:p>
        </w:tc>
        <w:tc>
          <w:tcPr>
            <w:tcW w:w="1037" w:type="dxa"/>
            <w:shd w:val="clear" w:color="auto" w:fill="FFFFFF"/>
          </w:tcPr>
          <w:p w14:paraId="421FBE00"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r>
      <w:tr w:rsidR="00E96C47" w:rsidRPr="00EF6D46" w14:paraId="7212A410" w14:textId="77777777" w:rsidTr="0047772E">
        <w:tc>
          <w:tcPr>
            <w:tcW w:w="1045" w:type="dxa"/>
            <w:shd w:val="clear" w:color="auto" w:fill="FFFFFF"/>
          </w:tcPr>
          <w:p w14:paraId="73376D2A"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25"/>
                <w:rFonts w:asciiTheme="minorHAnsi" w:hAnsiTheme="minorHAnsi" w:cstheme="minorHAnsi"/>
                <w:sz w:val="20"/>
                <w:szCs w:val="20"/>
              </w:rPr>
              <w:t>Women</w:t>
            </w:r>
          </w:p>
        </w:tc>
        <w:tc>
          <w:tcPr>
            <w:tcW w:w="1020" w:type="dxa"/>
            <w:tcBorders>
              <w:left w:val="single" w:sz="4" w:space="0" w:color="auto"/>
            </w:tcBorders>
            <w:shd w:val="clear" w:color="auto" w:fill="FFFFFF"/>
          </w:tcPr>
          <w:p w14:paraId="3063CA03"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54.2</w:t>
            </w:r>
          </w:p>
        </w:tc>
        <w:tc>
          <w:tcPr>
            <w:tcW w:w="917" w:type="dxa"/>
            <w:shd w:val="clear" w:color="auto" w:fill="FFFFFF"/>
          </w:tcPr>
          <w:p w14:paraId="7F49A256"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37.8</w:t>
            </w:r>
          </w:p>
        </w:tc>
        <w:tc>
          <w:tcPr>
            <w:tcW w:w="1255" w:type="dxa"/>
            <w:shd w:val="clear" w:color="auto" w:fill="FFFFFF"/>
          </w:tcPr>
          <w:p w14:paraId="46E5C7DC"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8.0</w:t>
            </w:r>
          </w:p>
        </w:tc>
        <w:tc>
          <w:tcPr>
            <w:tcW w:w="592" w:type="dxa"/>
            <w:shd w:val="clear" w:color="auto" w:fill="FFFFFF"/>
          </w:tcPr>
          <w:p w14:paraId="78311E42"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0F62B3EE"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57.2</w:t>
            </w:r>
          </w:p>
        </w:tc>
        <w:tc>
          <w:tcPr>
            <w:tcW w:w="913" w:type="dxa"/>
            <w:shd w:val="clear" w:color="auto" w:fill="FFFFFF"/>
          </w:tcPr>
          <w:p w14:paraId="589D5EF1"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33.6</w:t>
            </w:r>
          </w:p>
        </w:tc>
        <w:tc>
          <w:tcPr>
            <w:tcW w:w="1263" w:type="dxa"/>
            <w:shd w:val="clear" w:color="auto" w:fill="FFFFFF"/>
          </w:tcPr>
          <w:p w14:paraId="28502735"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85pt"/>
                <w:rFonts w:asciiTheme="minorHAnsi" w:hAnsiTheme="minorHAnsi" w:cstheme="minorHAnsi"/>
                <w:sz w:val="20"/>
                <w:szCs w:val="20"/>
              </w:rPr>
              <w:t>9.3</w:t>
            </w:r>
          </w:p>
        </w:tc>
        <w:tc>
          <w:tcPr>
            <w:tcW w:w="1037" w:type="dxa"/>
            <w:shd w:val="clear" w:color="auto" w:fill="FFFFFF"/>
          </w:tcPr>
          <w:p w14:paraId="25FCE60F"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r>
      <w:tr w:rsidR="00E96C47" w:rsidRPr="00EF6D46" w14:paraId="60285BB4" w14:textId="77777777" w:rsidTr="0047772E">
        <w:tc>
          <w:tcPr>
            <w:tcW w:w="1045" w:type="dxa"/>
            <w:shd w:val="clear" w:color="auto" w:fill="FFFFFF"/>
          </w:tcPr>
          <w:p w14:paraId="502CF91D"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25"/>
                <w:rFonts w:asciiTheme="minorHAnsi" w:hAnsiTheme="minorHAnsi" w:cstheme="minorHAnsi"/>
                <w:sz w:val="20"/>
                <w:szCs w:val="20"/>
              </w:rPr>
              <w:t>Total</w:t>
            </w:r>
          </w:p>
        </w:tc>
        <w:tc>
          <w:tcPr>
            <w:tcW w:w="1020" w:type="dxa"/>
            <w:tcBorders>
              <w:left w:val="single" w:sz="4" w:space="0" w:color="auto"/>
            </w:tcBorders>
            <w:shd w:val="clear" w:color="auto" w:fill="FFFFFF"/>
          </w:tcPr>
          <w:p w14:paraId="685DBEC0"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33.6</w:t>
            </w:r>
          </w:p>
        </w:tc>
        <w:tc>
          <w:tcPr>
            <w:tcW w:w="917" w:type="dxa"/>
            <w:shd w:val="clear" w:color="auto" w:fill="FFFFFF"/>
          </w:tcPr>
          <w:p w14:paraId="6F6BB732"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39.8</w:t>
            </w:r>
          </w:p>
        </w:tc>
        <w:tc>
          <w:tcPr>
            <w:tcW w:w="1255" w:type="dxa"/>
            <w:shd w:val="clear" w:color="auto" w:fill="FFFFFF"/>
          </w:tcPr>
          <w:p w14:paraId="125FE524"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26.6</w:t>
            </w:r>
          </w:p>
        </w:tc>
        <w:tc>
          <w:tcPr>
            <w:tcW w:w="592" w:type="dxa"/>
            <w:shd w:val="clear" w:color="auto" w:fill="FFFFFF"/>
          </w:tcPr>
          <w:p w14:paraId="03E63FD1"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332AEF12"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33.8</w:t>
            </w:r>
          </w:p>
        </w:tc>
        <w:tc>
          <w:tcPr>
            <w:tcW w:w="913" w:type="dxa"/>
            <w:shd w:val="clear" w:color="auto" w:fill="FFFFFF"/>
          </w:tcPr>
          <w:p w14:paraId="11225D95"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35.2</w:t>
            </w:r>
          </w:p>
        </w:tc>
        <w:tc>
          <w:tcPr>
            <w:tcW w:w="1263" w:type="dxa"/>
            <w:shd w:val="clear" w:color="auto" w:fill="FFFFFF"/>
          </w:tcPr>
          <w:p w14:paraId="6E6CE103"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31.1</w:t>
            </w:r>
          </w:p>
        </w:tc>
        <w:tc>
          <w:tcPr>
            <w:tcW w:w="1037" w:type="dxa"/>
            <w:shd w:val="clear" w:color="auto" w:fill="FFFFFF"/>
          </w:tcPr>
          <w:p w14:paraId="62011FA8" w14:textId="77777777" w:rsidR="00E96C47" w:rsidRPr="00EF6D46" w:rsidRDefault="00E96C47" w:rsidP="0047772E">
            <w:pPr>
              <w:pStyle w:val="61"/>
              <w:shd w:val="clear" w:color="auto" w:fill="auto"/>
              <w:spacing w:line="240" w:lineRule="auto"/>
              <w:jc w:val="center"/>
              <w:rPr>
                <w:rFonts w:asciiTheme="minorHAnsi" w:hAnsiTheme="minorHAnsi" w:cstheme="minorHAnsi"/>
                <w:sz w:val="20"/>
                <w:szCs w:val="20"/>
              </w:rPr>
            </w:pPr>
            <w:r w:rsidRPr="00EF6D46">
              <w:rPr>
                <w:rStyle w:val="25"/>
                <w:rFonts w:asciiTheme="minorHAnsi" w:hAnsiTheme="minorHAnsi" w:cstheme="minorHAnsi"/>
                <w:sz w:val="20"/>
                <w:szCs w:val="20"/>
              </w:rPr>
              <w:t>100</w:t>
            </w:r>
          </w:p>
        </w:tc>
      </w:tr>
      <w:tr w:rsidR="00E96C47" w:rsidRPr="00EF6D46" w14:paraId="426D03C3" w14:textId="77777777" w:rsidTr="0047772E">
        <w:tc>
          <w:tcPr>
            <w:tcW w:w="1045" w:type="dxa"/>
            <w:shd w:val="clear" w:color="auto" w:fill="FFFFFF"/>
          </w:tcPr>
          <w:p w14:paraId="0752E2E8" w14:textId="77777777" w:rsidR="00E96C47" w:rsidRPr="00EF6D46" w:rsidRDefault="00E96C47" w:rsidP="0047772E">
            <w:pPr>
              <w:pStyle w:val="61"/>
              <w:shd w:val="clear" w:color="auto" w:fill="auto"/>
              <w:spacing w:line="240" w:lineRule="auto"/>
              <w:rPr>
                <w:rFonts w:asciiTheme="minorHAnsi" w:hAnsiTheme="minorHAnsi" w:cstheme="minorHAnsi"/>
                <w:sz w:val="20"/>
                <w:szCs w:val="20"/>
              </w:rPr>
            </w:pPr>
            <w:r w:rsidRPr="00EF6D46">
              <w:rPr>
                <w:rStyle w:val="85pt"/>
                <w:rFonts w:asciiTheme="minorHAnsi" w:hAnsiTheme="minorHAnsi" w:cstheme="minorHAnsi"/>
                <w:sz w:val="20"/>
                <w:szCs w:val="20"/>
              </w:rPr>
              <w:t>2016</w:t>
            </w:r>
          </w:p>
        </w:tc>
        <w:tc>
          <w:tcPr>
            <w:tcW w:w="1020" w:type="dxa"/>
            <w:tcBorders>
              <w:left w:val="single" w:sz="4" w:space="0" w:color="auto"/>
            </w:tcBorders>
            <w:shd w:val="clear" w:color="auto" w:fill="FFFFFF"/>
          </w:tcPr>
          <w:p w14:paraId="11D7A1F2" w14:textId="77777777" w:rsidR="00E96C47" w:rsidRPr="00EF6D46" w:rsidRDefault="00E96C47" w:rsidP="0047772E">
            <w:pPr>
              <w:spacing w:before="0"/>
              <w:jc w:val="center"/>
              <w:rPr>
                <w:rFonts w:cstheme="minorHAnsi"/>
                <w:sz w:val="20"/>
                <w:szCs w:val="20"/>
                <w:lang w:val="en-US"/>
              </w:rPr>
            </w:pPr>
          </w:p>
        </w:tc>
        <w:tc>
          <w:tcPr>
            <w:tcW w:w="917" w:type="dxa"/>
            <w:shd w:val="clear" w:color="auto" w:fill="FFFFFF"/>
          </w:tcPr>
          <w:p w14:paraId="186C7537" w14:textId="77777777" w:rsidR="00E96C47" w:rsidRPr="00EF6D46" w:rsidRDefault="00E96C47" w:rsidP="0047772E">
            <w:pPr>
              <w:spacing w:before="0"/>
              <w:jc w:val="center"/>
              <w:rPr>
                <w:rFonts w:cstheme="minorHAnsi"/>
                <w:sz w:val="20"/>
                <w:szCs w:val="20"/>
                <w:lang w:val="en-US"/>
              </w:rPr>
            </w:pPr>
          </w:p>
        </w:tc>
        <w:tc>
          <w:tcPr>
            <w:tcW w:w="1255" w:type="dxa"/>
            <w:shd w:val="clear" w:color="auto" w:fill="FFFFFF"/>
          </w:tcPr>
          <w:p w14:paraId="13D99095" w14:textId="77777777" w:rsidR="00E96C47" w:rsidRPr="00EF6D46" w:rsidRDefault="00E96C47" w:rsidP="0047772E">
            <w:pPr>
              <w:spacing w:before="0"/>
              <w:jc w:val="center"/>
              <w:rPr>
                <w:rFonts w:cstheme="minorHAnsi"/>
                <w:sz w:val="20"/>
                <w:szCs w:val="20"/>
                <w:lang w:val="en-US"/>
              </w:rPr>
            </w:pPr>
          </w:p>
        </w:tc>
        <w:tc>
          <w:tcPr>
            <w:tcW w:w="592" w:type="dxa"/>
            <w:shd w:val="clear" w:color="auto" w:fill="FFFFFF"/>
          </w:tcPr>
          <w:p w14:paraId="1C8C5030" w14:textId="77777777" w:rsidR="00E96C47" w:rsidRPr="00EF6D46" w:rsidRDefault="00E96C47" w:rsidP="0047772E">
            <w:pPr>
              <w:spacing w:before="0"/>
              <w:jc w:val="center"/>
              <w:rPr>
                <w:rFonts w:cstheme="minorHAnsi"/>
                <w:sz w:val="20"/>
                <w:szCs w:val="20"/>
                <w:lang w:val="en-US"/>
              </w:rPr>
            </w:pPr>
          </w:p>
        </w:tc>
        <w:tc>
          <w:tcPr>
            <w:tcW w:w="1020" w:type="dxa"/>
            <w:tcBorders>
              <w:left w:val="single" w:sz="4" w:space="0" w:color="auto"/>
            </w:tcBorders>
            <w:shd w:val="clear" w:color="auto" w:fill="FFFFFF"/>
          </w:tcPr>
          <w:p w14:paraId="4DED13C8" w14:textId="77777777" w:rsidR="00E96C47" w:rsidRPr="00EF6D46" w:rsidRDefault="00E96C47" w:rsidP="0047772E">
            <w:pPr>
              <w:spacing w:before="0"/>
              <w:jc w:val="center"/>
              <w:rPr>
                <w:rFonts w:cstheme="minorHAnsi"/>
                <w:sz w:val="20"/>
                <w:szCs w:val="20"/>
                <w:lang w:val="en-US"/>
              </w:rPr>
            </w:pPr>
          </w:p>
        </w:tc>
        <w:tc>
          <w:tcPr>
            <w:tcW w:w="913" w:type="dxa"/>
            <w:shd w:val="clear" w:color="auto" w:fill="FFFFFF"/>
          </w:tcPr>
          <w:p w14:paraId="1B1CD166" w14:textId="77777777" w:rsidR="00E96C47" w:rsidRPr="00EF6D46" w:rsidRDefault="00E96C47" w:rsidP="0047772E">
            <w:pPr>
              <w:spacing w:before="0"/>
              <w:jc w:val="center"/>
              <w:rPr>
                <w:rFonts w:cstheme="minorHAnsi"/>
                <w:sz w:val="20"/>
                <w:szCs w:val="20"/>
                <w:lang w:val="en-US"/>
              </w:rPr>
            </w:pPr>
          </w:p>
        </w:tc>
        <w:tc>
          <w:tcPr>
            <w:tcW w:w="1263" w:type="dxa"/>
            <w:shd w:val="clear" w:color="auto" w:fill="FFFFFF"/>
          </w:tcPr>
          <w:p w14:paraId="3B9A058E" w14:textId="77777777" w:rsidR="00E96C47" w:rsidRPr="00EF6D46" w:rsidRDefault="00E96C47" w:rsidP="0047772E">
            <w:pPr>
              <w:spacing w:before="0"/>
              <w:jc w:val="center"/>
              <w:rPr>
                <w:rFonts w:cstheme="minorHAnsi"/>
                <w:sz w:val="20"/>
                <w:szCs w:val="20"/>
                <w:lang w:val="en-US"/>
              </w:rPr>
            </w:pPr>
          </w:p>
        </w:tc>
        <w:tc>
          <w:tcPr>
            <w:tcW w:w="1037" w:type="dxa"/>
            <w:shd w:val="clear" w:color="auto" w:fill="FFFFFF"/>
          </w:tcPr>
          <w:p w14:paraId="1ED3E7B6" w14:textId="77777777" w:rsidR="00E96C47" w:rsidRPr="00EF6D46" w:rsidRDefault="00E96C47" w:rsidP="0047772E">
            <w:pPr>
              <w:spacing w:before="0"/>
              <w:jc w:val="center"/>
              <w:rPr>
                <w:rFonts w:cstheme="minorHAnsi"/>
                <w:sz w:val="20"/>
                <w:szCs w:val="20"/>
                <w:lang w:val="en-US"/>
              </w:rPr>
            </w:pPr>
          </w:p>
        </w:tc>
      </w:tr>
      <w:tr w:rsidR="00E96C47" w:rsidRPr="00EF6D46" w14:paraId="5909A4A8" w14:textId="77777777" w:rsidTr="0047772E">
        <w:tc>
          <w:tcPr>
            <w:tcW w:w="1045" w:type="dxa"/>
            <w:tcBorders>
              <w:right w:val="single" w:sz="4" w:space="0" w:color="auto"/>
            </w:tcBorders>
            <w:shd w:val="clear" w:color="auto" w:fill="FFFFFF"/>
          </w:tcPr>
          <w:p w14:paraId="6B363717" w14:textId="77777777" w:rsidR="00E96C47" w:rsidRPr="00EF6D46" w:rsidRDefault="00E96C47" w:rsidP="0047772E">
            <w:pPr>
              <w:pStyle w:val="61"/>
              <w:shd w:val="clear" w:color="auto" w:fill="auto"/>
              <w:spacing w:line="240" w:lineRule="auto"/>
              <w:rPr>
                <w:rStyle w:val="85pt"/>
                <w:rFonts w:asciiTheme="minorHAnsi" w:hAnsiTheme="minorHAnsi" w:cstheme="minorHAnsi"/>
                <w:sz w:val="20"/>
                <w:szCs w:val="20"/>
              </w:rPr>
            </w:pPr>
            <w:r w:rsidRPr="00EF6D46">
              <w:rPr>
                <w:rStyle w:val="25"/>
                <w:rFonts w:asciiTheme="minorHAnsi" w:hAnsiTheme="minorHAnsi" w:cstheme="minorHAnsi"/>
                <w:sz w:val="20"/>
                <w:szCs w:val="20"/>
              </w:rPr>
              <w:t>Men</w:t>
            </w:r>
          </w:p>
        </w:tc>
        <w:tc>
          <w:tcPr>
            <w:tcW w:w="1020" w:type="dxa"/>
            <w:tcBorders>
              <w:left w:val="single" w:sz="4" w:space="0" w:color="auto"/>
            </w:tcBorders>
            <w:shd w:val="clear" w:color="auto" w:fill="FFFFFF"/>
          </w:tcPr>
          <w:p w14:paraId="19EC52BC" w14:textId="77777777" w:rsidR="00E96C47" w:rsidRPr="00EF6D46" w:rsidRDefault="00E96C47" w:rsidP="0047772E">
            <w:pPr>
              <w:spacing w:before="0"/>
              <w:jc w:val="center"/>
              <w:rPr>
                <w:rFonts w:cstheme="minorHAnsi"/>
                <w:sz w:val="20"/>
                <w:szCs w:val="20"/>
                <w:lang w:val="en-US"/>
              </w:rPr>
            </w:pPr>
            <w:r w:rsidRPr="00EF6D46">
              <w:rPr>
                <w:rStyle w:val="85pt"/>
                <w:rFonts w:asciiTheme="minorHAnsi" w:hAnsiTheme="minorHAnsi" w:cstheme="minorHAnsi"/>
                <w:sz w:val="20"/>
                <w:szCs w:val="20"/>
              </w:rPr>
              <w:t>13.6</w:t>
            </w:r>
          </w:p>
        </w:tc>
        <w:tc>
          <w:tcPr>
            <w:tcW w:w="917" w:type="dxa"/>
            <w:shd w:val="clear" w:color="auto" w:fill="FFFFFF"/>
          </w:tcPr>
          <w:p w14:paraId="1A2EC6FF"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42.4</w:t>
            </w:r>
          </w:p>
        </w:tc>
        <w:tc>
          <w:tcPr>
            <w:tcW w:w="1255" w:type="dxa"/>
            <w:shd w:val="clear" w:color="auto" w:fill="FFFFFF"/>
          </w:tcPr>
          <w:p w14:paraId="0F94F02B"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44.0</w:t>
            </w:r>
          </w:p>
        </w:tc>
        <w:tc>
          <w:tcPr>
            <w:tcW w:w="592" w:type="dxa"/>
            <w:tcBorders>
              <w:right w:val="single" w:sz="4" w:space="0" w:color="auto"/>
            </w:tcBorders>
            <w:shd w:val="clear" w:color="auto" w:fill="FFFFFF"/>
          </w:tcPr>
          <w:p w14:paraId="5FCE58B1"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0A2D6B8D" w14:textId="77777777" w:rsidR="00E96C47" w:rsidRPr="00EF6D46" w:rsidRDefault="00E96C47" w:rsidP="0047772E">
            <w:pPr>
              <w:spacing w:before="0"/>
              <w:jc w:val="center"/>
              <w:rPr>
                <w:rFonts w:cstheme="minorHAnsi"/>
                <w:sz w:val="20"/>
                <w:szCs w:val="20"/>
                <w:lang w:val="en-US"/>
              </w:rPr>
            </w:pPr>
            <w:r w:rsidRPr="00EF6D46">
              <w:rPr>
                <w:rStyle w:val="85pt"/>
                <w:rFonts w:asciiTheme="minorHAnsi" w:hAnsiTheme="minorHAnsi" w:cstheme="minorHAnsi"/>
                <w:sz w:val="20"/>
                <w:szCs w:val="20"/>
              </w:rPr>
              <w:t>11.3</w:t>
            </w:r>
          </w:p>
        </w:tc>
        <w:tc>
          <w:tcPr>
            <w:tcW w:w="913" w:type="dxa"/>
            <w:shd w:val="clear" w:color="auto" w:fill="FFFFFF"/>
          </w:tcPr>
          <w:p w14:paraId="0B83AD42"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37.4</w:t>
            </w:r>
          </w:p>
        </w:tc>
        <w:tc>
          <w:tcPr>
            <w:tcW w:w="1263" w:type="dxa"/>
            <w:shd w:val="clear" w:color="auto" w:fill="FFFFFF"/>
          </w:tcPr>
          <w:p w14:paraId="559A76D2"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51.2</w:t>
            </w:r>
          </w:p>
        </w:tc>
        <w:tc>
          <w:tcPr>
            <w:tcW w:w="1037" w:type="dxa"/>
            <w:shd w:val="clear" w:color="auto" w:fill="FFFFFF"/>
          </w:tcPr>
          <w:p w14:paraId="21CD38D2"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100</w:t>
            </w:r>
          </w:p>
        </w:tc>
      </w:tr>
      <w:tr w:rsidR="00E96C47" w:rsidRPr="00EF6D46" w14:paraId="1613831C" w14:textId="77777777" w:rsidTr="0047772E">
        <w:tc>
          <w:tcPr>
            <w:tcW w:w="1045" w:type="dxa"/>
            <w:tcBorders>
              <w:right w:val="single" w:sz="4" w:space="0" w:color="auto"/>
            </w:tcBorders>
            <w:shd w:val="clear" w:color="auto" w:fill="FFFFFF"/>
          </w:tcPr>
          <w:p w14:paraId="61FEAF19" w14:textId="77777777" w:rsidR="00E96C47" w:rsidRPr="00EF6D46" w:rsidRDefault="00E96C47" w:rsidP="0047772E">
            <w:pPr>
              <w:pStyle w:val="61"/>
              <w:shd w:val="clear" w:color="auto" w:fill="auto"/>
              <w:spacing w:line="240" w:lineRule="auto"/>
              <w:rPr>
                <w:rStyle w:val="85pt"/>
                <w:rFonts w:asciiTheme="minorHAnsi" w:hAnsiTheme="minorHAnsi" w:cstheme="minorHAnsi"/>
                <w:sz w:val="20"/>
                <w:szCs w:val="20"/>
              </w:rPr>
            </w:pPr>
            <w:r w:rsidRPr="00EF6D46">
              <w:rPr>
                <w:rStyle w:val="25"/>
                <w:rFonts w:asciiTheme="minorHAnsi" w:hAnsiTheme="minorHAnsi" w:cstheme="minorHAnsi"/>
                <w:sz w:val="20"/>
                <w:szCs w:val="20"/>
              </w:rPr>
              <w:t>Women</w:t>
            </w:r>
          </w:p>
        </w:tc>
        <w:tc>
          <w:tcPr>
            <w:tcW w:w="1020" w:type="dxa"/>
            <w:tcBorders>
              <w:left w:val="single" w:sz="4" w:space="0" w:color="auto"/>
            </w:tcBorders>
            <w:shd w:val="clear" w:color="auto" w:fill="FFFFFF"/>
          </w:tcPr>
          <w:p w14:paraId="02904BC5"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52.0</w:t>
            </w:r>
          </w:p>
        </w:tc>
        <w:tc>
          <w:tcPr>
            <w:tcW w:w="917" w:type="dxa"/>
            <w:shd w:val="clear" w:color="auto" w:fill="FFFFFF"/>
          </w:tcPr>
          <w:p w14:paraId="74B77771"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40.7</w:t>
            </w:r>
          </w:p>
        </w:tc>
        <w:tc>
          <w:tcPr>
            <w:tcW w:w="1255" w:type="dxa"/>
            <w:shd w:val="clear" w:color="auto" w:fill="FFFFFF"/>
          </w:tcPr>
          <w:p w14:paraId="3D6E10B5" w14:textId="77777777" w:rsidR="00E96C47" w:rsidRPr="00EF6D46" w:rsidRDefault="00E96C47" w:rsidP="0047772E">
            <w:pPr>
              <w:spacing w:before="0"/>
              <w:jc w:val="center"/>
              <w:rPr>
                <w:rFonts w:cstheme="minorHAnsi"/>
                <w:sz w:val="20"/>
                <w:szCs w:val="20"/>
                <w:lang w:val="en-US"/>
              </w:rPr>
            </w:pPr>
            <w:r w:rsidRPr="00EF6D46">
              <w:rPr>
                <w:rStyle w:val="85pt"/>
                <w:rFonts w:asciiTheme="minorHAnsi" w:hAnsiTheme="minorHAnsi" w:cstheme="minorHAnsi"/>
                <w:sz w:val="20"/>
                <w:szCs w:val="20"/>
              </w:rPr>
              <w:t>7.3</w:t>
            </w:r>
          </w:p>
        </w:tc>
        <w:tc>
          <w:tcPr>
            <w:tcW w:w="592" w:type="dxa"/>
            <w:tcBorders>
              <w:right w:val="single" w:sz="4" w:space="0" w:color="auto"/>
            </w:tcBorders>
            <w:shd w:val="clear" w:color="auto" w:fill="FFFFFF"/>
          </w:tcPr>
          <w:p w14:paraId="4283B477"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100</w:t>
            </w:r>
          </w:p>
        </w:tc>
        <w:tc>
          <w:tcPr>
            <w:tcW w:w="1020" w:type="dxa"/>
            <w:tcBorders>
              <w:left w:val="single" w:sz="4" w:space="0" w:color="auto"/>
            </w:tcBorders>
            <w:shd w:val="clear" w:color="auto" w:fill="FFFFFF"/>
          </w:tcPr>
          <w:p w14:paraId="51AF025C"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55.5</w:t>
            </w:r>
          </w:p>
        </w:tc>
        <w:tc>
          <w:tcPr>
            <w:tcW w:w="913" w:type="dxa"/>
            <w:shd w:val="clear" w:color="auto" w:fill="FFFFFF"/>
          </w:tcPr>
          <w:p w14:paraId="41FA680D"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35.3</w:t>
            </w:r>
          </w:p>
        </w:tc>
        <w:tc>
          <w:tcPr>
            <w:tcW w:w="1263" w:type="dxa"/>
            <w:shd w:val="clear" w:color="auto" w:fill="FFFFFF"/>
          </w:tcPr>
          <w:p w14:paraId="3E769264" w14:textId="77777777" w:rsidR="00E96C47" w:rsidRPr="00EF6D46" w:rsidRDefault="00E96C47" w:rsidP="0047772E">
            <w:pPr>
              <w:spacing w:before="0"/>
              <w:jc w:val="center"/>
              <w:rPr>
                <w:rFonts w:cstheme="minorHAnsi"/>
                <w:sz w:val="20"/>
                <w:szCs w:val="20"/>
                <w:lang w:val="en-US"/>
              </w:rPr>
            </w:pPr>
            <w:r w:rsidRPr="00EF6D46">
              <w:rPr>
                <w:rStyle w:val="85pt"/>
                <w:rFonts w:asciiTheme="minorHAnsi" w:hAnsiTheme="minorHAnsi" w:cstheme="minorHAnsi"/>
                <w:sz w:val="20"/>
                <w:szCs w:val="20"/>
              </w:rPr>
              <w:t>9.2</w:t>
            </w:r>
          </w:p>
        </w:tc>
        <w:tc>
          <w:tcPr>
            <w:tcW w:w="1037" w:type="dxa"/>
            <w:shd w:val="clear" w:color="auto" w:fill="FFFFFF"/>
          </w:tcPr>
          <w:p w14:paraId="65DACDBC"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100</w:t>
            </w:r>
          </w:p>
        </w:tc>
      </w:tr>
      <w:tr w:rsidR="00E96C47" w:rsidRPr="00EF6D46" w14:paraId="06CED6AD" w14:textId="77777777" w:rsidTr="0047772E">
        <w:tc>
          <w:tcPr>
            <w:tcW w:w="1045" w:type="dxa"/>
            <w:tcBorders>
              <w:bottom w:val="single" w:sz="4" w:space="0" w:color="auto"/>
              <w:right w:val="single" w:sz="4" w:space="0" w:color="auto"/>
            </w:tcBorders>
            <w:shd w:val="clear" w:color="auto" w:fill="FFFFFF"/>
          </w:tcPr>
          <w:p w14:paraId="05998C89" w14:textId="77777777" w:rsidR="00E96C47" w:rsidRPr="00EF6D46" w:rsidRDefault="00E96C47" w:rsidP="0047772E">
            <w:pPr>
              <w:pStyle w:val="61"/>
              <w:shd w:val="clear" w:color="auto" w:fill="auto"/>
              <w:spacing w:line="240" w:lineRule="auto"/>
              <w:rPr>
                <w:rStyle w:val="85pt"/>
                <w:rFonts w:asciiTheme="minorHAnsi" w:hAnsiTheme="minorHAnsi" w:cstheme="minorHAnsi"/>
                <w:sz w:val="20"/>
                <w:szCs w:val="20"/>
              </w:rPr>
            </w:pPr>
            <w:r w:rsidRPr="00EF6D46">
              <w:rPr>
                <w:rStyle w:val="25"/>
                <w:rFonts w:asciiTheme="minorHAnsi" w:hAnsiTheme="minorHAnsi" w:cstheme="minorHAnsi"/>
                <w:sz w:val="20"/>
                <w:szCs w:val="20"/>
              </w:rPr>
              <w:t>Total</w:t>
            </w:r>
          </w:p>
        </w:tc>
        <w:tc>
          <w:tcPr>
            <w:tcW w:w="1020" w:type="dxa"/>
            <w:tcBorders>
              <w:left w:val="single" w:sz="4" w:space="0" w:color="auto"/>
              <w:bottom w:val="single" w:sz="4" w:space="0" w:color="auto"/>
            </w:tcBorders>
            <w:shd w:val="clear" w:color="auto" w:fill="FFFFFF"/>
          </w:tcPr>
          <w:p w14:paraId="6EB1228F"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33.0</w:t>
            </w:r>
          </w:p>
        </w:tc>
        <w:tc>
          <w:tcPr>
            <w:tcW w:w="917" w:type="dxa"/>
            <w:tcBorders>
              <w:bottom w:val="single" w:sz="4" w:space="0" w:color="auto"/>
            </w:tcBorders>
            <w:shd w:val="clear" w:color="auto" w:fill="FFFFFF"/>
          </w:tcPr>
          <w:p w14:paraId="1C87AA08"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41.5</w:t>
            </w:r>
          </w:p>
        </w:tc>
        <w:tc>
          <w:tcPr>
            <w:tcW w:w="1255" w:type="dxa"/>
            <w:tcBorders>
              <w:bottom w:val="single" w:sz="4" w:space="0" w:color="auto"/>
            </w:tcBorders>
            <w:shd w:val="clear" w:color="auto" w:fill="FFFFFF"/>
          </w:tcPr>
          <w:p w14:paraId="1B92C5E8"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25.5</w:t>
            </w:r>
          </w:p>
        </w:tc>
        <w:tc>
          <w:tcPr>
            <w:tcW w:w="592" w:type="dxa"/>
            <w:tcBorders>
              <w:bottom w:val="single" w:sz="4" w:space="0" w:color="auto"/>
              <w:right w:val="single" w:sz="4" w:space="0" w:color="auto"/>
            </w:tcBorders>
            <w:shd w:val="clear" w:color="auto" w:fill="FFFFFF"/>
          </w:tcPr>
          <w:p w14:paraId="68BF1651"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100</w:t>
            </w:r>
          </w:p>
        </w:tc>
        <w:tc>
          <w:tcPr>
            <w:tcW w:w="1020" w:type="dxa"/>
            <w:tcBorders>
              <w:left w:val="single" w:sz="4" w:space="0" w:color="auto"/>
              <w:bottom w:val="single" w:sz="4" w:space="0" w:color="auto"/>
            </w:tcBorders>
            <w:shd w:val="clear" w:color="auto" w:fill="FFFFFF"/>
          </w:tcPr>
          <w:p w14:paraId="05C814BF"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33.6</w:t>
            </w:r>
          </w:p>
        </w:tc>
        <w:tc>
          <w:tcPr>
            <w:tcW w:w="913" w:type="dxa"/>
            <w:tcBorders>
              <w:bottom w:val="single" w:sz="4" w:space="0" w:color="auto"/>
            </w:tcBorders>
            <w:shd w:val="clear" w:color="auto" w:fill="FFFFFF"/>
          </w:tcPr>
          <w:p w14:paraId="67D08567"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36.4</w:t>
            </w:r>
          </w:p>
        </w:tc>
        <w:tc>
          <w:tcPr>
            <w:tcW w:w="1263" w:type="dxa"/>
            <w:tcBorders>
              <w:bottom w:val="single" w:sz="4" w:space="0" w:color="auto"/>
            </w:tcBorders>
            <w:shd w:val="clear" w:color="auto" w:fill="FFFFFF"/>
          </w:tcPr>
          <w:p w14:paraId="459AAC17"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30.1</w:t>
            </w:r>
          </w:p>
        </w:tc>
        <w:tc>
          <w:tcPr>
            <w:tcW w:w="1037" w:type="dxa"/>
            <w:tcBorders>
              <w:bottom w:val="single" w:sz="4" w:space="0" w:color="auto"/>
            </w:tcBorders>
            <w:shd w:val="clear" w:color="auto" w:fill="FFFFFF"/>
          </w:tcPr>
          <w:p w14:paraId="59C8C8DE" w14:textId="77777777" w:rsidR="00E96C47" w:rsidRPr="00EF6D46" w:rsidRDefault="00E96C47" w:rsidP="0047772E">
            <w:pPr>
              <w:spacing w:before="0"/>
              <w:jc w:val="center"/>
              <w:rPr>
                <w:rFonts w:cstheme="minorHAnsi"/>
                <w:sz w:val="20"/>
                <w:szCs w:val="20"/>
                <w:lang w:val="en-US"/>
              </w:rPr>
            </w:pPr>
            <w:r w:rsidRPr="00EF6D46">
              <w:rPr>
                <w:rStyle w:val="25"/>
                <w:rFonts w:asciiTheme="minorHAnsi" w:hAnsiTheme="minorHAnsi" w:cstheme="minorHAnsi"/>
                <w:sz w:val="20"/>
                <w:szCs w:val="20"/>
              </w:rPr>
              <w:t>100</w:t>
            </w:r>
          </w:p>
        </w:tc>
      </w:tr>
    </w:tbl>
    <w:p w14:paraId="480E5F26" w14:textId="0F3D0D47" w:rsidR="00E96C47" w:rsidRPr="00EF6D46" w:rsidRDefault="00E96C47" w:rsidP="00E96C47">
      <w:pPr>
        <w:pStyle w:val="aff4"/>
        <w:shd w:val="clear" w:color="auto" w:fill="auto"/>
        <w:spacing w:before="120" w:line="240" w:lineRule="auto"/>
        <w:jc w:val="both"/>
        <w:rPr>
          <w:sz w:val="20"/>
          <w:szCs w:val="20"/>
        </w:rPr>
      </w:pPr>
      <w:r w:rsidRPr="004A792A">
        <w:rPr>
          <w:sz w:val="20"/>
          <w:szCs w:val="20"/>
        </w:rPr>
        <w:t xml:space="preserve">Note: An occupation is defined as female-dominated if the average share of women employed in this occupation in 2014-2016 was 60 percent or more; an occupation is defined as male-dominated if the average share of women employed </w:t>
      </w:r>
      <w:r w:rsidRPr="00607595">
        <w:rPr>
          <w:sz w:val="20"/>
          <w:szCs w:val="20"/>
        </w:rPr>
        <w:t>in this occupation in 2014-2016 was 40 percent or less; an occupation with female share between 40 and 60 percent is classified as mixed.</w:t>
      </w:r>
      <w:r w:rsidR="00FC2889" w:rsidRPr="00607595">
        <w:rPr>
          <w:sz w:val="20"/>
          <w:szCs w:val="20"/>
        </w:rPr>
        <w:t xml:space="preserve"> </w:t>
      </w:r>
      <w:r w:rsidR="00633F2B" w:rsidRPr="00607595">
        <w:rPr>
          <w:sz w:val="20"/>
          <w:szCs w:val="20"/>
        </w:rPr>
        <w:t xml:space="preserve">Classification of 2-digit ISCO occupations into female-/male-dominated and mixed occupations is provided in </w:t>
      </w:r>
      <w:r w:rsidR="002D0FD7" w:rsidRPr="002D0FD7">
        <w:rPr>
          <w:color w:val="000000"/>
          <w:sz w:val="20"/>
          <w:szCs w:val="20"/>
        </w:rPr>
        <w:fldChar w:fldCharType="begin"/>
      </w:r>
      <w:r w:rsidR="002D0FD7" w:rsidRPr="002D0FD7">
        <w:rPr>
          <w:color w:val="000000"/>
          <w:sz w:val="20"/>
          <w:szCs w:val="20"/>
        </w:rPr>
        <w:instrText xml:space="preserve"> REF _Ref525305983 \h  \* MERGEFORMAT </w:instrText>
      </w:r>
      <w:r w:rsidR="002D0FD7" w:rsidRPr="002D0FD7">
        <w:rPr>
          <w:color w:val="000000"/>
          <w:sz w:val="20"/>
          <w:szCs w:val="20"/>
        </w:rPr>
      </w:r>
      <w:r w:rsidR="002D0FD7" w:rsidRPr="002D0FD7">
        <w:rPr>
          <w:color w:val="000000"/>
          <w:sz w:val="20"/>
          <w:szCs w:val="20"/>
        </w:rPr>
        <w:fldChar w:fldCharType="separate"/>
      </w:r>
      <w:r w:rsidR="002D0FD7" w:rsidRPr="002D0FD7">
        <w:rPr>
          <w:sz w:val="20"/>
          <w:szCs w:val="20"/>
        </w:rPr>
        <w:t>Table A-</w:t>
      </w:r>
      <w:r w:rsidR="002D0FD7" w:rsidRPr="002D0FD7">
        <w:rPr>
          <w:noProof/>
          <w:sz w:val="20"/>
          <w:szCs w:val="20"/>
        </w:rPr>
        <w:t>2</w:t>
      </w:r>
      <w:r w:rsidR="002D0FD7" w:rsidRPr="002D0FD7">
        <w:rPr>
          <w:color w:val="000000"/>
          <w:sz w:val="20"/>
          <w:szCs w:val="20"/>
        </w:rPr>
        <w:fldChar w:fldCharType="end"/>
      </w:r>
      <w:r w:rsidR="002D0FD7">
        <w:rPr>
          <w:color w:val="000000"/>
          <w:sz w:val="20"/>
          <w:szCs w:val="20"/>
        </w:rPr>
        <w:t>.</w:t>
      </w:r>
      <w:r w:rsidR="00633F2B" w:rsidRPr="00607595">
        <w:rPr>
          <w:sz w:val="20"/>
          <w:szCs w:val="20"/>
        </w:rPr>
        <w:t xml:space="preserve"> </w:t>
      </w:r>
      <w:r w:rsidR="00FC2889" w:rsidRPr="00607595">
        <w:rPr>
          <w:sz w:val="20"/>
          <w:szCs w:val="20"/>
        </w:rPr>
        <w:t xml:space="preserve">The analysis here is limited to </w:t>
      </w:r>
      <w:r w:rsidR="00EF6D46" w:rsidRPr="00607595">
        <w:rPr>
          <w:sz w:val="20"/>
          <w:szCs w:val="20"/>
        </w:rPr>
        <w:t xml:space="preserve">2014-2016 to </w:t>
      </w:r>
      <w:r w:rsidR="00FC2889" w:rsidRPr="00607595">
        <w:rPr>
          <w:sz w:val="20"/>
          <w:szCs w:val="20"/>
        </w:rPr>
        <w:t xml:space="preserve">avoid the possible reclassification error </w:t>
      </w:r>
      <w:r w:rsidR="00EF6D46" w:rsidRPr="00607595">
        <w:rPr>
          <w:sz w:val="20"/>
          <w:szCs w:val="20"/>
        </w:rPr>
        <w:t>caused by a switch of NBS to ISCO-2008.</w:t>
      </w:r>
    </w:p>
    <w:p w14:paraId="6A650666" w14:textId="77777777" w:rsidR="00937BBC" w:rsidRDefault="00937BBC" w:rsidP="00F26F1C">
      <w:pPr>
        <w:pStyle w:val="61"/>
        <w:shd w:val="clear" w:color="auto" w:fill="auto"/>
        <w:spacing w:before="120" w:line="240" w:lineRule="auto"/>
        <w:jc w:val="both"/>
        <w:rPr>
          <w:color w:val="000000"/>
          <w:sz w:val="22"/>
          <w:szCs w:val="22"/>
        </w:rPr>
      </w:pPr>
    </w:p>
    <w:p w14:paraId="40B36FD7" w14:textId="6E6B3E67" w:rsidR="00287A79" w:rsidRDefault="002D0FD7" w:rsidP="00F26F1C">
      <w:pPr>
        <w:pStyle w:val="61"/>
        <w:shd w:val="clear" w:color="auto" w:fill="auto"/>
        <w:spacing w:before="120" w:line="240" w:lineRule="auto"/>
        <w:jc w:val="both"/>
        <w:rPr>
          <w:color w:val="000000"/>
          <w:sz w:val="22"/>
          <w:szCs w:val="22"/>
        </w:rPr>
      </w:pPr>
      <w:r w:rsidRPr="002D0FD7">
        <w:rPr>
          <w:b/>
          <w:color w:val="000000"/>
          <w:sz w:val="22"/>
          <w:szCs w:val="22"/>
        </w:rPr>
        <w:t>Moldova compares favorably to many European countries</w:t>
      </w:r>
      <w:r>
        <w:rPr>
          <w:b/>
          <w:color w:val="000000"/>
          <w:sz w:val="22"/>
          <w:szCs w:val="22"/>
        </w:rPr>
        <w:t xml:space="preserve"> in terms of the</w:t>
      </w:r>
      <w:r w:rsidRPr="002D0FD7">
        <w:rPr>
          <w:b/>
          <w:color w:val="000000"/>
          <w:sz w:val="22"/>
          <w:szCs w:val="22"/>
        </w:rPr>
        <w:t xml:space="preserve"> share of women working in female-dominated</w:t>
      </w:r>
      <w:r w:rsidR="004E6599">
        <w:rPr>
          <w:b/>
          <w:color w:val="000000"/>
          <w:sz w:val="22"/>
          <w:szCs w:val="22"/>
        </w:rPr>
        <w:t xml:space="preserve"> occupations and the share of men working in male-dominated occupations, mainly due to a high share of Moldovan women and men </w:t>
      </w:r>
      <w:r w:rsidR="00F465F2">
        <w:rPr>
          <w:b/>
          <w:color w:val="000000"/>
          <w:sz w:val="22"/>
          <w:szCs w:val="22"/>
        </w:rPr>
        <w:t xml:space="preserve">employed in </w:t>
      </w:r>
      <w:r w:rsidR="004E6599">
        <w:rPr>
          <w:b/>
          <w:color w:val="000000"/>
          <w:sz w:val="22"/>
          <w:szCs w:val="22"/>
        </w:rPr>
        <w:t xml:space="preserve">mixed occupations </w:t>
      </w:r>
      <w:r w:rsidR="004E6599">
        <w:rPr>
          <w:color w:val="000000"/>
          <w:sz w:val="22"/>
          <w:szCs w:val="22"/>
        </w:rPr>
        <w:t>(</w:t>
      </w:r>
      <w:r w:rsidR="004E6599" w:rsidRPr="009D23BA">
        <w:rPr>
          <w:color w:val="000000"/>
          <w:sz w:val="22"/>
          <w:szCs w:val="22"/>
        </w:rPr>
        <w:fldChar w:fldCharType="begin"/>
      </w:r>
      <w:r w:rsidR="004E6599" w:rsidRPr="009D23BA">
        <w:rPr>
          <w:color w:val="000000"/>
          <w:sz w:val="22"/>
          <w:szCs w:val="22"/>
        </w:rPr>
        <w:instrText xml:space="preserve"> REF _Ref525821408 \h </w:instrText>
      </w:r>
      <w:r w:rsidR="004E6599">
        <w:rPr>
          <w:color w:val="000000"/>
          <w:sz w:val="22"/>
          <w:szCs w:val="22"/>
        </w:rPr>
        <w:instrText xml:space="preserve"> \* MERGEFORMAT </w:instrText>
      </w:r>
      <w:r w:rsidR="004E6599" w:rsidRPr="009D23BA">
        <w:rPr>
          <w:color w:val="000000"/>
          <w:sz w:val="22"/>
          <w:szCs w:val="22"/>
        </w:rPr>
      </w:r>
      <w:r w:rsidR="004E6599" w:rsidRPr="009D23BA">
        <w:rPr>
          <w:color w:val="000000"/>
          <w:sz w:val="22"/>
          <w:szCs w:val="22"/>
        </w:rPr>
        <w:fldChar w:fldCharType="separate"/>
      </w:r>
      <w:r w:rsidR="004E6599" w:rsidRPr="00B76B66">
        <w:rPr>
          <w:sz w:val="22"/>
          <w:szCs w:val="22"/>
        </w:rPr>
        <w:t xml:space="preserve">Figure </w:t>
      </w:r>
      <w:r w:rsidR="004E6599" w:rsidRPr="00B76B66">
        <w:rPr>
          <w:noProof/>
          <w:sz w:val="22"/>
          <w:szCs w:val="22"/>
        </w:rPr>
        <w:t>7</w:t>
      </w:r>
      <w:r w:rsidR="004E6599" w:rsidRPr="009D23BA">
        <w:rPr>
          <w:color w:val="000000"/>
          <w:sz w:val="22"/>
          <w:szCs w:val="22"/>
        </w:rPr>
        <w:fldChar w:fldCharType="end"/>
      </w:r>
      <w:r w:rsidR="004E6599">
        <w:rPr>
          <w:color w:val="000000"/>
          <w:sz w:val="22"/>
          <w:szCs w:val="22"/>
        </w:rPr>
        <w:t>)</w:t>
      </w:r>
      <w:r w:rsidRPr="002D0FD7">
        <w:rPr>
          <w:b/>
          <w:color w:val="000000"/>
          <w:sz w:val="22"/>
          <w:szCs w:val="22"/>
        </w:rPr>
        <w:t>.</w:t>
      </w:r>
      <w:r w:rsidRPr="004A792A">
        <w:rPr>
          <w:color w:val="000000"/>
          <w:sz w:val="22"/>
          <w:szCs w:val="22"/>
        </w:rPr>
        <w:t xml:space="preserve"> </w:t>
      </w:r>
      <w:r w:rsidR="004E6599" w:rsidRPr="004A792A">
        <w:rPr>
          <w:color w:val="000000"/>
          <w:sz w:val="22"/>
          <w:szCs w:val="22"/>
        </w:rPr>
        <w:t>Although the proportion of Moldovan women working in male-dominated occupations is significantly smaller than in developed EU countries, it is at roughly similar level as in post-socialist countries including Lithuania, Estonia, Hungary</w:t>
      </w:r>
      <w:r w:rsidR="004E6599">
        <w:rPr>
          <w:color w:val="000000"/>
          <w:sz w:val="22"/>
          <w:szCs w:val="22"/>
        </w:rPr>
        <w:t>,</w:t>
      </w:r>
      <w:r w:rsidR="004E6599" w:rsidRPr="004A792A">
        <w:rPr>
          <w:color w:val="000000"/>
          <w:sz w:val="22"/>
          <w:szCs w:val="22"/>
        </w:rPr>
        <w:t xml:space="preserve"> and the Slovak Republic</w:t>
      </w:r>
      <w:r w:rsidR="004E6599">
        <w:rPr>
          <w:color w:val="000000"/>
          <w:sz w:val="22"/>
          <w:szCs w:val="22"/>
        </w:rPr>
        <w:t xml:space="preserve"> (</w:t>
      </w:r>
      <w:r w:rsidR="004E6599" w:rsidRPr="009D23BA">
        <w:rPr>
          <w:color w:val="000000"/>
          <w:sz w:val="22"/>
          <w:szCs w:val="22"/>
        </w:rPr>
        <w:fldChar w:fldCharType="begin"/>
      </w:r>
      <w:r w:rsidR="004E6599" w:rsidRPr="009D23BA">
        <w:rPr>
          <w:color w:val="000000"/>
          <w:sz w:val="22"/>
          <w:szCs w:val="22"/>
        </w:rPr>
        <w:instrText xml:space="preserve"> REF _Ref525821408 \h </w:instrText>
      </w:r>
      <w:r w:rsidR="004E6599">
        <w:rPr>
          <w:color w:val="000000"/>
          <w:sz w:val="22"/>
          <w:szCs w:val="22"/>
        </w:rPr>
        <w:instrText xml:space="preserve"> \* MERGEFORMAT </w:instrText>
      </w:r>
      <w:r w:rsidR="004E6599" w:rsidRPr="009D23BA">
        <w:rPr>
          <w:color w:val="000000"/>
          <w:sz w:val="22"/>
          <w:szCs w:val="22"/>
        </w:rPr>
      </w:r>
      <w:r w:rsidR="004E6599" w:rsidRPr="009D23BA">
        <w:rPr>
          <w:color w:val="000000"/>
          <w:sz w:val="22"/>
          <w:szCs w:val="22"/>
        </w:rPr>
        <w:fldChar w:fldCharType="separate"/>
      </w:r>
      <w:r w:rsidR="004E6599" w:rsidRPr="00E5323A">
        <w:rPr>
          <w:sz w:val="22"/>
          <w:szCs w:val="22"/>
        </w:rPr>
        <w:t xml:space="preserve">Figure </w:t>
      </w:r>
      <w:r w:rsidR="004E6599" w:rsidRPr="00E5323A">
        <w:rPr>
          <w:noProof/>
          <w:sz w:val="22"/>
          <w:szCs w:val="22"/>
        </w:rPr>
        <w:t>7</w:t>
      </w:r>
      <w:r w:rsidR="004E6599" w:rsidRPr="009D23BA">
        <w:rPr>
          <w:color w:val="000000"/>
          <w:sz w:val="22"/>
          <w:szCs w:val="22"/>
        </w:rPr>
        <w:fldChar w:fldCharType="end"/>
      </w:r>
      <w:r w:rsidR="004E6599">
        <w:rPr>
          <w:color w:val="000000"/>
          <w:sz w:val="22"/>
          <w:szCs w:val="22"/>
        </w:rPr>
        <w:t>, Panel A)</w:t>
      </w:r>
      <w:r w:rsidR="004E6599" w:rsidRPr="004A792A">
        <w:rPr>
          <w:color w:val="000000"/>
          <w:sz w:val="22"/>
          <w:szCs w:val="22"/>
        </w:rPr>
        <w:t>.</w:t>
      </w:r>
      <w:bookmarkStart w:id="33" w:name="_Ref521667249"/>
    </w:p>
    <w:p w14:paraId="40CBF685" w14:textId="681EAA0D" w:rsidR="00F26F1C" w:rsidRDefault="00167A47" w:rsidP="00EF6D46">
      <w:pPr>
        <w:pStyle w:val="ad"/>
        <w:spacing w:before="240" w:after="0"/>
        <w:jc w:val="left"/>
        <w:rPr>
          <w:lang w:val="en-US"/>
        </w:rPr>
      </w:pPr>
      <w:bookmarkStart w:id="34" w:name="_Ref525821408"/>
      <w:bookmarkStart w:id="35" w:name="_Toc533211763"/>
      <w:r>
        <w:t xml:space="preserve">Figure </w:t>
      </w:r>
      <w:r>
        <w:fldChar w:fldCharType="begin"/>
      </w:r>
      <w:r>
        <w:instrText xml:space="preserve"> SEQ Figure \* ARABIC </w:instrText>
      </w:r>
      <w:r>
        <w:fldChar w:fldCharType="separate"/>
      </w:r>
      <w:r w:rsidR="007F56F7">
        <w:rPr>
          <w:noProof/>
        </w:rPr>
        <w:t>7</w:t>
      </w:r>
      <w:r>
        <w:fldChar w:fldCharType="end"/>
      </w:r>
      <w:bookmarkEnd w:id="33"/>
      <w:bookmarkEnd w:id="34"/>
      <w:r>
        <w:t xml:space="preserve">: </w:t>
      </w:r>
      <w:r w:rsidRPr="004A792A">
        <w:rPr>
          <w:lang w:val="en-US"/>
        </w:rPr>
        <w:t>Employment in female/male-dominated and mixed occupations</w:t>
      </w:r>
      <w:r>
        <w:rPr>
          <w:lang w:val="en-US"/>
        </w:rPr>
        <w:t xml:space="preserve"> in Moldova (2016) and EU countries (2010)</w:t>
      </w:r>
      <w:bookmarkEnd w:id="35"/>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167A47" w14:paraId="6065F55E" w14:textId="77777777" w:rsidTr="00FA2A9D">
        <w:tc>
          <w:tcPr>
            <w:tcW w:w="4514" w:type="dxa"/>
          </w:tcPr>
          <w:p w14:paraId="6BBD1BD0" w14:textId="77777777" w:rsidR="00167A47" w:rsidRDefault="00167A47" w:rsidP="00167A47">
            <w:pPr>
              <w:rPr>
                <w:lang w:val="en-US"/>
              </w:rPr>
            </w:pPr>
            <w:r>
              <w:rPr>
                <w:lang w:val="en-US"/>
              </w:rPr>
              <w:t>A) Women</w:t>
            </w:r>
          </w:p>
        </w:tc>
        <w:tc>
          <w:tcPr>
            <w:tcW w:w="4700" w:type="dxa"/>
          </w:tcPr>
          <w:p w14:paraId="50E0F00D" w14:textId="77777777" w:rsidR="00167A47" w:rsidRDefault="00167A47" w:rsidP="00167A47">
            <w:pPr>
              <w:rPr>
                <w:lang w:val="en-US"/>
              </w:rPr>
            </w:pPr>
            <w:r>
              <w:rPr>
                <w:lang w:val="en-US"/>
              </w:rPr>
              <w:t>B) Men</w:t>
            </w:r>
          </w:p>
        </w:tc>
      </w:tr>
      <w:tr w:rsidR="00167A47" w14:paraId="138D96F3" w14:textId="77777777" w:rsidTr="00FA2A9D">
        <w:tc>
          <w:tcPr>
            <w:tcW w:w="4514" w:type="dxa"/>
          </w:tcPr>
          <w:p w14:paraId="4282FE66" w14:textId="77777777" w:rsidR="00167A47" w:rsidRDefault="0067542D" w:rsidP="00167A47">
            <w:pPr>
              <w:rPr>
                <w:lang w:val="en-US"/>
              </w:rPr>
            </w:pPr>
            <w:r w:rsidRPr="0067542D">
              <w:rPr>
                <w:noProof/>
                <w:lang w:val="ru-RU" w:eastAsia="ru-RU"/>
              </w:rPr>
              <w:lastRenderedPageBreak/>
              <w:drawing>
                <wp:inline distT="0" distB="0" distL="0" distR="0" wp14:anchorId="370C46C2" wp14:editId="6D034AF4">
                  <wp:extent cx="2857500" cy="3672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672840"/>
                          </a:xfrm>
                          <a:prstGeom prst="rect">
                            <a:avLst/>
                          </a:prstGeom>
                          <a:noFill/>
                          <a:ln>
                            <a:noFill/>
                          </a:ln>
                        </pic:spPr>
                      </pic:pic>
                    </a:graphicData>
                  </a:graphic>
                </wp:inline>
              </w:drawing>
            </w:r>
          </w:p>
        </w:tc>
        <w:tc>
          <w:tcPr>
            <w:tcW w:w="4700" w:type="dxa"/>
          </w:tcPr>
          <w:p w14:paraId="3666746F" w14:textId="77777777" w:rsidR="00167A47" w:rsidRDefault="0067542D" w:rsidP="00167A47">
            <w:pPr>
              <w:rPr>
                <w:lang w:val="en-US"/>
              </w:rPr>
            </w:pPr>
            <w:r w:rsidRPr="0067542D">
              <w:rPr>
                <w:noProof/>
                <w:lang w:val="ru-RU" w:eastAsia="ru-RU"/>
              </w:rPr>
              <w:drawing>
                <wp:inline distT="0" distB="0" distL="0" distR="0" wp14:anchorId="325F619C" wp14:editId="103077F7">
                  <wp:extent cx="2857500" cy="3665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3665220"/>
                          </a:xfrm>
                          <a:prstGeom prst="rect">
                            <a:avLst/>
                          </a:prstGeom>
                          <a:noFill/>
                          <a:ln>
                            <a:noFill/>
                          </a:ln>
                        </pic:spPr>
                      </pic:pic>
                    </a:graphicData>
                  </a:graphic>
                </wp:inline>
              </w:drawing>
            </w:r>
          </w:p>
        </w:tc>
      </w:tr>
    </w:tbl>
    <w:p w14:paraId="39E4ACD6" w14:textId="77777777" w:rsidR="00167A47" w:rsidRDefault="00167A47" w:rsidP="00167A47">
      <w:pPr>
        <w:rPr>
          <w:i/>
          <w:color w:val="000000"/>
          <w:sz w:val="20"/>
          <w:szCs w:val="20"/>
        </w:rPr>
      </w:pPr>
      <w:r w:rsidRPr="00167A47">
        <w:rPr>
          <w:i/>
          <w:sz w:val="20"/>
          <w:szCs w:val="20"/>
          <w:lang w:val="en-US"/>
        </w:rPr>
        <w:t>Source</w:t>
      </w:r>
      <w:r w:rsidR="0067542D">
        <w:rPr>
          <w:i/>
          <w:sz w:val="20"/>
          <w:szCs w:val="20"/>
          <w:lang w:val="en-US"/>
        </w:rPr>
        <w:t>s</w:t>
      </w:r>
      <w:r w:rsidRPr="00167A47">
        <w:rPr>
          <w:i/>
          <w:sz w:val="20"/>
          <w:szCs w:val="20"/>
          <w:lang w:val="en-US"/>
        </w:rPr>
        <w:t>: Moldova – author’s calculations based on the individual-level LFS-2016 data</w:t>
      </w:r>
      <w:r w:rsidR="00A92F94">
        <w:rPr>
          <w:i/>
          <w:sz w:val="20"/>
          <w:szCs w:val="20"/>
          <w:lang w:val="en-US"/>
        </w:rPr>
        <w:t xml:space="preserve"> (</w:t>
      </w:r>
      <w:r w:rsidR="00A92F94" w:rsidRPr="00A92F94">
        <w:rPr>
          <w:i/>
          <w:sz w:val="20"/>
          <w:szCs w:val="20"/>
          <w:lang w:val="en-US"/>
        </w:rPr>
        <w:fldChar w:fldCharType="begin"/>
      </w:r>
      <w:r w:rsidR="00A92F94" w:rsidRPr="00A92F94">
        <w:rPr>
          <w:i/>
          <w:sz w:val="20"/>
          <w:szCs w:val="20"/>
          <w:lang w:val="en-US"/>
        </w:rPr>
        <w:instrText xml:space="preserve"> REF _Ref519153038 \h  \* MERGEFORMAT </w:instrText>
      </w:r>
      <w:r w:rsidR="00A92F94" w:rsidRPr="00A92F94">
        <w:rPr>
          <w:i/>
          <w:sz w:val="20"/>
          <w:szCs w:val="20"/>
          <w:lang w:val="en-US"/>
        </w:rPr>
      </w:r>
      <w:r w:rsidR="00A92F94" w:rsidRPr="00A92F94">
        <w:rPr>
          <w:i/>
          <w:sz w:val="20"/>
          <w:szCs w:val="20"/>
          <w:lang w:val="en-US"/>
        </w:rPr>
        <w:fldChar w:fldCharType="separate"/>
      </w:r>
      <w:r w:rsidR="00206AA9" w:rsidRPr="00206AA9">
        <w:rPr>
          <w:i/>
          <w:sz w:val="20"/>
          <w:szCs w:val="20"/>
          <w:lang w:val="en-US"/>
        </w:rPr>
        <w:t xml:space="preserve">Table </w:t>
      </w:r>
      <w:r w:rsidR="00206AA9" w:rsidRPr="00206AA9">
        <w:rPr>
          <w:i/>
          <w:noProof/>
          <w:sz w:val="20"/>
          <w:szCs w:val="20"/>
          <w:lang w:val="en-US"/>
        </w:rPr>
        <w:t>2</w:t>
      </w:r>
      <w:r w:rsidR="00A92F94" w:rsidRPr="00A92F94">
        <w:rPr>
          <w:i/>
          <w:sz w:val="20"/>
          <w:szCs w:val="20"/>
          <w:lang w:val="en-US"/>
        </w:rPr>
        <w:fldChar w:fldCharType="end"/>
      </w:r>
      <w:r w:rsidR="00A92F94">
        <w:rPr>
          <w:i/>
          <w:sz w:val="20"/>
          <w:szCs w:val="20"/>
          <w:lang w:val="en-US"/>
        </w:rPr>
        <w:t>)</w:t>
      </w:r>
      <w:r w:rsidRPr="00167A47">
        <w:rPr>
          <w:i/>
          <w:sz w:val="20"/>
          <w:szCs w:val="20"/>
          <w:lang w:val="en-US"/>
        </w:rPr>
        <w:t xml:space="preserve">, EU countries – </w:t>
      </w:r>
      <w:proofErr w:type="spellStart"/>
      <w:r w:rsidRPr="00167A47">
        <w:rPr>
          <w:i/>
          <w:color w:val="000000"/>
          <w:sz w:val="20"/>
          <w:szCs w:val="20"/>
        </w:rPr>
        <w:t>Burchell</w:t>
      </w:r>
      <w:proofErr w:type="spellEnd"/>
      <w:r w:rsidRPr="00167A47">
        <w:rPr>
          <w:i/>
          <w:color w:val="000000"/>
          <w:sz w:val="20"/>
          <w:szCs w:val="20"/>
        </w:rPr>
        <w:t xml:space="preserve"> et al. (2014), Figures 1 and 2.</w:t>
      </w:r>
    </w:p>
    <w:p w14:paraId="458CCAE6" w14:textId="271460E9" w:rsidR="004E6599" w:rsidRPr="00B50CFC" w:rsidRDefault="001A5FA4" w:rsidP="004E6599">
      <w:pPr>
        <w:pStyle w:val="61"/>
        <w:shd w:val="clear" w:color="auto" w:fill="auto"/>
        <w:spacing w:before="120" w:line="240" w:lineRule="auto"/>
        <w:jc w:val="both"/>
        <w:rPr>
          <w:sz w:val="22"/>
          <w:szCs w:val="22"/>
        </w:rPr>
      </w:pPr>
      <w:r w:rsidRPr="00661FF3">
        <w:rPr>
          <w:b/>
          <w:color w:val="000000"/>
          <w:sz w:val="22"/>
          <w:szCs w:val="22"/>
        </w:rPr>
        <w:t>The bias of female part-time wage and salaried workers towards female-dominated occupations in Moldova</w:t>
      </w:r>
      <w:r w:rsidRPr="004A792A">
        <w:rPr>
          <w:color w:val="000000"/>
          <w:sz w:val="22"/>
          <w:szCs w:val="22"/>
        </w:rPr>
        <w:t xml:space="preserve"> is similar to that found in European countries</w:t>
      </w:r>
      <w:r w:rsidRPr="001A5FA4">
        <w:rPr>
          <w:color w:val="000000"/>
          <w:sz w:val="22"/>
          <w:szCs w:val="22"/>
        </w:rPr>
        <w:t xml:space="preserve"> </w:t>
      </w:r>
      <w:r>
        <w:rPr>
          <w:color w:val="000000"/>
          <w:sz w:val="22"/>
          <w:szCs w:val="22"/>
        </w:rPr>
        <w:t>(</w:t>
      </w:r>
      <w:proofErr w:type="spellStart"/>
      <w:r w:rsidRPr="004A792A">
        <w:rPr>
          <w:color w:val="000000"/>
          <w:sz w:val="22"/>
          <w:szCs w:val="22"/>
        </w:rPr>
        <w:t>Burchell</w:t>
      </w:r>
      <w:proofErr w:type="spellEnd"/>
      <w:r w:rsidRPr="004A792A">
        <w:rPr>
          <w:color w:val="000000"/>
          <w:sz w:val="22"/>
          <w:szCs w:val="22"/>
        </w:rPr>
        <w:t xml:space="preserve"> et al.</w:t>
      </w:r>
      <w:r>
        <w:rPr>
          <w:color w:val="000000"/>
          <w:sz w:val="22"/>
          <w:szCs w:val="22"/>
        </w:rPr>
        <w:t>,</w:t>
      </w:r>
      <w:r w:rsidRPr="004A792A">
        <w:rPr>
          <w:color w:val="000000"/>
          <w:sz w:val="22"/>
          <w:szCs w:val="22"/>
        </w:rPr>
        <w:t xml:space="preserve"> 2014): women and men working-part-time are more likely to work in female-dominated occupations and less likely to work in male-dominated occupations </w:t>
      </w:r>
      <w:r>
        <w:rPr>
          <w:color w:val="000000"/>
          <w:sz w:val="22"/>
          <w:szCs w:val="22"/>
        </w:rPr>
        <w:t>compared to</w:t>
      </w:r>
      <w:r w:rsidRPr="004A792A">
        <w:rPr>
          <w:color w:val="000000"/>
          <w:sz w:val="22"/>
          <w:szCs w:val="22"/>
        </w:rPr>
        <w:t xml:space="preserve"> full-time employees (</w:t>
      </w:r>
      <w:r w:rsidRPr="004A792A">
        <w:rPr>
          <w:color w:val="000000"/>
          <w:sz w:val="22"/>
          <w:szCs w:val="22"/>
        </w:rPr>
        <w:fldChar w:fldCharType="begin"/>
      </w:r>
      <w:r w:rsidRPr="004A792A">
        <w:rPr>
          <w:color w:val="000000"/>
          <w:sz w:val="22"/>
          <w:szCs w:val="22"/>
        </w:rPr>
        <w:instrText xml:space="preserve"> REF _Ref519153613 \h  \* MERGEFORMAT </w:instrText>
      </w:r>
      <w:r w:rsidRPr="004A792A">
        <w:rPr>
          <w:color w:val="000000"/>
          <w:sz w:val="22"/>
          <w:szCs w:val="22"/>
        </w:rPr>
      </w:r>
      <w:r w:rsidRPr="004A792A">
        <w:rPr>
          <w:color w:val="000000"/>
          <w:sz w:val="22"/>
          <w:szCs w:val="22"/>
        </w:rPr>
        <w:fldChar w:fldCharType="separate"/>
      </w:r>
      <w:r w:rsidRPr="00E5323A">
        <w:rPr>
          <w:sz w:val="22"/>
          <w:szCs w:val="22"/>
        </w:rPr>
        <w:t xml:space="preserve">Figure </w:t>
      </w:r>
      <w:r w:rsidRPr="00E5323A">
        <w:rPr>
          <w:noProof/>
          <w:sz w:val="22"/>
          <w:szCs w:val="22"/>
        </w:rPr>
        <w:t>8</w:t>
      </w:r>
      <w:r w:rsidRPr="004A792A">
        <w:rPr>
          <w:color w:val="000000"/>
          <w:sz w:val="22"/>
          <w:szCs w:val="22"/>
        </w:rPr>
        <w:fldChar w:fldCharType="end"/>
      </w:r>
      <w:r w:rsidRPr="004A792A">
        <w:rPr>
          <w:color w:val="000000"/>
          <w:sz w:val="22"/>
          <w:szCs w:val="22"/>
        </w:rPr>
        <w:t>).</w:t>
      </w:r>
      <w:r>
        <w:rPr>
          <w:color w:val="000000"/>
          <w:sz w:val="22"/>
          <w:szCs w:val="22"/>
        </w:rPr>
        <w:t xml:space="preserve"> But it should be taken into account that </w:t>
      </w:r>
      <w:r w:rsidR="004E6599" w:rsidRPr="00661FF3">
        <w:rPr>
          <w:color w:val="000000"/>
          <w:sz w:val="22"/>
          <w:szCs w:val="22"/>
        </w:rPr>
        <w:t>Moldova lags behind European countries in the incidence of part-time employment: according to the LFS data, only 4.6 percent of female employees and 2.9 percent of male employees reported working part-time in 2016 in Moldova</w:t>
      </w:r>
      <w:r w:rsidR="004E6599" w:rsidRPr="0075639E">
        <w:rPr>
          <w:color w:val="000000"/>
          <w:sz w:val="22"/>
          <w:szCs w:val="22"/>
        </w:rPr>
        <w:t>.</w:t>
      </w:r>
      <w:r w:rsidR="004E6599" w:rsidRPr="004A792A">
        <w:rPr>
          <w:color w:val="000000"/>
          <w:sz w:val="22"/>
          <w:szCs w:val="22"/>
        </w:rPr>
        <w:t xml:space="preserve"> For comparison, the share of part-time workers in EU countries is 31 percent for women and 8 percent for men (EC, 2018).</w:t>
      </w:r>
    </w:p>
    <w:p w14:paraId="14C76F4D" w14:textId="095C3D20" w:rsidR="00F26F1C" w:rsidRPr="004A792A" w:rsidRDefault="00D169E5" w:rsidP="00FB259F">
      <w:pPr>
        <w:pStyle w:val="ad"/>
        <w:spacing w:before="240" w:after="0"/>
        <w:jc w:val="both"/>
        <w:rPr>
          <w:lang w:val="en-US"/>
        </w:rPr>
      </w:pPr>
      <w:bookmarkStart w:id="36" w:name="_Ref519153613"/>
      <w:bookmarkStart w:id="37" w:name="_Toc533211764"/>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8</w:t>
      </w:r>
      <w:r w:rsidRPr="004A792A">
        <w:rPr>
          <w:lang w:val="en-US"/>
        </w:rPr>
        <w:fldChar w:fldCharType="end"/>
      </w:r>
      <w:bookmarkEnd w:id="36"/>
      <w:r w:rsidR="00F26F1C" w:rsidRPr="004A792A">
        <w:rPr>
          <w:lang w:val="en-US"/>
        </w:rPr>
        <w:t xml:space="preserve">: </w:t>
      </w:r>
      <w:r w:rsidR="00F977C4" w:rsidRPr="004A792A">
        <w:rPr>
          <w:lang w:val="en-US"/>
        </w:rPr>
        <w:t>Employment of f</w:t>
      </w:r>
      <w:r w:rsidR="00F26F1C" w:rsidRPr="004A792A">
        <w:rPr>
          <w:lang w:val="en-US"/>
        </w:rPr>
        <w:t xml:space="preserve">ull-time and part-time </w:t>
      </w:r>
      <w:r w:rsidR="00F977C4" w:rsidRPr="004A792A">
        <w:rPr>
          <w:lang w:val="en-US"/>
        </w:rPr>
        <w:t xml:space="preserve">employees by gender and type of </w:t>
      </w:r>
      <w:r w:rsidR="00F26F1C" w:rsidRPr="004A792A">
        <w:rPr>
          <w:lang w:val="en-US"/>
        </w:rPr>
        <w:t>occupation (%), 2016</w:t>
      </w:r>
      <w:bookmarkEnd w:id="37"/>
    </w:p>
    <w:p w14:paraId="4205A37B" w14:textId="3100458C" w:rsidR="00766B55" w:rsidRPr="004A792A" w:rsidRDefault="00F877D9" w:rsidP="00766B55">
      <w:pPr>
        <w:jc w:val="center"/>
        <w:rPr>
          <w:lang w:val="en-US"/>
        </w:rPr>
      </w:pPr>
      <w:r w:rsidRPr="00661FF3">
        <w:rPr>
          <w:noProof/>
          <w:lang w:val="en-US" w:eastAsia="ru-RU"/>
        </w:rPr>
        <w:t xml:space="preserve"> </w:t>
      </w:r>
      <w:r>
        <w:rPr>
          <w:noProof/>
          <w:lang w:val="ru-RU" w:eastAsia="ru-RU"/>
        </w:rPr>
        <w:drawing>
          <wp:inline distT="0" distB="0" distL="0" distR="0" wp14:anchorId="420E5D27" wp14:editId="472CAA9C">
            <wp:extent cx="4572000" cy="2070100"/>
            <wp:effectExtent l="0" t="0" r="0" b="63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5D7C99" w14:textId="77777777" w:rsidR="00F26F1C" w:rsidRPr="004A792A" w:rsidRDefault="00F26F1C" w:rsidP="00F26F1C">
      <w:pPr>
        <w:rPr>
          <w:sz w:val="2"/>
          <w:szCs w:val="2"/>
          <w:lang w:val="en-US"/>
        </w:rPr>
      </w:pPr>
    </w:p>
    <w:p w14:paraId="3681EE65" w14:textId="77777777" w:rsidR="00F26F1C" w:rsidRPr="004A792A" w:rsidRDefault="00F26F1C" w:rsidP="00766B55">
      <w:pPr>
        <w:pStyle w:val="63"/>
        <w:shd w:val="clear" w:color="auto" w:fill="auto"/>
        <w:spacing w:line="240" w:lineRule="auto"/>
        <w:rPr>
          <w:sz w:val="20"/>
          <w:szCs w:val="20"/>
        </w:rPr>
      </w:pPr>
      <w:r w:rsidRPr="004A792A">
        <w:rPr>
          <w:sz w:val="20"/>
          <w:szCs w:val="20"/>
        </w:rPr>
        <w:t xml:space="preserve">Note: An occupation is defined as female-dominated if the average share of women employed in this occupation in 2014-2016 was 60 percent or more; an occupation is defined as male-dominated if the average share of women employed in this occupation in 2014-2016 was 40 percent or less; an occupation with female share between 40 </w:t>
      </w:r>
      <w:r w:rsidRPr="004A792A">
        <w:rPr>
          <w:sz w:val="20"/>
          <w:szCs w:val="20"/>
        </w:rPr>
        <w:lastRenderedPageBreak/>
        <w:t>and 60 percent is classified as mixed. Classification here is based on 2-digit occupations.</w:t>
      </w:r>
    </w:p>
    <w:p w14:paraId="31A3796D" w14:textId="11551302" w:rsidR="00BB619C" w:rsidRPr="004A792A" w:rsidRDefault="0075639E" w:rsidP="00F26F1C">
      <w:pPr>
        <w:pStyle w:val="61"/>
        <w:shd w:val="clear" w:color="auto" w:fill="auto"/>
        <w:spacing w:before="120" w:line="240" w:lineRule="auto"/>
        <w:jc w:val="both"/>
        <w:rPr>
          <w:color w:val="000000"/>
          <w:sz w:val="22"/>
          <w:szCs w:val="22"/>
        </w:rPr>
      </w:pPr>
      <w:r w:rsidRPr="0075639E">
        <w:rPr>
          <w:b/>
          <w:color w:val="000000"/>
          <w:sz w:val="22"/>
          <w:szCs w:val="22"/>
        </w:rPr>
        <w:t xml:space="preserve">Like in many other countries in </w:t>
      </w:r>
      <w:r w:rsidRPr="00661FF3">
        <w:rPr>
          <w:b/>
          <w:color w:val="000000"/>
          <w:sz w:val="22"/>
          <w:szCs w:val="22"/>
        </w:rPr>
        <w:t>Eastern European and Former Soviet Union,</w:t>
      </w:r>
      <w:r>
        <w:rPr>
          <w:color w:val="000000"/>
          <w:sz w:val="22"/>
          <w:szCs w:val="22"/>
        </w:rPr>
        <w:t xml:space="preserve"> </w:t>
      </w:r>
      <w:r w:rsidR="00F26F1C" w:rsidRPr="00661FF3">
        <w:rPr>
          <w:b/>
          <w:color w:val="000000"/>
          <w:sz w:val="22"/>
          <w:szCs w:val="22"/>
        </w:rPr>
        <w:t xml:space="preserve">part-time employment </w:t>
      </w:r>
      <w:r w:rsidRPr="00661FF3">
        <w:rPr>
          <w:b/>
          <w:color w:val="000000"/>
          <w:sz w:val="22"/>
          <w:szCs w:val="22"/>
        </w:rPr>
        <w:t xml:space="preserve">opportunities </w:t>
      </w:r>
      <w:r>
        <w:rPr>
          <w:b/>
          <w:color w:val="000000"/>
          <w:sz w:val="22"/>
          <w:szCs w:val="22"/>
        </w:rPr>
        <w:t xml:space="preserve">were </w:t>
      </w:r>
      <w:r w:rsidRPr="00661FF3">
        <w:rPr>
          <w:b/>
          <w:color w:val="000000"/>
          <w:sz w:val="22"/>
          <w:szCs w:val="22"/>
        </w:rPr>
        <w:t xml:space="preserve">scarce in Moldova, </w:t>
      </w:r>
      <w:r>
        <w:rPr>
          <w:b/>
          <w:color w:val="000000"/>
          <w:sz w:val="22"/>
          <w:szCs w:val="22"/>
        </w:rPr>
        <w:t xml:space="preserve">and therefore many </w:t>
      </w:r>
      <w:r w:rsidR="00F26F1C" w:rsidRPr="00661FF3">
        <w:rPr>
          <w:b/>
          <w:color w:val="000000"/>
          <w:sz w:val="22"/>
          <w:szCs w:val="22"/>
        </w:rPr>
        <w:t xml:space="preserve">women chose </w:t>
      </w:r>
      <w:r>
        <w:rPr>
          <w:b/>
          <w:color w:val="000000"/>
          <w:sz w:val="22"/>
          <w:szCs w:val="22"/>
        </w:rPr>
        <w:t xml:space="preserve">to work </w:t>
      </w:r>
      <w:r w:rsidR="00F26F1C" w:rsidRPr="00661FF3">
        <w:rPr>
          <w:b/>
          <w:color w:val="000000"/>
          <w:sz w:val="22"/>
          <w:szCs w:val="22"/>
        </w:rPr>
        <w:t>in health, education</w:t>
      </w:r>
      <w:r w:rsidR="002F747E" w:rsidRPr="00661FF3">
        <w:rPr>
          <w:b/>
          <w:color w:val="000000"/>
          <w:sz w:val="22"/>
          <w:szCs w:val="22"/>
        </w:rPr>
        <w:t>,</w:t>
      </w:r>
      <w:r w:rsidR="00F26F1C" w:rsidRPr="00661FF3">
        <w:rPr>
          <w:b/>
          <w:color w:val="000000"/>
          <w:sz w:val="22"/>
          <w:szCs w:val="22"/>
        </w:rPr>
        <w:t xml:space="preserve"> and retail trade </w:t>
      </w:r>
      <w:r>
        <w:rPr>
          <w:b/>
          <w:color w:val="000000"/>
          <w:sz w:val="22"/>
          <w:szCs w:val="22"/>
        </w:rPr>
        <w:t xml:space="preserve">where </w:t>
      </w:r>
      <w:r w:rsidR="00F26F1C" w:rsidRPr="00661FF3">
        <w:rPr>
          <w:b/>
          <w:color w:val="000000"/>
          <w:sz w:val="22"/>
          <w:szCs w:val="22"/>
        </w:rPr>
        <w:t>they could have shorter and more flexible working hours</w:t>
      </w:r>
      <w:r>
        <w:rPr>
          <w:b/>
          <w:color w:val="000000"/>
          <w:sz w:val="22"/>
          <w:szCs w:val="22"/>
        </w:rPr>
        <w:t xml:space="preserve"> </w:t>
      </w:r>
      <w:r w:rsidRPr="00661FF3">
        <w:rPr>
          <w:color w:val="000000"/>
          <w:sz w:val="22"/>
          <w:szCs w:val="22"/>
        </w:rPr>
        <w:t>(</w:t>
      </w:r>
      <w:r w:rsidRPr="0075639E">
        <w:rPr>
          <w:color w:val="000000"/>
          <w:sz w:val="22"/>
          <w:szCs w:val="22"/>
        </w:rPr>
        <w:t>B</w:t>
      </w:r>
      <w:r w:rsidRPr="004A792A">
        <w:rPr>
          <w:color w:val="000000"/>
          <w:sz w:val="22"/>
          <w:szCs w:val="22"/>
        </w:rPr>
        <w:t>rainerd</w:t>
      </w:r>
      <w:r>
        <w:rPr>
          <w:color w:val="000000"/>
          <w:sz w:val="22"/>
          <w:szCs w:val="22"/>
        </w:rPr>
        <w:t xml:space="preserve">, </w:t>
      </w:r>
      <w:r w:rsidRPr="004A792A">
        <w:rPr>
          <w:color w:val="000000"/>
          <w:sz w:val="22"/>
          <w:szCs w:val="22"/>
        </w:rPr>
        <w:t>2000)</w:t>
      </w:r>
      <w:r w:rsidR="00F26F1C" w:rsidRPr="004A792A">
        <w:rPr>
          <w:color w:val="000000"/>
          <w:sz w:val="22"/>
          <w:szCs w:val="22"/>
        </w:rPr>
        <w:t xml:space="preserve">. Analysis of 2-digit occupations held by Moldovan female employees working full- and part-time in 2016 reveals that professions in education and health are popular not only among full-time female employees </w:t>
      </w:r>
      <w:r w:rsidRPr="0075639E">
        <w:rPr>
          <w:color w:val="000000"/>
          <w:sz w:val="22"/>
          <w:szCs w:val="22"/>
        </w:rPr>
        <w:t>who might seek flexible or shorter working hours</w:t>
      </w:r>
      <w:r w:rsidR="002928B9">
        <w:rPr>
          <w:rStyle w:val="af9"/>
          <w:color w:val="000000"/>
          <w:sz w:val="22"/>
          <w:szCs w:val="22"/>
        </w:rPr>
        <w:footnoteReference w:id="7"/>
      </w:r>
      <w:r w:rsidR="00F26F1C" w:rsidRPr="004A792A">
        <w:rPr>
          <w:color w:val="000000"/>
          <w:sz w:val="22"/>
          <w:szCs w:val="22"/>
        </w:rPr>
        <w:t xml:space="preserve"> but also among women who worked part-time.</w:t>
      </w:r>
      <w:r w:rsidR="00785955" w:rsidRPr="004A792A">
        <w:rPr>
          <w:color w:val="000000"/>
          <w:sz w:val="22"/>
          <w:szCs w:val="22"/>
        </w:rPr>
        <w:t xml:space="preserve"> The most popular occupations employing </w:t>
      </w:r>
      <w:r w:rsidR="00674595">
        <w:rPr>
          <w:color w:val="000000"/>
          <w:sz w:val="22"/>
          <w:szCs w:val="22"/>
        </w:rPr>
        <w:t xml:space="preserve">together </w:t>
      </w:r>
      <w:r w:rsidR="00785955" w:rsidRPr="004A792A">
        <w:rPr>
          <w:color w:val="000000"/>
          <w:sz w:val="22"/>
          <w:szCs w:val="22"/>
        </w:rPr>
        <w:t xml:space="preserve">over 75 percent of all part-time female employees in 2016 are: Teaching professionals (21 percent), Cleaners and helpers (15.1 percent), Personal care workers (9.7 percent), Other clerical support workers (6.9 percent), Health associate professionals (5.3 percent), Legal, social and cultural professionals (5.1 percent), Business and administration professionals (4.9 percent), Personal service workers (4.4 percent), and Sales workers (3.7 percent). All of them can be classified as female-dominated with the female share of about </w:t>
      </w:r>
      <w:r w:rsidR="002928B9">
        <w:rPr>
          <w:color w:val="000000"/>
          <w:sz w:val="22"/>
          <w:szCs w:val="22"/>
        </w:rPr>
        <w:t>6</w:t>
      </w:r>
      <w:r w:rsidR="00785955" w:rsidRPr="004A792A">
        <w:rPr>
          <w:color w:val="000000"/>
          <w:sz w:val="22"/>
          <w:szCs w:val="22"/>
        </w:rPr>
        <w:t>0 percent and over.</w:t>
      </w:r>
    </w:p>
    <w:p w14:paraId="6776112E" w14:textId="77777777" w:rsidR="005E3CAF" w:rsidRPr="004A792A" w:rsidRDefault="005E3CAF" w:rsidP="005E3CAF">
      <w:pPr>
        <w:pStyle w:val="2"/>
        <w:numPr>
          <w:ilvl w:val="0"/>
          <w:numId w:val="0"/>
        </w:numPr>
        <w:spacing w:before="360"/>
        <w:rPr>
          <w:color w:val="0070C0"/>
          <w:sz w:val="32"/>
          <w:szCs w:val="32"/>
        </w:rPr>
      </w:pPr>
      <w:bookmarkStart w:id="38" w:name="bookmark13"/>
      <w:bookmarkStart w:id="39" w:name="_Toc533211732"/>
      <w:r w:rsidRPr="004A792A">
        <w:rPr>
          <w:color w:val="0070C0"/>
          <w:sz w:val="32"/>
          <w:szCs w:val="32"/>
        </w:rPr>
        <w:t>2.2. Trends in the index of occupational dissimilarity</w:t>
      </w:r>
      <w:bookmarkEnd w:id="38"/>
      <w:bookmarkEnd w:id="39"/>
    </w:p>
    <w:p w14:paraId="377DEF99" w14:textId="7DA8A597" w:rsidR="00B24631" w:rsidRDefault="000C2372" w:rsidP="001E300D">
      <w:pPr>
        <w:pStyle w:val="61"/>
        <w:shd w:val="clear" w:color="auto" w:fill="auto"/>
        <w:spacing w:before="120" w:line="240" w:lineRule="auto"/>
        <w:jc w:val="both"/>
        <w:rPr>
          <w:color w:val="000000"/>
          <w:sz w:val="22"/>
          <w:szCs w:val="22"/>
        </w:rPr>
      </w:pPr>
      <w:r w:rsidRPr="00474FA5">
        <w:rPr>
          <w:color w:val="000000"/>
          <w:sz w:val="22"/>
          <w:szCs w:val="22"/>
        </w:rPr>
        <w:t xml:space="preserve">According to </w:t>
      </w:r>
      <w:r w:rsidRPr="00661FF3">
        <w:rPr>
          <w:color w:val="000000"/>
          <w:sz w:val="22"/>
          <w:szCs w:val="22"/>
        </w:rPr>
        <w:t>the Duncan index of occupational dissimilarity,</w:t>
      </w:r>
      <w:r w:rsidRPr="00661FF3">
        <w:rPr>
          <w:b/>
          <w:color w:val="000000"/>
          <w:sz w:val="22"/>
          <w:szCs w:val="22"/>
        </w:rPr>
        <w:t xml:space="preserve"> about 40 percent of female (or male) workers would have to change occupations for the occupational distribution of men and women at 2-digit occupations</w:t>
      </w:r>
      <w:r>
        <w:rPr>
          <w:color w:val="000000"/>
          <w:sz w:val="22"/>
          <w:szCs w:val="22"/>
        </w:rPr>
        <w:t xml:space="preserve"> </w:t>
      </w:r>
      <w:r w:rsidRPr="00661FF3">
        <w:rPr>
          <w:b/>
          <w:color w:val="000000"/>
          <w:sz w:val="22"/>
          <w:szCs w:val="22"/>
        </w:rPr>
        <w:t>to become the same</w:t>
      </w:r>
      <w:r>
        <w:rPr>
          <w:color w:val="000000"/>
          <w:sz w:val="22"/>
          <w:szCs w:val="22"/>
        </w:rPr>
        <w:t xml:space="preserve"> (</w:t>
      </w:r>
      <w:r w:rsidRPr="004A792A">
        <w:rPr>
          <w:color w:val="000000"/>
          <w:sz w:val="22"/>
          <w:szCs w:val="22"/>
        </w:rPr>
        <w:fldChar w:fldCharType="begin"/>
      </w:r>
      <w:r w:rsidRPr="004A792A">
        <w:rPr>
          <w:color w:val="000000"/>
          <w:sz w:val="22"/>
          <w:szCs w:val="22"/>
        </w:rPr>
        <w:instrText xml:space="preserve"> REF _Ref519153993 \h  \* MERGEFORMAT </w:instrText>
      </w:r>
      <w:r w:rsidRPr="004A792A">
        <w:rPr>
          <w:color w:val="000000"/>
          <w:sz w:val="22"/>
          <w:szCs w:val="22"/>
        </w:rPr>
      </w:r>
      <w:r w:rsidRPr="004A792A">
        <w:rPr>
          <w:color w:val="000000"/>
          <w:sz w:val="22"/>
          <w:szCs w:val="22"/>
        </w:rPr>
        <w:fldChar w:fldCharType="separate"/>
      </w:r>
      <w:r w:rsidRPr="00A032BA">
        <w:rPr>
          <w:sz w:val="22"/>
          <w:szCs w:val="22"/>
        </w:rPr>
        <w:t xml:space="preserve">Figure </w:t>
      </w:r>
      <w:r w:rsidRPr="00A032BA">
        <w:rPr>
          <w:noProof/>
          <w:sz w:val="22"/>
          <w:szCs w:val="22"/>
        </w:rPr>
        <w:t>9</w:t>
      </w:r>
      <w:r w:rsidRPr="004A792A">
        <w:rPr>
          <w:color w:val="000000"/>
          <w:sz w:val="22"/>
          <w:szCs w:val="22"/>
        </w:rPr>
        <w:fldChar w:fldCharType="end"/>
      </w:r>
      <w:r>
        <w:rPr>
          <w:color w:val="000000"/>
          <w:sz w:val="22"/>
          <w:szCs w:val="22"/>
        </w:rPr>
        <w:t>)</w:t>
      </w:r>
      <w:r w:rsidRPr="004A792A">
        <w:rPr>
          <w:color w:val="000000"/>
          <w:sz w:val="22"/>
          <w:szCs w:val="22"/>
        </w:rPr>
        <w:t>.</w:t>
      </w:r>
      <w:r w:rsidR="005E3CAF" w:rsidRPr="004A792A">
        <w:rPr>
          <w:color w:val="000000"/>
          <w:sz w:val="22"/>
          <w:szCs w:val="22"/>
        </w:rPr>
        <w:t xml:space="preserve"> As</w:t>
      </w:r>
      <w:r w:rsidR="001E300D" w:rsidRPr="004A792A">
        <w:rPr>
          <w:color w:val="000000"/>
          <w:sz w:val="22"/>
          <w:szCs w:val="22"/>
        </w:rPr>
        <w:t xml:space="preserve"> </w:t>
      </w:r>
      <w:r w:rsidR="005E3CAF" w:rsidRPr="004A792A">
        <w:rPr>
          <w:color w:val="000000"/>
          <w:sz w:val="22"/>
          <w:szCs w:val="22"/>
        </w:rPr>
        <w:t>ex</w:t>
      </w:r>
      <w:r w:rsidR="001E300D" w:rsidRPr="004A792A">
        <w:rPr>
          <w:color w:val="000000"/>
          <w:sz w:val="22"/>
          <w:szCs w:val="22"/>
        </w:rPr>
        <w:t>p</w:t>
      </w:r>
      <w:r w:rsidR="005E3CAF" w:rsidRPr="004A792A">
        <w:rPr>
          <w:color w:val="000000"/>
          <w:sz w:val="22"/>
          <w:szCs w:val="22"/>
        </w:rPr>
        <w:t>ected, the index</w:t>
      </w:r>
      <w:r w:rsidR="001E300D" w:rsidRPr="004A792A">
        <w:rPr>
          <w:color w:val="000000"/>
          <w:sz w:val="22"/>
          <w:szCs w:val="22"/>
        </w:rPr>
        <w:t xml:space="preserve"> </w:t>
      </w:r>
      <w:r w:rsidR="005E3CAF" w:rsidRPr="004A792A">
        <w:rPr>
          <w:color w:val="000000"/>
          <w:sz w:val="22"/>
          <w:szCs w:val="22"/>
        </w:rPr>
        <w:t xml:space="preserve">increases with the detail of the classification of occupations adopted, i.e. when the </w:t>
      </w:r>
      <w:r w:rsidR="001E300D" w:rsidRPr="004A792A">
        <w:rPr>
          <w:color w:val="000000"/>
          <w:sz w:val="22"/>
          <w:szCs w:val="22"/>
        </w:rPr>
        <w:t xml:space="preserve">average </w:t>
      </w:r>
      <w:r w:rsidR="005E3CAF" w:rsidRPr="004A792A">
        <w:rPr>
          <w:color w:val="000000"/>
          <w:sz w:val="22"/>
          <w:szCs w:val="22"/>
        </w:rPr>
        <w:t xml:space="preserve">number of categories </w:t>
      </w:r>
      <w:r w:rsidR="001E300D" w:rsidRPr="004A792A">
        <w:rPr>
          <w:color w:val="000000"/>
          <w:sz w:val="22"/>
          <w:szCs w:val="22"/>
        </w:rPr>
        <w:t xml:space="preserve">in 2006-2016 </w:t>
      </w:r>
      <w:r w:rsidR="005E3CAF" w:rsidRPr="004A792A">
        <w:rPr>
          <w:color w:val="000000"/>
          <w:sz w:val="22"/>
          <w:szCs w:val="22"/>
        </w:rPr>
        <w:t>grows from about 35 2-digit occupations to 122 occupations at the 3-digit level. Between 2006 and 2016, the index based on 3-digit occupations increased from 0.42 to 0.46, and</w:t>
      </w:r>
      <w:r w:rsidR="00AE5DF8">
        <w:rPr>
          <w:color w:val="000000"/>
          <w:sz w:val="22"/>
          <w:szCs w:val="22"/>
        </w:rPr>
        <w:t xml:space="preserve"> the</w:t>
      </w:r>
      <w:r w:rsidR="005E3CAF" w:rsidRPr="004A792A">
        <w:rPr>
          <w:color w:val="000000"/>
          <w:sz w:val="22"/>
          <w:szCs w:val="22"/>
        </w:rPr>
        <w:t xml:space="preserve"> index based on 2-digit occupations increased from 0.35 to 0.40. </w:t>
      </w:r>
      <w:r w:rsidR="00B24631" w:rsidRPr="004A792A">
        <w:rPr>
          <w:color w:val="000000"/>
          <w:sz w:val="22"/>
          <w:szCs w:val="22"/>
        </w:rPr>
        <w:t>A positive trend though is a decrease in occupational segregation in recent years (2014-2016)</w:t>
      </w:r>
      <w:r w:rsidR="003D3C47">
        <w:rPr>
          <w:color w:val="000000"/>
          <w:sz w:val="22"/>
          <w:szCs w:val="22"/>
        </w:rPr>
        <w:t>,</w:t>
      </w:r>
      <w:r w:rsidR="00B24631" w:rsidRPr="004A792A">
        <w:rPr>
          <w:color w:val="000000"/>
          <w:sz w:val="22"/>
          <w:szCs w:val="22"/>
        </w:rPr>
        <w:t xml:space="preserve"> which echoes our finding based on the analysis of men's and women's employment in female</w:t>
      </w:r>
      <w:r w:rsidR="003D3C47">
        <w:rPr>
          <w:color w:val="000000"/>
          <w:sz w:val="22"/>
          <w:szCs w:val="22"/>
        </w:rPr>
        <w:t>-</w:t>
      </w:r>
      <w:r w:rsidR="00B24631" w:rsidRPr="004A792A">
        <w:rPr>
          <w:color w:val="000000"/>
          <w:sz w:val="22"/>
          <w:szCs w:val="22"/>
        </w:rPr>
        <w:t>/male-dominated and mixed occupations (</w:t>
      </w:r>
      <w:r w:rsidR="00B24631" w:rsidRPr="004A792A">
        <w:rPr>
          <w:color w:val="000000"/>
          <w:sz w:val="22"/>
          <w:szCs w:val="22"/>
        </w:rPr>
        <w:fldChar w:fldCharType="begin"/>
      </w:r>
      <w:r w:rsidR="00B24631" w:rsidRPr="004A792A">
        <w:rPr>
          <w:color w:val="000000"/>
          <w:sz w:val="22"/>
          <w:szCs w:val="22"/>
        </w:rPr>
        <w:instrText xml:space="preserve"> REF _Ref519153038 \h  \* MERGEFORMAT </w:instrText>
      </w:r>
      <w:r w:rsidR="00B24631" w:rsidRPr="004A792A">
        <w:rPr>
          <w:color w:val="000000"/>
          <w:sz w:val="22"/>
          <w:szCs w:val="22"/>
        </w:rPr>
      </w:r>
      <w:r w:rsidR="00B24631" w:rsidRPr="004A792A">
        <w:rPr>
          <w:color w:val="000000"/>
          <w:sz w:val="22"/>
          <w:szCs w:val="22"/>
        </w:rPr>
        <w:fldChar w:fldCharType="separate"/>
      </w:r>
      <w:r w:rsidR="00206AA9" w:rsidRPr="00206AA9">
        <w:rPr>
          <w:sz w:val="22"/>
        </w:rPr>
        <w:t xml:space="preserve">Table </w:t>
      </w:r>
      <w:r w:rsidR="00206AA9" w:rsidRPr="00206AA9">
        <w:rPr>
          <w:noProof/>
          <w:sz w:val="22"/>
        </w:rPr>
        <w:t>2</w:t>
      </w:r>
      <w:r w:rsidR="00B24631" w:rsidRPr="004A792A">
        <w:rPr>
          <w:color w:val="000000"/>
          <w:sz w:val="22"/>
          <w:szCs w:val="22"/>
        </w:rPr>
        <w:fldChar w:fldCharType="end"/>
      </w:r>
      <w:r w:rsidR="00B24631" w:rsidRPr="004A792A">
        <w:rPr>
          <w:color w:val="000000"/>
          <w:sz w:val="22"/>
          <w:szCs w:val="22"/>
        </w:rPr>
        <w:t>).</w:t>
      </w:r>
    </w:p>
    <w:p w14:paraId="755D8AE8" w14:textId="4D0AF5B3" w:rsidR="00607595" w:rsidRPr="004A792A" w:rsidRDefault="00607595" w:rsidP="00607595">
      <w:pPr>
        <w:pStyle w:val="ad"/>
        <w:spacing w:before="240" w:after="0"/>
        <w:jc w:val="left"/>
        <w:rPr>
          <w:lang w:val="en-US"/>
        </w:rPr>
      </w:pPr>
      <w:bookmarkStart w:id="40" w:name="_Ref519153993"/>
      <w:bookmarkStart w:id="41" w:name="bookmark14"/>
      <w:bookmarkStart w:id="42" w:name="_Toc533211765"/>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9</w:t>
      </w:r>
      <w:r w:rsidRPr="004A792A">
        <w:rPr>
          <w:lang w:val="en-US"/>
        </w:rPr>
        <w:fldChar w:fldCharType="end"/>
      </w:r>
      <w:bookmarkEnd w:id="40"/>
      <w:r w:rsidRPr="004A792A">
        <w:rPr>
          <w:lang w:val="en-US"/>
        </w:rPr>
        <w:t>: Duncan index of occupational dissimilarity, 2006-2016</w:t>
      </w:r>
      <w:bookmarkEnd w:id="41"/>
      <w:bookmarkEnd w:id="42"/>
    </w:p>
    <w:p w14:paraId="20A6EDAE" w14:textId="77777777" w:rsidR="00607595" w:rsidRPr="004A792A" w:rsidRDefault="00607595" w:rsidP="00607595">
      <w:pPr>
        <w:jc w:val="center"/>
        <w:rPr>
          <w:lang w:val="en-US"/>
        </w:rPr>
      </w:pPr>
      <w:r w:rsidRPr="008B2772">
        <w:rPr>
          <w:noProof/>
          <w:lang w:val="ru-RU" w:eastAsia="ru-RU"/>
        </w:rPr>
        <w:drawing>
          <wp:inline distT="0" distB="0" distL="0" distR="0" wp14:anchorId="3D40CA60" wp14:editId="79A0A1DC">
            <wp:extent cx="4699000" cy="205105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99000" cy="2051050"/>
                    </a:xfrm>
                    <a:prstGeom prst="rect">
                      <a:avLst/>
                    </a:prstGeom>
                    <a:noFill/>
                    <a:ln>
                      <a:noFill/>
                    </a:ln>
                  </pic:spPr>
                </pic:pic>
              </a:graphicData>
            </a:graphic>
          </wp:inline>
        </w:drawing>
      </w:r>
    </w:p>
    <w:p w14:paraId="3EF8E861" w14:textId="77777777" w:rsidR="00607595" w:rsidRPr="004A792A" w:rsidRDefault="00607595" w:rsidP="00607595">
      <w:pPr>
        <w:pStyle w:val="63"/>
        <w:shd w:val="clear" w:color="auto" w:fill="auto"/>
        <w:spacing w:before="120" w:line="240" w:lineRule="auto"/>
        <w:rPr>
          <w:sz w:val="20"/>
          <w:szCs w:val="20"/>
        </w:rPr>
      </w:pPr>
      <w:r w:rsidRPr="004A792A">
        <w:rPr>
          <w:sz w:val="20"/>
          <w:szCs w:val="20"/>
        </w:rPr>
        <w:t xml:space="preserve">Note: ISCO-88 occupations are used in 2006-2013, and ISCO-08 occupations in 2014-2016 in order to minimize </w:t>
      </w:r>
      <w:r w:rsidRPr="004A792A">
        <w:rPr>
          <w:sz w:val="20"/>
          <w:szCs w:val="20"/>
        </w:rPr>
        <w:lastRenderedPageBreak/>
        <w:t>the effect of reclassification on the estimated index.</w:t>
      </w:r>
    </w:p>
    <w:p w14:paraId="6DF7A59B" w14:textId="7CF0C025" w:rsidR="003A760E" w:rsidRDefault="00C44A65" w:rsidP="00241995">
      <w:pPr>
        <w:jc w:val="both"/>
      </w:pPr>
      <w:r w:rsidRPr="00661FF3">
        <w:rPr>
          <w:b/>
          <w:color w:val="000000"/>
        </w:rPr>
        <w:t>Occupational segregation measured with the Duncan index is substantially lower in Moldova than in many developed and transition countries, including the average in 38 ECA countries</w:t>
      </w:r>
      <w:r w:rsidRPr="0067542D">
        <w:rPr>
          <w:color w:val="000000"/>
        </w:rPr>
        <w:t xml:space="preserve"> (</w:t>
      </w:r>
      <w:r w:rsidRPr="0067542D">
        <w:rPr>
          <w:color w:val="000000"/>
        </w:rPr>
        <w:fldChar w:fldCharType="begin"/>
      </w:r>
      <w:r w:rsidRPr="0067542D">
        <w:rPr>
          <w:color w:val="000000"/>
        </w:rPr>
        <w:instrText xml:space="preserve"> REF _Ref527634826 \h  \* MERGEFORMAT </w:instrText>
      </w:r>
      <w:r w:rsidRPr="0067542D">
        <w:rPr>
          <w:color w:val="000000"/>
        </w:rPr>
      </w:r>
      <w:r w:rsidRPr="0067542D">
        <w:rPr>
          <w:color w:val="000000"/>
        </w:rPr>
        <w:fldChar w:fldCharType="separate"/>
      </w:r>
      <w:r w:rsidRPr="0067542D">
        <w:t xml:space="preserve">Figure </w:t>
      </w:r>
      <w:r>
        <w:rPr>
          <w:noProof/>
        </w:rPr>
        <w:t>10</w:t>
      </w:r>
      <w:r w:rsidRPr="0067542D">
        <w:rPr>
          <w:color w:val="000000"/>
        </w:rPr>
        <w:fldChar w:fldCharType="end"/>
      </w:r>
      <w:r w:rsidRPr="0067542D">
        <w:rPr>
          <w:color w:val="000000"/>
        </w:rPr>
        <w:t>)</w:t>
      </w:r>
      <w:r w:rsidRPr="003D3C47">
        <w:rPr>
          <w:color w:val="000000"/>
        </w:rPr>
        <w:t>.</w:t>
      </w:r>
      <w:r>
        <w:rPr>
          <w:color w:val="000000"/>
        </w:rPr>
        <w:t xml:space="preserve"> T</w:t>
      </w:r>
      <w:r w:rsidR="003A760E" w:rsidRPr="00BE3BAA">
        <w:rPr>
          <w:color w:val="000000"/>
        </w:rPr>
        <w:t>he average ID index in EU-27 based on 3-digit ISCO occupations increased from roughly 50 in 2000 to 51 percent in 2007 (EGGE, 2009). The analysis of occupational segregation in the US using the data for 389 occupations and for workers aged 25-64 years finds that the ID fell from 0.68 in 1972 to 0.50 in 2011 (</w:t>
      </w:r>
      <w:proofErr w:type="spellStart"/>
      <w:r w:rsidR="003A760E" w:rsidRPr="00BE3BAA">
        <w:rPr>
          <w:color w:val="000000"/>
        </w:rPr>
        <w:t>Hegewisch</w:t>
      </w:r>
      <w:proofErr w:type="spellEnd"/>
      <w:r w:rsidR="003A760E" w:rsidRPr="00BE3BAA">
        <w:rPr>
          <w:color w:val="000000"/>
        </w:rPr>
        <w:t xml:space="preserve"> and Hartmann, 2014). </w:t>
      </w:r>
      <w:r w:rsidR="00B24631" w:rsidRPr="00BE3BAA">
        <w:rPr>
          <w:color w:val="000000"/>
        </w:rPr>
        <w:t>According to the a</w:t>
      </w:r>
      <w:r w:rsidR="003A760E" w:rsidRPr="00BE3BAA">
        <w:rPr>
          <w:color w:val="000000"/>
        </w:rPr>
        <w:t xml:space="preserve">uthor’s calculations </w:t>
      </w:r>
      <w:r w:rsidR="00B24631" w:rsidRPr="00BE3BAA">
        <w:rPr>
          <w:color w:val="000000"/>
        </w:rPr>
        <w:t xml:space="preserve">based on </w:t>
      </w:r>
      <w:r w:rsidR="003A760E" w:rsidRPr="00BE3BAA">
        <w:rPr>
          <w:color w:val="000000"/>
        </w:rPr>
        <w:t xml:space="preserve">3-digit ISCO occupations </w:t>
      </w:r>
      <w:r w:rsidR="00B24631" w:rsidRPr="00BE3BAA">
        <w:rPr>
          <w:color w:val="000000"/>
        </w:rPr>
        <w:t xml:space="preserve">and the LFS data </w:t>
      </w:r>
      <w:r w:rsidR="003A760E" w:rsidRPr="00BE3BAA">
        <w:rPr>
          <w:color w:val="000000"/>
        </w:rPr>
        <w:t xml:space="preserve">in Ukraine </w:t>
      </w:r>
      <w:r w:rsidR="00B24631" w:rsidRPr="00BE3BAA">
        <w:rPr>
          <w:color w:val="000000"/>
        </w:rPr>
        <w:t>(</w:t>
      </w:r>
      <w:r w:rsidR="00241995">
        <w:rPr>
          <w:color w:val="000000"/>
        </w:rPr>
        <w:fldChar w:fldCharType="begin"/>
      </w:r>
      <w:r w:rsidR="00241995">
        <w:rPr>
          <w:color w:val="000000"/>
        </w:rPr>
        <w:instrText xml:space="preserve"> REF _Ref525829173 \h </w:instrText>
      </w:r>
      <w:r w:rsidR="00241995">
        <w:rPr>
          <w:color w:val="000000"/>
        </w:rPr>
      </w:r>
      <w:r w:rsidR="00241995">
        <w:rPr>
          <w:color w:val="000000"/>
        </w:rPr>
        <w:fldChar w:fldCharType="separate"/>
      </w:r>
      <w:r w:rsidR="00475F43">
        <w:t>Table A-</w:t>
      </w:r>
      <w:r w:rsidR="00475F43">
        <w:rPr>
          <w:noProof/>
        </w:rPr>
        <w:t>3</w:t>
      </w:r>
      <w:r w:rsidR="00241995">
        <w:rPr>
          <w:color w:val="000000"/>
        </w:rPr>
        <w:fldChar w:fldCharType="end"/>
      </w:r>
      <w:r w:rsidR="003D07D9" w:rsidRPr="00BE3BAA">
        <w:rPr>
          <w:color w:val="000000"/>
        </w:rPr>
        <w:t xml:space="preserve"> and </w:t>
      </w:r>
      <w:r w:rsidR="003D07D9" w:rsidRPr="00BE3BAA">
        <w:rPr>
          <w:color w:val="000000"/>
        </w:rPr>
        <w:fldChar w:fldCharType="begin"/>
      </w:r>
      <w:r w:rsidR="003D07D9" w:rsidRPr="00BE3BAA">
        <w:rPr>
          <w:color w:val="000000"/>
        </w:rPr>
        <w:instrText xml:space="preserve"> REF _Ref521684905 \h  \* MERGEFORMAT </w:instrText>
      </w:r>
      <w:r w:rsidR="003D07D9" w:rsidRPr="00BE3BAA">
        <w:rPr>
          <w:color w:val="000000"/>
        </w:rPr>
      </w:r>
      <w:r w:rsidR="003D07D9" w:rsidRPr="00BE3BAA">
        <w:rPr>
          <w:color w:val="000000"/>
        </w:rPr>
        <w:fldChar w:fldCharType="separate"/>
      </w:r>
      <w:r>
        <w:t xml:space="preserve">Figure </w:t>
      </w:r>
      <w:r>
        <w:rPr>
          <w:noProof/>
        </w:rPr>
        <w:t>13</w:t>
      </w:r>
      <w:r w:rsidR="003D07D9" w:rsidRPr="00BE3BAA">
        <w:rPr>
          <w:color w:val="000000"/>
        </w:rPr>
        <w:fldChar w:fldCharType="end"/>
      </w:r>
      <w:r w:rsidR="00B24631" w:rsidRPr="00BE3BAA">
        <w:rPr>
          <w:color w:val="000000"/>
        </w:rPr>
        <w:t xml:space="preserve">), the index of dissimilarity increased from 0.58 in 2006 to 0.62 in 2013. </w:t>
      </w:r>
      <w:r w:rsidR="00C42F94" w:rsidRPr="00607595">
        <w:rPr>
          <w:color w:val="000000"/>
        </w:rPr>
        <w:t>Das et al. (2018)</w:t>
      </w:r>
      <w:r w:rsidR="00012C63" w:rsidRPr="00607595">
        <w:rPr>
          <w:color w:val="000000"/>
        </w:rPr>
        <w:t xml:space="preserve"> argue that </w:t>
      </w:r>
      <w:r w:rsidR="00C42F94" w:rsidRPr="00607595">
        <w:rPr>
          <w:color w:val="000000"/>
        </w:rPr>
        <w:t>relatively l</w:t>
      </w:r>
      <w:r w:rsidR="00241995" w:rsidRPr="00607595">
        <w:t xml:space="preserve">ow occupational segregation </w:t>
      </w:r>
      <w:r w:rsidR="00C42F94" w:rsidRPr="00607595">
        <w:t>in</w:t>
      </w:r>
      <w:r w:rsidR="00C42F94" w:rsidRPr="00607595">
        <w:rPr>
          <w:color w:val="000000"/>
        </w:rPr>
        <w:t xml:space="preserve"> South Asia and Sub-Saharan Africa</w:t>
      </w:r>
      <w:r w:rsidR="00C42F94" w:rsidRPr="00607595">
        <w:t xml:space="preserve"> </w:t>
      </w:r>
      <w:r w:rsidR="00241995" w:rsidRPr="00607595">
        <w:t xml:space="preserve">may be </w:t>
      </w:r>
      <w:r w:rsidR="00C42F94" w:rsidRPr="00607595">
        <w:t>associated</w:t>
      </w:r>
      <w:r w:rsidR="00241995" w:rsidRPr="00607595">
        <w:t xml:space="preserve"> </w:t>
      </w:r>
      <w:r w:rsidR="00C42F94" w:rsidRPr="00607595">
        <w:t xml:space="preserve">with </w:t>
      </w:r>
      <w:r w:rsidR="00241995" w:rsidRPr="00607595">
        <w:t>the limited granularity of occupational codes within the agriculture sector</w:t>
      </w:r>
      <w:r w:rsidR="00C42F94" w:rsidRPr="00607595">
        <w:t xml:space="preserve">. Taking into account that about 37 percent of Moldovan employed men and 28 </w:t>
      </w:r>
      <w:r w:rsidR="00841641" w:rsidRPr="00607595">
        <w:t>percent</w:t>
      </w:r>
      <w:r w:rsidR="00C42F94" w:rsidRPr="00607595">
        <w:t xml:space="preserve"> of all employed women </w:t>
      </w:r>
      <w:r w:rsidR="00841641" w:rsidRPr="00607595">
        <w:t xml:space="preserve">are </w:t>
      </w:r>
      <w:r w:rsidR="00C42F94" w:rsidRPr="00607595">
        <w:t>engaged in agriculture</w:t>
      </w:r>
      <w:r w:rsidR="00012C63" w:rsidRPr="00607595">
        <w:t xml:space="preserve"> (</w:t>
      </w:r>
      <w:r w:rsidR="00012C63" w:rsidRPr="00607595">
        <w:fldChar w:fldCharType="begin"/>
      </w:r>
      <w:r w:rsidR="00012C63" w:rsidRPr="00607595">
        <w:instrText xml:space="preserve"> REF _Ref521336311 \h  \* MERGEFORMAT </w:instrText>
      </w:r>
      <w:r w:rsidR="00012C63" w:rsidRPr="00607595">
        <w:fldChar w:fldCharType="separate"/>
      </w:r>
      <w:r w:rsidR="00475F43">
        <w:t xml:space="preserve">Table </w:t>
      </w:r>
      <w:r w:rsidR="00475F43">
        <w:rPr>
          <w:noProof/>
        </w:rPr>
        <w:t>A-4</w:t>
      </w:r>
      <w:r w:rsidR="00012C63" w:rsidRPr="00607595">
        <w:fldChar w:fldCharType="end"/>
      </w:r>
      <w:r w:rsidR="00012C63" w:rsidRPr="00607595">
        <w:t>)</w:t>
      </w:r>
      <w:r w:rsidR="00841641" w:rsidRPr="00607595">
        <w:t>, with many of them classified either as skilled agricultural and fishery workers or as labourers in agriculture</w:t>
      </w:r>
      <w:r w:rsidR="00012C63" w:rsidRPr="00607595">
        <w:t xml:space="preserve"> (</w:t>
      </w:r>
      <w:r w:rsidR="00012C63" w:rsidRPr="00607595">
        <w:fldChar w:fldCharType="begin"/>
      </w:r>
      <w:r w:rsidR="00012C63" w:rsidRPr="00607595">
        <w:instrText xml:space="preserve"> REF _Ref521404429 \h  \* MERGEFORMAT </w:instrText>
      </w:r>
      <w:r w:rsidR="00012C63" w:rsidRPr="00607595">
        <w:fldChar w:fldCharType="separate"/>
      </w:r>
      <w:r w:rsidR="00475F43">
        <w:t xml:space="preserve">Table </w:t>
      </w:r>
      <w:r w:rsidR="00475F43">
        <w:rPr>
          <w:noProof/>
        </w:rPr>
        <w:t>A-5</w:t>
      </w:r>
      <w:r w:rsidR="00012C63" w:rsidRPr="00607595">
        <w:fldChar w:fldCharType="end"/>
      </w:r>
      <w:r w:rsidR="00C42F94" w:rsidRPr="00607595">
        <w:t xml:space="preserve">), </w:t>
      </w:r>
      <w:r w:rsidR="00841641" w:rsidRPr="00607595">
        <w:t xml:space="preserve">the same </w:t>
      </w:r>
      <w:r w:rsidR="00012C63" w:rsidRPr="00607595">
        <w:t>argument</w:t>
      </w:r>
      <w:r w:rsidR="00841641" w:rsidRPr="00607595">
        <w:t xml:space="preserve"> can be applied to explain a relatively low index of dissimilarity in</w:t>
      </w:r>
      <w:r w:rsidR="00C42F94" w:rsidRPr="00607595">
        <w:t xml:space="preserve"> Moldova.</w:t>
      </w:r>
    </w:p>
    <w:p w14:paraId="50991961" w14:textId="3B083A90" w:rsidR="00607595" w:rsidRDefault="00607595" w:rsidP="00607595">
      <w:pPr>
        <w:pStyle w:val="ad"/>
        <w:spacing w:before="240" w:after="0"/>
        <w:jc w:val="left"/>
        <w:rPr>
          <w:lang w:val="en-US"/>
        </w:rPr>
      </w:pPr>
      <w:bookmarkStart w:id="43" w:name="_Ref527634826"/>
      <w:bookmarkStart w:id="44" w:name="_Toc533211766"/>
      <w:r w:rsidRPr="0067542D">
        <w:t xml:space="preserve">Figure </w:t>
      </w:r>
      <w:r w:rsidRPr="0067542D">
        <w:fldChar w:fldCharType="begin"/>
      </w:r>
      <w:r w:rsidRPr="0067542D">
        <w:instrText xml:space="preserve"> SEQ Figure \* ARABIC </w:instrText>
      </w:r>
      <w:r w:rsidRPr="0067542D">
        <w:fldChar w:fldCharType="separate"/>
      </w:r>
      <w:r w:rsidR="007F56F7">
        <w:rPr>
          <w:noProof/>
        </w:rPr>
        <w:t>10</w:t>
      </w:r>
      <w:r w:rsidRPr="0067542D">
        <w:fldChar w:fldCharType="end"/>
      </w:r>
      <w:bookmarkEnd w:id="43"/>
      <w:r w:rsidRPr="0067542D">
        <w:t xml:space="preserve">: </w:t>
      </w:r>
      <w:r w:rsidR="00A7117D" w:rsidRPr="0067542D">
        <w:rPr>
          <w:lang w:val="en-US"/>
        </w:rPr>
        <w:t>Duncan index of occupational dissimilarity in Moldova and country groups</w:t>
      </w:r>
      <w:bookmarkEnd w:id="44"/>
    </w:p>
    <w:p w14:paraId="1C6F71A3" w14:textId="77777777" w:rsidR="00A7117D" w:rsidRDefault="00A76AA8" w:rsidP="00A7117D">
      <w:pPr>
        <w:rPr>
          <w:lang w:val="en-US"/>
        </w:rPr>
      </w:pPr>
      <w:r w:rsidRPr="00A76AA8">
        <w:rPr>
          <w:noProof/>
          <w:lang w:val="ru-RU" w:eastAsia="ru-RU"/>
        </w:rPr>
        <w:drawing>
          <wp:inline distT="0" distB="0" distL="0" distR="0" wp14:anchorId="226E5EB9" wp14:editId="7F34A4F6">
            <wp:extent cx="5733415" cy="2114316"/>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3415" cy="2114316"/>
                    </a:xfrm>
                    <a:prstGeom prst="rect">
                      <a:avLst/>
                    </a:prstGeom>
                    <a:noFill/>
                    <a:ln>
                      <a:noFill/>
                    </a:ln>
                  </pic:spPr>
                </pic:pic>
              </a:graphicData>
            </a:graphic>
          </wp:inline>
        </w:drawing>
      </w:r>
    </w:p>
    <w:p w14:paraId="7A67340E" w14:textId="77777777" w:rsidR="00A7117D" w:rsidRPr="00A7117D" w:rsidRDefault="00A7117D" w:rsidP="00A7117D">
      <w:pPr>
        <w:rPr>
          <w:i/>
          <w:sz w:val="20"/>
          <w:szCs w:val="20"/>
          <w:lang w:val="en-US"/>
        </w:rPr>
      </w:pPr>
      <w:r w:rsidRPr="00A7117D">
        <w:rPr>
          <w:i/>
          <w:sz w:val="20"/>
          <w:szCs w:val="20"/>
          <w:lang w:val="en-US"/>
        </w:rPr>
        <w:t>Source</w:t>
      </w:r>
      <w:r w:rsidR="0067542D">
        <w:rPr>
          <w:i/>
          <w:sz w:val="20"/>
          <w:szCs w:val="20"/>
          <w:lang w:val="en-US"/>
        </w:rPr>
        <w:t>s</w:t>
      </w:r>
      <w:r w:rsidRPr="00A7117D">
        <w:rPr>
          <w:i/>
          <w:sz w:val="20"/>
          <w:szCs w:val="20"/>
          <w:lang w:val="en-US"/>
        </w:rPr>
        <w:t>: Das et al. (2018) for country groups, author’s estimations for Moldova</w:t>
      </w:r>
      <w:r>
        <w:rPr>
          <w:i/>
          <w:sz w:val="20"/>
          <w:szCs w:val="20"/>
          <w:lang w:val="en-US"/>
        </w:rPr>
        <w:t xml:space="preserve"> (based on 2-digit occupations).</w:t>
      </w:r>
    </w:p>
    <w:p w14:paraId="644505FA" w14:textId="3DB87E67" w:rsidR="005E3CAF" w:rsidRPr="004A792A" w:rsidRDefault="00475F43" w:rsidP="00936B0F">
      <w:pPr>
        <w:pStyle w:val="61"/>
        <w:shd w:val="clear" w:color="auto" w:fill="auto"/>
        <w:spacing w:before="120" w:line="240" w:lineRule="auto"/>
        <w:jc w:val="both"/>
        <w:rPr>
          <w:color w:val="000000"/>
          <w:sz w:val="22"/>
          <w:szCs w:val="22"/>
        </w:rPr>
      </w:pPr>
      <w:r w:rsidRPr="00DE10A8">
        <w:rPr>
          <w:b/>
          <w:color w:val="000000"/>
          <w:sz w:val="22"/>
          <w:szCs w:val="22"/>
        </w:rPr>
        <w:t>T</w:t>
      </w:r>
      <w:r w:rsidR="005E3CAF" w:rsidRPr="00DE10A8">
        <w:rPr>
          <w:b/>
          <w:color w:val="000000"/>
          <w:sz w:val="22"/>
          <w:szCs w:val="22"/>
        </w:rPr>
        <w:t xml:space="preserve">he index of occupational dissimilarity index </w:t>
      </w:r>
      <w:r w:rsidRPr="00DE10A8">
        <w:rPr>
          <w:b/>
          <w:color w:val="000000"/>
          <w:sz w:val="22"/>
          <w:szCs w:val="22"/>
        </w:rPr>
        <w:t xml:space="preserve">among employees (i.e. wage and salaried workers) is </w:t>
      </w:r>
      <w:r w:rsidR="005E3CAF" w:rsidRPr="00DE10A8">
        <w:rPr>
          <w:b/>
          <w:color w:val="000000"/>
          <w:sz w:val="22"/>
          <w:szCs w:val="22"/>
        </w:rPr>
        <w:t>substantially larger than the similar index for the total sample of employed that includes self-employed and own-account workers</w:t>
      </w:r>
      <w:r w:rsidR="005E3CAF" w:rsidRPr="004A792A">
        <w:rPr>
          <w:color w:val="000000"/>
          <w:sz w:val="22"/>
          <w:szCs w:val="22"/>
        </w:rPr>
        <w:t xml:space="preserve"> (</w:t>
      </w:r>
      <w:r w:rsidR="0095589D" w:rsidRPr="004A792A">
        <w:rPr>
          <w:color w:val="000000"/>
          <w:sz w:val="22"/>
          <w:szCs w:val="22"/>
        </w:rPr>
        <w:fldChar w:fldCharType="begin"/>
      </w:r>
      <w:r w:rsidR="0095589D" w:rsidRPr="004A792A">
        <w:rPr>
          <w:color w:val="000000"/>
          <w:sz w:val="22"/>
          <w:szCs w:val="22"/>
        </w:rPr>
        <w:instrText xml:space="preserve"> REF _Ref519153993 \h  \* MERGEFORMAT </w:instrText>
      </w:r>
      <w:r w:rsidR="0095589D" w:rsidRPr="004A792A">
        <w:rPr>
          <w:color w:val="000000"/>
          <w:sz w:val="22"/>
          <w:szCs w:val="22"/>
        </w:rPr>
      </w:r>
      <w:r w:rsidR="0095589D" w:rsidRPr="004A792A">
        <w:rPr>
          <w:color w:val="000000"/>
          <w:sz w:val="22"/>
          <w:szCs w:val="22"/>
        </w:rPr>
        <w:fldChar w:fldCharType="separate"/>
      </w:r>
      <w:r w:rsidRPr="00DE10A8">
        <w:rPr>
          <w:sz w:val="22"/>
          <w:szCs w:val="22"/>
        </w:rPr>
        <w:t xml:space="preserve">Figure </w:t>
      </w:r>
      <w:r w:rsidRPr="00DE10A8">
        <w:rPr>
          <w:noProof/>
          <w:sz w:val="22"/>
          <w:szCs w:val="22"/>
        </w:rPr>
        <w:t>9</w:t>
      </w:r>
      <w:r w:rsidR="0095589D" w:rsidRPr="004A792A">
        <w:rPr>
          <w:color w:val="000000"/>
          <w:sz w:val="22"/>
          <w:szCs w:val="22"/>
        </w:rPr>
        <w:fldChar w:fldCharType="end"/>
      </w:r>
      <w:r w:rsidR="005E3CAF" w:rsidRPr="004A792A">
        <w:rPr>
          <w:color w:val="000000"/>
          <w:sz w:val="22"/>
          <w:szCs w:val="22"/>
        </w:rPr>
        <w:t xml:space="preserve">). According to it, 62 percent of wage and salaried female </w:t>
      </w:r>
      <w:r w:rsidR="003A760E">
        <w:rPr>
          <w:color w:val="000000"/>
          <w:sz w:val="22"/>
          <w:szCs w:val="22"/>
        </w:rPr>
        <w:t xml:space="preserve">(or </w:t>
      </w:r>
      <w:r w:rsidR="003A760E" w:rsidRPr="004A792A">
        <w:rPr>
          <w:color w:val="000000"/>
          <w:sz w:val="22"/>
          <w:szCs w:val="22"/>
        </w:rPr>
        <w:t>male</w:t>
      </w:r>
      <w:r w:rsidR="003A760E">
        <w:rPr>
          <w:color w:val="000000"/>
          <w:sz w:val="22"/>
          <w:szCs w:val="22"/>
        </w:rPr>
        <w:t>)</w:t>
      </w:r>
      <w:r w:rsidR="003A760E" w:rsidRPr="004A792A">
        <w:rPr>
          <w:color w:val="000000"/>
          <w:sz w:val="22"/>
          <w:szCs w:val="22"/>
        </w:rPr>
        <w:t xml:space="preserve"> </w:t>
      </w:r>
      <w:r w:rsidR="005E3CAF" w:rsidRPr="004A792A">
        <w:rPr>
          <w:color w:val="000000"/>
          <w:sz w:val="22"/>
          <w:szCs w:val="22"/>
        </w:rPr>
        <w:t>workers would have to be reallocated in 2016 in order to get identical distributions of occupations in wage employment</w:t>
      </w:r>
      <w:r w:rsidR="005E3CAF" w:rsidRPr="00BE3BAA">
        <w:rPr>
          <w:color w:val="000000"/>
          <w:sz w:val="22"/>
          <w:szCs w:val="22"/>
        </w:rPr>
        <w:t>.</w:t>
      </w:r>
      <w:r w:rsidR="003A38AA" w:rsidRPr="00BE3BAA">
        <w:rPr>
          <w:color w:val="000000"/>
          <w:sz w:val="22"/>
          <w:szCs w:val="22"/>
        </w:rPr>
        <w:t xml:space="preserve"> </w:t>
      </w:r>
      <w:r w:rsidR="00746030" w:rsidRPr="00BE3BAA">
        <w:rPr>
          <w:color w:val="000000"/>
          <w:sz w:val="22"/>
          <w:szCs w:val="22"/>
        </w:rPr>
        <w:t xml:space="preserve">Roughly </w:t>
      </w:r>
      <w:r w:rsidR="003A38AA" w:rsidRPr="00BE3BAA">
        <w:rPr>
          <w:color w:val="000000"/>
          <w:sz w:val="22"/>
          <w:szCs w:val="22"/>
        </w:rPr>
        <w:t>similar level</w:t>
      </w:r>
      <w:r w:rsidR="00746030" w:rsidRPr="00BE3BAA">
        <w:rPr>
          <w:color w:val="000000"/>
          <w:sz w:val="22"/>
          <w:szCs w:val="22"/>
        </w:rPr>
        <w:t>s</w:t>
      </w:r>
      <w:r w:rsidR="003A38AA" w:rsidRPr="00BE3BAA">
        <w:rPr>
          <w:color w:val="000000"/>
          <w:sz w:val="22"/>
          <w:szCs w:val="22"/>
        </w:rPr>
        <w:t xml:space="preserve"> of </w:t>
      </w:r>
      <w:r w:rsidR="00746030" w:rsidRPr="00BE3BAA">
        <w:rPr>
          <w:color w:val="000000"/>
          <w:sz w:val="22"/>
          <w:szCs w:val="22"/>
        </w:rPr>
        <w:t xml:space="preserve">occupational </w:t>
      </w:r>
      <w:r w:rsidR="003A38AA" w:rsidRPr="00BE3BAA">
        <w:rPr>
          <w:color w:val="000000"/>
          <w:sz w:val="22"/>
          <w:szCs w:val="22"/>
        </w:rPr>
        <w:t>segregation among employees w</w:t>
      </w:r>
      <w:r w:rsidR="00746030" w:rsidRPr="00BE3BAA">
        <w:rPr>
          <w:color w:val="000000"/>
          <w:sz w:val="22"/>
          <w:szCs w:val="22"/>
        </w:rPr>
        <w:t>ere</w:t>
      </w:r>
      <w:r w:rsidR="00BE3BAA">
        <w:rPr>
          <w:color w:val="000000"/>
          <w:sz w:val="22"/>
          <w:szCs w:val="22"/>
        </w:rPr>
        <w:t xml:space="preserve"> </w:t>
      </w:r>
      <w:r w:rsidR="003D3C47">
        <w:rPr>
          <w:color w:val="000000"/>
          <w:sz w:val="22"/>
          <w:szCs w:val="22"/>
        </w:rPr>
        <w:t xml:space="preserve">found </w:t>
      </w:r>
      <w:r w:rsidR="00BE3BAA">
        <w:rPr>
          <w:color w:val="000000"/>
          <w:sz w:val="22"/>
          <w:szCs w:val="22"/>
        </w:rPr>
        <w:t>in Ukraine (</w:t>
      </w:r>
      <w:r w:rsidRPr="00DE10A8">
        <w:rPr>
          <w:color w:val="000000"/>
          <w:sz w:val="22"/>
          <w:szCs w:val="22"/>
        </w:rPr>
        <w:fldChar w:fldCharType="begin"/>
      </w:r>
      <w:r w:rsidRPr="00DE10A8">
        <w:rPr>
          <w:color w:val="000000"/>
          <w:sz w:val="22"/>
          <w:szCs w:val="22"/>
        </w:rPr>
        <w:instrText xml:space="preserve"> REF _Ref525829173 \h </w:instrText>
      </w:r>
      <w:r>
        <w:rPr>
          <w:color w:val="000000"/>
          <w:sz w:val="22"/>
          <w:szCs w:val="22"/>
        </w:rPr>
        <w:instrText xml:space="preserve"> \* MERGEFORMAT </w:instrText>
      </w:r>
      <w:r w:rsidRPr="00DE10A8">
        <w:rPr>
          <w:color w:val="000000"/>
          <w:sz w:val="22"/>
          <w:szCs w:val="22"/>
        </w:rPr>
      </w:r>
      <w:r w:rsidRPr="00DE10A8">
        <w:rPr>
          <w:color w:val="000000"/>
          <w:sz w:val="22"/>
          <w:szCs w:val="22"/>
        </w:rPr>
        <w:fldChar w:fldCharType="separate"/>
      </w:r>
      <w:r w:rsidRPr="00DE10A8">
        <w:rPr>
          <w:sz w:val="22"/>
          <w:szCs w:val="22"/>
        </w:rPr>
        <w:t>Table A-</w:t>
      </w:r>
      <w:r w:rsidRPr="00DE10A8">
        <w:rPr>
          <w:noProof/>
          <w:sz w:val="22"/>
          <w:szCs w:val="22"/>
        </w:rPr>
        <w:t>3</w:t>
      </w:r>
      <w:r w:rsidRPr="00DE10A8">
        <w:rPr>
          <w:color w:val="000000"/>
          <w:sz w:val="22"/>
          <w:szCs w:val="22"/>
        </w:rPr>
        <w:fldChar w:fldCharType="end"/>
      </w:r>
      <w:r w:rsidR="00BE3BAA">
        <w:rPr>
          <w:color w:val="000000"/>
          <w:sz w:val="22"/>
          <w:szCs w:val="22"/>
        </w:rPr>
        <w:t>).</w:t>
      </w:r>
    </w:p>
    <w:p w14:paraId="470342A1" w14:textId="49BD6873" w:rsidR="0095589D" w:rsidRPr="004A792A" w:rsidRDefault="005E3CAF" w:rsidP="0095589D">
      <w:pPr>
        <w:pStyle w:val="61"/>
        <w:shd w:val="clear" w:color="auto" w:fill="auto"/>
        <w:spacing w:before="120" w:line="240" w:lineRule="auto"/>
        <w:jc w:val="both"/>
        <w:rPr>
          <w:color w:val="000000"/>
          <w:sz w:val="22"/>
          <w:szCs w:val="22"/>
        </w:rPr>
      </w:pPr>
      <w:r w:rsidRPr="00DE10A8">
        <w:rPr>
          <w:b/>
          <w:color w:val="000000"/>
          <w:sz w:val="22"/>
          <w:szCs w:val="22"/>
        </w:rPr>
        <w:t xml:space="preserve">Moldovan women and men with </w:t>
      </w:r>
      <w:r w:rsidR="0095589D" w:rsidRPr="00DE10A8">
        <w:rPr>
          <w:b/>
          <w:color w:val="000000"/>
          <w:sz w:val="22"/>
          <w:szCs w:val="22"/>
        </w:rPr>
        <w:t xml:space="preserve">a </w:t>
      </w:r>
      <w:r w:rsidRPr="00DE10A8">
        <w:rPr>
          <w:b/>
          <w:color w:val="000000"/>
          <w:sz w:val="22"/>
          <w:szCs w:val="22"/>
        </w:rPr>
        <w:t>college degree (post-secondary education) or university degree (tertiary education) are much more likely to work in segregated</w:t>
      </w:r>
      <w:r w:rsidR="0095589D" w:rsidRPr="00DE10A8">
        <w:rPr>
          <w:b/>
          <w:color w:val="000000"/>
          <w:sz w:val="22"/>
          <w:szCs w:val="22"/>
        </w:rPr>
        <w:t xml:space="preserve"> occupations than less-educated workers</w:t>
      </w:r>
      <w:r w:rsidR="00604328">
        <w:rPr>
          <w:color w:val="000000"/>
          <w:sz w:val="22"/>
          <w:szCs w:val="22"/>
        </w:rPr>
        <w:t xml:space="preserve"> (</w:t>
      </w:r>
      <w:r w:rsidR="00604328" w:rsidRPr="004A792A">
        <w:rPr>
          <w:color w:val="000000"/>
          <w:sz w:val="22"/>
          <w:szCs w:val="22"/>
        </w:rPr>
        <w:fldChar w:fldCharType="begin"/>
      </w:r>
      <w:r w:rsidR="00604328" w:rsidRPr="004A792A">
        <w:rPr>
          <w:color w:val="000000"/>
          <w:sz w:val="22"/>
          <w:szCs w:val="22"/>
        </w:rPr>
        <w:instrText xml:space="preserve"> REF _Ref519154637 \h  \* MERGEFORMAT </w:instrText>
      </w:r>
      <w:r w:rsidR="00604328" w:rsidRPr="004A792A">
        <w:rPr>
          <w:color w:val="000000"/>
          <w:sz w:val="22"/>
          <w:szCs w:val="22"/>
        </w:rPr>
      </w:r>
      <w:r w:rsidR="00604328" w:rsidRPr="004A792A">
        <w:rPr>
          <w:color w:val="000000"/>
          <w:sz w:val="22"/>
          <w:szCs w:val="22"/>
        </w:rPr>
        <w:fldChar w:fldCharType="separate"/>
      </w:r>
      <w:r w:rsidR="00475F43" w:rsidRPr="00DE10A8">
        <w:rPr>
          <w:sz w:val="22"/>
          <w:szCs w:val="22"/>
        </w:rPr>
        <w:t xml:space="preserve">Figure </w:t>
      </w:r>
      <w:r w:rsidR="00475F43" w:rsidRPr="00DE10A8">
        <w:rPr>
          <w:noProof/>
          <w:sz w:val="22"/>
          <w:szCs w:val="22"/>
        </w:rPr>
        <w:t>11</w:t>
      </w:r>
      <w:r w:rsidR="00604328" w:rsidRPr="004A792A">
        <w:rPr>
          <w:color w:val="000000"/>
          <w:sz w:val="22"/>
          <w:szCs w:val="22"/>
        </w:rPr>
        <w:fldChar w:fldCharType="end"/>
      </w:r>
      <w:r w:rsidR="00604328">
        <w:rPr>
          <w:color w:val="000000"/>
          <w:sz w:val="22"/>
          <w:szCs w:val="22"/>
        </w:rPr>
        <w:t>, left panel)</w:t>
      </w:r>
      <w:r w:rsidR="0095589D" w:rsidRPr="004A792A">
        <w:rPr>
          <w:color w:val="000000"/>
          <w:sz w:val="22"/>
          <w:szCs w:val="22"/>
        </w:rPr>
        <w:t xml:space="preserve">. This finding is in sharp contrast with the finding of </w:t>
      </w:r>
      <w:proofErr w:type="spellStart"/>
      <w:r w:rsidR="0095589D" w:rsidRPr="004A792A">
        <w:rPr>
          <w:color w:val="000000"/>
          <w:sz w:val="22"/>
          <w:szCs w:val="22"/>
        </w:rPr>
        <w:t>Hegewisch</w:t>
      </w:r>
      <w:proofErr w:type="spellEnd"/>
      <w:r w:rsidR="0095589D" w:rsidRPr="004A792A">
        <w:rPr>
          <w:color w:val="000000"/>
          <w:sz w:val="22"/>
          <w:szCs w:val="22"/>
        </w:rPr>
        <w:t xml:space="preserve"> and Hartmann (2014) for the US, according to which more educated workers, with at least a four-year college degree, were more likely to work in more integrated occupations than their less educated counterparts. Taking into account that the US college degree is not the same as in Moldova, we combined college graduates with workers with secondary education and compared them to university graduates (bachelors, masters</w:t>
      </w:r>
      <w:r w:rsidR="003D3C47">
        <w:rPr>
          <w:color w:val="000000"/>
          <w:sz w:val="22"/>
          <w:szCs w:val="22"/>
        </w:rPr>
        <w:t>,</w:t>
      </w:r>
      <w:r w:rsidR="0095589D" w:rsidRPr="004A792A">
        <w:rPr>
          <w:color w:val="000000"/>
          <w:sz w:val="22"/>
          <w:szCs w:val="22"/>
        </w:rPr>
        <w:t xml:space="preserve"> and doctors</w:t>
      </w:r>
      <w:r w:rsidR="007454D3" w:rsidRPr="004A792A">
        <w:rPr>
          <w:color w:val="000000"/>
          <w:sz w:val="22"/>
          <w:szCs w:val="22"/>
        </w:rPr>
        <w:t>)</w:t>
      </w:r>
      <w:r w:rsidR="00604328" w:rsidRPr="00604328">
        <w:rPr>
          <w:color w:val="000000"/>
          <w:sz w:val="22"/>
          <w:szCs w:val="22"/>
        </w:rPr>
        <w:t xml:space="preserve"> </w:t>
      </w:r>
      <w:r w:rsidR="00604328">
        <w:rPr>
          <w:color w:val="000000"/>
          <w:sz w:val="22"/>
          <w:szCs w:val="22"/>
        </w:rPr>
        <w:t>(</w:t>
      </w:r>
      <w:r w:rsidR="00604328" w:rsidRPr="004A792A">
        <w:rPr>
          <w:color w:val="000000"/>
          <w:sz w:val="22"/>
          <w:szCs w:val="22"/>
        </w:rPr>
        <w:fldChar w:fldCharType="begin"/>
      </w:r>
      <w:r w:rsidR="00604328" w:rsidRPr="004A792A">
        <w:rPr>
          <w:color w:val="000000"/>
          <w:sz w:val="22"/>
          <w:szCs w:val="22"/>
        </w:rPr>
        <w:instrText xml:space="preserve"> REF _Ref519154637 \h  \* MERGEFORMAT </w:instrText>
      </w:r>
      <w:r w:rsidR="00604328" w:rsidRPr="004A792A">
        <w:rPr>
          <w:color w:val="000000"/>
          <w:sz w:val="22"/>
          <w:szCs w:val="22"/>
        </w:rPr>
      </w:r>
      <w:r w:rsidR="00604328" w:rsidRPr="004A792A">
        <w:rPr>
          <w:color w:val="000000"/>
          <w:sz w:val="22"/>
          <w:szCs w:val="22"/>
        </w:rPr>
        <w:fldChar w:fldCharType="separate"/>
      </w:r>
      <w:r w:rsidR="00475F43" w:rsidRPr="00DE10A8">
        <w:rPr>
          <w:sz w:val="22"/>
          <w:szCs w:val="22"/>
        </w:rPr>
        <w:t xml:space="preserve">Figure </w:t>
      </w:r>
      <w:r w:rsidR="00475F43" w:rsidRPr="00DE10A8">
        <w:rPr>
          <w:noProof/>
          <w:sz w:val="22"/>
          <w:szCs w:val="22"/>
        </w:rPr>
        <w:t>11</w:t>
      </w:r>
      <w:r w:rsidR="00604328" w:rsidRPr="004A792A">
        <w:rPr>
          <w:color w:val="000000"/>
          <w:sz w:val="22"/>
          <w:szCs w:val="22"/>
        </w:rPr>
        <w:fldChar w:fldCharType="end"/>
      </w:r>
      <w:r w:rsidR="00604328">
        <w:rPr>
          <w:color w:val="000000"/>
          <w:sz w:val="22"/>
          <w:szCs w:val="22"/>
        </w:rPr>
        <w:t>, right panel)</w:t>
      </w:r>
      <w:r w:rsidR="007454D3" w:rsidRPr="004A792A">
        <w:rPr>
          <w:color w:val="000000"/>
          <w:sz w:val="22"/>
          <w:szCs w:val="22"/>
        </w:rPr>
        <w:t xml:space="preserve">. The gap in the index of dissimilarity becomes </w:t>
      </w:r>
      <w:r w:rsidR="0095589D" w:rsidRPr="004A792A">
        <w:rPr>
          <w:color w:val="000000"/>
          <w:sz w:val="22"/>
          <w:szCs w:val="22"/>
        </w:rPr>
        <w:t xml:space="preserve">considerably smaller but </w:t>
      </w:r>
      <w:r w:rsidR="007454D3" w:rsidRPr="004A792A">
        <w:rPr>
          <w:color w:val="000000"/>
          <w:sz w:val="22"/>
          <w:szCs w:val="22"/>
        </w:rPr>
        <w:t xml:space="preserve">university-educated workers </w:t>
      </w:r>
      <w:r w:rsidR="00604328">
        <w:rPr>
          <w:color w:val="000000"/>
          <w:sz w:val="22"/>
          <w:szCs w:val="22"/>
        </w:rPr>
        <w:t xml:space="preserve">still </w:t>
      </w:r>
      <w:r w:rsidR="0095589D" w:rsidRPr="004A792A">
        <w:rPr>
          <w:color w:val="000000"/>
          <w:sz w:val="22"/>
          <w:szCs w:val="22"/>
        </w:rPr>
        <w:t>experience higher occupational segregation</w:t>
      </w:r>
      <w:r w:rsidR="007454D3" w:rsidRPr="004A792A">
        <w:rPr>
          <w:color w:val="000000"/>
          <w:sz w:val="22"/>
          <w:szCs w:val="22"/>
        </w:rPr>
        <w:t xml:space="preserve"> </w:t>
      </w:r>
      <w:r w:rsidR="00F11220" w:rsidRPr="004A792A">
        <w:rPr>
          <w:color w:val="000000"/>
          <w:sz w:val="22"/>
          <w:szCs w:val="22"/>
        </w:rPr>
        <w:t>compared</w:t>
      </w:r>
      <w:r w:rsidR="007454D3" w:rsidRPr="004A792A">
        <w:rPr>
          <w:color w:val="000000"/>
          <w:sz w:val="22"/>
          <w:szCs w:val="22"/>
        </w:rPr>
        <w:t xml:space="preserve"> to workers </w:t>
      </w:r>
      <w:r w:rsidR="00F11220" w:rsidRPr="004A792A">
        <w:rPr>
          <w:color w:val="000000"/>
          <w:sz w:val="22"/>
          <w:szCs w:val="22"/>
        </w:rPr>
        <w:t>with</w:t>
      </w:r>
      <w:r w:rsidR="007454D3" w:rsidRPr="004A792A">
        <w:rPr>
          <w:color w:val="000000"/>
          <w:sz w:val="22"/>
          <w:szCs w:val="22"/>
        </w:rPr>
        <w:t xml:space="preserve"> a lower level of educational attainment.</w:t>
      </w:r>
    </w:p>
    <w:p w14:paraId="631FE929" w14:textId="025CDCA5" w:rsidR="0095589D" w:rsidRDefault="00CE62F9" w:rsidP="007454D3">
      <w:pPr>
        <w:pStyle w:val="ad"/>
        <w:spacing w:before="240" w:after="0"/>
        <w:jc w:val="left"/>
        <w:rPr>
          <w:lang w:val="en-US"/>
        </w:rPr>
      </w:pPr>
      <w:bookmarkStart w:id="45" w:name="_Ref519154637"/>
      <w:bookmarkStart w:id="46" w:name="_Toc533211767"/>
      <w:r w:rsidRPr="004A792A">
        <w:rPr>
          <w:lang w:val="en-US"/>
        </w:rPr>
        <w:lastRenderedPageBreak/>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11</w:t>
      </w:r>
      <w:r w:rsidRPr="004A792A">
        <w:rPr>
          <w:lang w:val="en-US"/>
        </w:rPr>
        <w:fldChar w:fldCharType="end"/>
      </w:r>
      <w:bookmarkEnd w:id="45"/>
      <w:r w:rsidR="00A65168" w:rsidRPr="004A792A">
        <w:rPr>
          <w:lang w:val="en-US"/>
        </w:rPr>
        <w:t>: Duncan index of occupational dissimilarity by education, 2006-2016</w:t>
      </w:r>
      <w:bookmarkEnd w:id="46"/>
    </w:p>
    <w:tbl>
      <w:tblPr>
        <w:tblStyle w:val="ac"/>
        <w:tblW w:w="97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32"/>
      </w:tblGrid>
      <w:tr w:rsidR="001D4349" w:rsidRPr="004A792A" w14:paraId="227FF308" w14:textId="77777777" w:rsidTr="001F2B7D">
        <w:tc>
          <w:tcPr>
            <w:tcW w:w="4820" w:type="dxa"/>
          </w:tcPr>
          <w:p w14:paraId="5A40BF75" w14:textId="77777777" w:rsidR="001D4349" w:rsidRPr="004A792A" w:rsidRDefault="005A7268" w:rsidP="0095589D">
            <w:pPr>
              <w:pStyle w:val="61"/>
              <w:shd w:val="clear" w:color="auto" w:fill="auto"/>
              <w:spacing w:before="120" w:line="240" w:lineRule="auto"/>
              <w:jc w:val="both"/>
              <w:rPr>
                <w:color w:val="000000"/>
                <w:sz w:val="22"/>
                <w:szCs w:val="22"/>
              </w:rPr>
            </w:pPr>
            <w:r w:rsidRPr="005A7268">
              <w:rPr>
                <w:noProof/>
                <w:color w:val="000000"/>
                <w:sz w:val="22"/>
                <w:szCs w:val="22"/>
                <w:lang w:val="ru-RU" w:eastAsia="ru-RU"/>
              </w:rPr>
              <w:drawing>
                <wp:inline distT="0" distB="0" distL="0" distR="0" wp14:anchorId="21A975B1" wp14:editId="7D14D8BF">
                  <wp:extent cx="2901950" cy="2330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01950" cy="2330450"/>
                          </a:xfrm>
                          <a:prstGeom prst="rect">
                            <a:avLst/>
                          </a:prstGeom>
                          <a:noFill/>
                          <a:ln>
                            <a:noFill/>
                          </a:ln>
                        </pic:spPr>
                      </pic:pic>
                    </a:graphicData>
                  </a:graphic>
                </wp:inline>
              </w:drawing>
            </w:r>
          </w:p>
        </w:tc>
        <w:tc>
          <w:tcPr>
            <w:tcW w:w="4932" w:type="dxa"/>
          </w:tcPr>
          <w:p w14:paraId="00FDC51F" w14:textId="77777777" w:rsidR="001D4349" w:rsidRPr="004A792A" w:rsidRDefault="005A7268" w:rsidP="0095589D">
            <w:pPr>
              <w:pStyle w:val="61"/>
              <w:shd w:val="clear" w:color="auto" w:fill="auto"/>
              <w:spacing w:before="120" w:line="240" w:lineRule="auto"/>
              <w:jc w:val="both"/>
              <w:rPr>
                <w:color w:val="000000"/>
                <w:sz w:val="22"/>
                <w:szCs w:val="22"/>
              </w:rPr>
            </w:pPr>
            <w:r w:rsidRPr="005A7268">
              <w:rPr>
                <w:noProof/>
                <w:color w:val="000000"/>
                <w:sz w:val="22"/>
                <w:szCs w:val="22"/>
                <w:lang w:val="ru-RU" w:eastAsia="ru-RU"/>
              </w:rPr>
              <w:drawing>
                <wp:inline distT="0" distB="0" distL="0" distR="0" wp14:anchorId="23CC023D" wp14:editId="647E9288">
                  <wp:extent cx="2876550" cy="23368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6550" cy="2336800"/>
                          </a:xfrm>
                          <a:prstGeom prst="rect">
                            <a:avLst/>
                          </a:prstGeom>
                          <a:noFill/>
                          <a:ln>
                            <a:noFill/>
                          </a:ln>
                        </pic:spPr>
                      </pic:pic>
                    </a:graphicData>
                  </a:graphic>
                </wp:inline>
              </w:drawing>
            </w:r>
          </w:p>
        </w:tc>
      </w:tr>
    </w:tbl>
    <w:p w14:paraId="219B394D" w14:textId="77777777" w:rsidR="001D4349" w:rsidRPr="004A792A" w:rsidRDefault="001D4349" w:rsidP="001D4349">
      <w:pPr>
        <w:pStyle w:val="63"/>
        <w:shd w:val="clear" w:color="auto" w:fill="auto"/>
        <w:spacing w:before="120" w:line="240" w:lineRule="auto"/>
        <w:rPr>
          <w:sz w:val="20"/>
          <w:szCs w:val="20"/>
        </w:rPr>
      </w:pPr>
      <w:r w:rsidRPr="004A792A">
        <w:rPr>
          <w:sz w:val="20"/>
          <w:szCs w:val="20"/>
        </w:rPr>
        <w:t>Note: ISCO-88 occupations are used in 2006-2013, and ISCO-08 occupations in 2014-2016.</w:t>
      </w:r>
    </w:p>
    <w:p w14:paraId="3630BDA5" w14:textId="21BAE415" w:rsidR="00477647" w:rsidRDefault="00477647" w:rsidP="00477647">
      <w:pPr>
        <w:pStyle w:val="61"/>
        <w:shd w:val="clear" w:color="auto" w:fill="auto"/>
        <w:spacing w:before="120" w:line="240" w:lineRule="auto"/>
        <w:jc w:val="both"/>
        <w:rPr>
          <w:color w:val="000000"/>
          <w:sz w:val="22"/>
          <w:szCs w:val="22"/>
        </w:rPr>
      </w:pPr>
      <w:r w:rsidRPr="00477647">
        <w:rPr>
          <w:b/>
          <w:color w:val="000000"/>
          <w:sz w:val="22"/>
          <w:szCs w:val="22"/>
        </w:rPr>
        <w:t>Moldova has a different pattern of occupational segregation between lower and higher educated workers not only compared to the US but also to its neighbor Ukraine</w:t>
      </w:r>
      <w:r w:rsidRPr="004A792A">
        <w:rPr>
          <w:color w:val="000000"/>
          <w:sz w:val="22"/>
          <w:szCs w:val="22"/>
        </w:rPr>
        <w:t xml:space="preserve"> (</w:t>
      </w:r>
      <w:r w:rsidRPr="002E547A">
        <w:rPr>
          <w:color w:val="000000"/>
          <w:sz w:val="22"/>
          <w:szCs w:val="22"/>
        </w:rPr>
        <w:fldChar w:fldCharType="begin"/>
      </w:r>
      <w:r w:rsidRPr="002E547A">
        <w:rPr>
          <w:color w:val="000000"/>
          <w:sz w:val="22"/>
          <w:szCs w:val="22"/>
        </w:rPr>
        <w:instrText xml:space="preserve"> REF _Ref521684905 \h </w:instrText>
      </w:r>
      <w:r>
        <w:rPr>
          <w:color w:val="000000"/>
          <w:sz w:val="22"/>
          <w:szCs w:val="22"/>
        </w:rPr>
        <w:instrText xml:space="preserve"> \* MERGEFORMAT </w:instrText>
      </w:r>
      <w:r w:rsidRPr="002E547A">
        <w:rPr>
          <w:color w:val="000000"/>
          <w:sz w:val="22"/>
          <w:szCs w:val="22"/>
        </w:rPr>
      </w:r>
      <w:r w:rsidRPr="002E547A">
        <w:rPr>
          <w:color w:val="000000"/>
          <w:sz w:val="22"/>
          <w:szCs w:val="22"/>
        </w:rPr>
        <w:fldChar w:fldCharType="separate"/>
      </w:r>
      <w:r w:rsidRPr="00477647">
        <w:rPr>
          <w:sz w:val="22"/>
          <w:szCs w:val="22"/>
        </w:rPr>
        <w:t xml:space="preserve">Figure </w:t>
      </w:r>
      <w:r w:rsidRPr="00477647">
        <w:rPr>
          <w:noProof/>
          <w:sz w:val="22"/>
          <w:szCs w:val="22"/>
        </w:rPr>
        <w:t>12</w:t>
      </w:r>
      <w:r w:rsidRPr="002E547A">
        <w:rPr>
          <w:color w:val="000000"/>
          <w:sz w:val="22"/>
          <w:szCs w:val="22"/>
        </w:rPr>
        <w:fldChar w:fldCharType="end"/>
      </w:r>
      <w:r w:rsidRPr="00477647">
        <w:rPr>
          <w:sz w:val="22"/>
          <w:szCs w:val="22"/>
        </w:rPr>
        <w:t>).</w:t>
      </w:r>
      <w:r>
        <w:rPr>
          <w:sz w:val="22"/>
          <w:szCs w:val="22"/>
        </w:rPr>
        <w:t xml:space="preserve"> </w:t>
      </w:r>
      <w:r w:rsidRPr="00477647">
        <w:rPr>
          <w:sz w:val="22"/>
          <w:szCs w:val="22"/>
        </w:rPr>
        <w:t>T</w:t>
      </w:r>
      <w:r w:rsidRPr="004A792A">
        <w:rPr>
          <w:color w:val="000000"/>
          <w:sz w:val="22"/>
          <w:szCs w:val="22"/>
        </w:rPr>
        <w:t xml:space="preserve">his suggests that </w:t>
      </w:r>
      <w:r w:rsidRPr="00477647">
        <w:rPr>
          <w:color w:val="000000"/>
          <w:sz w:val="22"/>
          <w:szCs w:val="22"/>
        </w:rPr>
        <w:t xml:space="preserve">jobs for college and university graduates in top occupational groups, namely managers, professionals, and associate professionals, tend to be much more segregated by gender than jobs for clerks and service workers, blue-collar, and unskilled workers </w:t>
      </w:r>
      <w:r w:rsidRPr="004A792A">
        <w:rPr>
          <w:color w:val="000000"/>
          <w:sz w:val="22"/>
          <w:szCs w:val="22"/>
        </w:rPr>
        <w:t>(assuming a match between available and required education) in Moldova. This argument is supported by a considerably larger and increasing index of dissimilarity for women and men working in the public sector and having formal employment</w:t>
      </w:r>
      <w:r>
        <w:rPr>
          <w:color w:val="000000"/>
          <w:sz w:val="22"/>
          <w:szCs w:val="22"/>
        </w:rPr>
        <w:t xml:space="preserve"> </w:t>
      </w:r>
      <w:r w:rsidRPr="004A792A">
        <w:rPr>
          <w:color w:val="000000"/>
          <w:sz w:val="22"/>
          <w:szCs w:val="22"/>
        </w:rPr>
        <w:t>(</w:t>
      </w:r>
      <w:r w:rsidRPr="004A792A">
        <w:rPr>
          <w:color w:val="000000"/>
          <w:sz w:val="22"/>
          <w:szCs w:val="22"/>
        </w:rPr>
        <w:fldChar w:fldCharType="begin"/>
      </w:r>
      <w:r w:rsidRPr="004A792A">
        <w:rPr>
          <w:color w:val="000000"/>
          <w:sz w:val="22"/>
          <w:szCs w:val="22"/>
        </w:rPr>
        <w:instrText xml:space="preserve"> REF _Ref519155128 \h  \* MERGEFORMAT </w:instrText>
      </w:r>
      <w:r w:rsidRPr="004A792A">
        <w:rPr>
          <w:color w:val="000000"/>
          <w:sz w:val="22"/>
          <w:szCs w:val="22"/>
        </w:rPr>
      </w:r>
      <w:r w:rsidRPr="004A792A">
        <w:rPr>
          <w:color w:val="000000"/>
          <w:sz w:val="22"/>
          <w:szCs w:val="22"/>
        </w:rPr>
        <w:fldChar w:fldCharType="separate"/>
      </w:r>
      <w:r w:rsidRPr="00477647">
        <w:rPr>
          <w:sz w:val="22"/>
          <w:szCs w:val="22"/>
        </w:rPr>
        <w:t xml:space="preserve">Figure </w:t>
      </w:r>
      <w:r w:rsidRPr="00477647">
        <w:rPr>
          <w:noProof/>
          <w:sz w:val="22"/>
          <w:szCs w:val="22"/>
        </w:rPr>
        <w:t>13</w:t>
      </w:r>
      <w:r w:rsidRPr="004A792A">
        <w:rPr>
          <w:color w:val="000000"/>
          <w:sz w:val="22"/>
          <w:szCs w:val="22"/>
        </w:rPr>
        <w:fldChar w:fldCharType="end"/>
      </w:r>
      <w:r w:rsidRPr="004A792A">
        <w:rPr>
          <w:color w:val="000000"/>
          <w:sz w:val="22"/>
          <w:szCs w:val="22"/>
        </w:rPr>
        <w:t>).</w:t>
      </w:r>
    </w:p>
    <w:p w14:paraId="5222EEEE" w14:textId="19CCB6A0" w:rsidR="00477647" w:rsidRDefault="00477647" w:rsidP="00477647">
      <w:pPr>
        <w:pStyle w:val="ad"/>
        <w:spacing w:before="240" w:after="0"/>
        <w:jc w:val="left"/>
        <w:rPr>
          <w:lang w:val="en-US"/>
        </w:rPr>
      </w:pPr>
      <w:bookmarkStart w:id="47" w:name="_Ref521684905"/>
      <w:bookmarkStart w:id="48" w:name="_Toc533211768"/>
      <w:r>
        <w:t xml:space="preserve">Figure </w:t>
      </w:r>
      <w:r>
        <w:fldChar w:fldCharType="begin"/>
      </w:r>
      <w:r>
        <w:instrText xml:space="preserve"> SEQ Figure \* ARABIC </w:instrText>
      </w:r>
      <w:r>
        <w:fldChar w:fldCharType="separate"/>
      </w:r>
      <w:r>
        <w:rPr>
          <w:noProof/>
        </w:rPr>
        <w:t>12</w:t>
      </w:r>
      <w:r>
        <w:fldChar w:fldCharType="end"/>
      </w:r>
      <w:bookmarkEnd w:id="47"/>
      <w:r>
        <w:t xml:space="preserve">: </w:t>
      </w:r>
      <w:r w:rsidRPr="004A792A">
        <w:rPr>
          <w:lang w:val="en-US"/>
        </w:rPr>
        <w:t>Duncan index of occupational dissimilarity</w:t>
      </w:r>
      <w:r>
        <w:rPr>
          <w:lang w:val="en-US"/>
        </w:rPr>
        <w:t xml:space="preserve"> in Ukraine, 2006-2013</w:t>
      </w:r>
      <w:bookmarkEnd w:id="48"/>
    </w:p>
    <w:p w14:paraId="2134FA87" w14:textId="77777777" w:rsidR="00477647" w:rsidRDefault="00477647" w:rsidP="00477647">
      <w:pPr>
        <w:jc w:val="center"/>
        <w:rPr>
          <w:lang w:val="en-US"/>
        </w:rPr>
      </w:pPr>
      <w:r w:rsidRPr="002E547A">
        <w:rPr>
          <w:noProof/>
          <w:lang w:val="ru-RU" w:eastAsia="ru-RU"/>
        </w:rPr>
        <w:drawing>
          <wp:inline distT="0" distB="0" distL="0" distR="0" wp14:anchorId="531E37B6" wp14:editId="494C28AB">
            <wp:extent cx="4102100" cy="22606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2100" cy="2260600"/>
                    </a:xfrm>
                    <a:prstGeom prst="rect">
                      <a:avLst/>
                    </a:prstGeom>
                    <a:noFill/>
                    <a:ln>
                      <a:noFill/>
                    </a:ln>
                  </pic:spPr>
                </pic:pic>
              </a:graphicData>
            </a:graphic>
          </wp:inline>
        </w:drawing>
      </w:r>
    </w:p>
    <w:p w14:paraId="087BCD43" w14:textId="77777777" w:rsidR="00477647" w:rsidRPr="004A792A" w:rsidRDefault="00477647" w:rsidP="00477647">
      <w:pPr>
        <w:rPr>
          <w:i/>
          <w:sz w:val="20"/>
          <w:szCs w:val="20"/>
          <w:lang w:val="en-US"/>
        </w:rPr>
      </w:pPr>
      <w:r w:rsidRPr="004A792A">
        <w:rPr>
          <w:i/>
          <w:sz w:val="20"/>
          <w:szCs w:val="20"/>
          <w:lang w:val="en-US"/>
        </w:rPr>
        <w:t>Source: Author’s calculations based of the individual-level Ukraine LFS data.</w:t>
      </w:r>
    </w:p>
    <w:p w14:paraId="107E2A02" w14:textId="77777777" w:rsidR="00477647" w:rsidRDefault="00477647" w:rsidP="00477647">
      <w:pPr>
        <w:spacing w:before="0"/>
        <w:rPr>
          <w:i/>
          <w:sz w:val="20"/>
          <w:szCs w:val="20"/>
          <w:lang w:val="en-US"/>
        </w:rPr>
      </w:pPr>
      <w:r w:rsidRPr="004A792A">
        <w:rPr>
          <w:i/>
          <w:sz w:val="20"/>
          <w:szCs w:val="20"/>
          <w:lang w:val="en-US"/>
        </w:rPr>
        <w:t>Note: Based on ISCO-88 3-digit occupations. Population aged 15-70 years.</w:t>
      </w:r>
      <w:r>
        <w:rPr>
          <w:i/>
          <w:sz w:val="20"/>
          <w:szCs w:val="20"/>
          <w:lang w:val="en-US"/>
        </w:rPr>
        <w:t xml:space="preserve"> 2008 is omitted because of unexplained fall in the estimated index.</w:t>
      </w:r>
    </w:p>
    <w:p w14:paraId="0E79E2C1" w14:textId="7B9D8006" w:rsidR="00477647" w:rsidRDefault="00477647" w:rsidP="00477647">
      <w:pPr>
        <w:pStyle w:val="61"/>
        <w:shd w:val="clear" w:color="auto" w:fill="auto"/>
        <w:spacing w:before="120" w:line="240" w:lineRule="auto"/>
        <w:jc w:val="both"/>
        <w:rPr>
          <w:color w:val="000000"/>
          <w:sz w:val="22"/>
          <w:szCs w:val="22"/>
        </w:rPr>
      </w:pPr>
      <w:r w:rsidRPr="00477647">
        <w:rPr>
          <w:b/>
          <w:color w:val="000000"/>
          <w:sz w:val="22"/>
          <w:szCs w:val="22"/>
        </w:rPr>
        <w:t>The opposite pattern is also observed in terms of segregation in formal versus informal employment</w:t>
      </w:r>
      <w:r w:rsidR="00FB5356" w:rsidRPr="004A792A">
        <w:rPr>
          <w:rStyle w:val="af9"/>
          <w:sz w:val="20"/>
          <w:szCs w:val="20"/>
        </w:rPr>
        <w:footnoteReference w:id="8"/>
      </w:r>
      <w:r w:rsidRPr="004A792A">
        <w:rPr>
          <w:color w:val="000000"/>
          <w:sz w:val="22"/>
          <w:szCs w:val="22"/>
        </w:rPr>
        <w:t>:</w:t>
      </w:r>
      <w:r w:rsidR="00FB5356">
        <w:rPr>
          <w:color w:val="000000"/>
          <w:sz w:val="22"/>
          <w:szCs w:val="22"/>
        </w:rPr>
        <w:t xml:space="preserve"> </w:t>
      </w:r>
      <w:r w:rsidRPr="004A792A">
        <w:rPr>
          <w:color w:val="000000"/>
          <w:sz w:val="22"/>
          <w:szCs w:val="22"/>
        </w:rPr>
        <w:t>in Ukraine</w:t>
      </w:r>
      <w:r>
        <w:rPr>
          <w:color w:val="000000"/>
          <w:sz w:val="22"/>
          <w:szCs w:val="22"/>
        </w:rPr>
        <w:t>,</w:t>
      </w:r>
      <w:r w:rsidRPr="004A792A">
        <w:rPr>
          <w:color w:val="000000"/>
          <w:sz w:val="22"/>
          <w:szCs w:val="22"/>
        </w:rPr>
        <w:t xml:space="preserve"> men and women working informally were much more likely to have </w:t>
      </w:r>
      <w:r w:rsidRPr="004A792A">
        <w:rPr>
          <w:color w:val="000000"/>
          <w:sz w:val="22"/>
          <w:szCs w:val="22"/>
        </w:rPr>
        <w:lastRenderedPageBreak/>
        <w:t>different distributions of occupations than formally employed (</w:t>
      </w:r>
      <w:r w:rsidRPr="00830934">
        <w:rPr>
          <w:color w:val="000000"/>
          <w:sz w:val="22"/>
          <w:szCs w:val="22"/>
        </w:rPr>
        <w:fldChar w:fldCharType="begin"/>
      </w:r>
      <w:r w:rsidRPr="00830934">
        <w:rPr>
          <w:color w:val="000000"/>
          <w:sz w:val="22"/>
          <w:szCs w:val="22"/>
        </w:rPr>
        <w:instrText xml:space="preserve"> REF _Ref525829173 \h </w:instrText>
      </w:r>
      <w:r>
        <w:rPr>
          <w:color w:val="000000"/>
          <w:sz w:val="22"/>
          <w:szCs w:val="22"/>
        </w:rPr>
        <w:instrText xml:space="preserve"> \* MERGEFORMAT </w:instrText>
      </w:r>
      <w:r w:rsidRPr="00830934">
        <w:rPr>
          <w:color w:val="000000"/>
          <w:sz w:val="22"/>
          <w:szCs w:val="22"/>
        </w:rPr>
      </w:r>
      <w:r w:rsidRPr="00830934">
        <w:rPr>
          <w:color w:val="000000"/>
          <w:sz w:val="22"/>
          <w:szCs w:val="22"/>
        </w:rPr>
        <w:fldChar w:fldCharType="separate"/>
      </w:r>
      <w:r w:rsidRPr="00477647">
        <w:rPr>
          <w:sz w:val="22"/>
          <w:szCs w:val="22"/>
        </w:rPr>
        <w:t xml:space="preserve">Table </w:t>
      </w:r>
      <w:r w:rsidRPr="00477647">
        <w:rPr>
          <w:noProof/>
          <w:sz w:val="22"/>
          <w:szCs w:val="22"/>
        </w:rPr>
        <w:t>A-3</w:t>
      </w:r>
      <w:r w:rsidRPr="00830934">
        <w:rPr>
          <w:color w:val="000000"/>
          <w:sz w:val="22"/>
          <w:szCs w:val="22"/>
        </w:rPr>
        <w:fldChar w:fldCharType="end"/>
      </w:r>
      <w:r w:rsidRPr="004A792A">
        <w:rPr>
          <w:color w:val="000000"/>
          <w:sz w:val="22"/>
          <w:szCs w:val="22"/>
        </w:rPr>
        <w:t>) while in Moldova informal employment seems to be associated with a lower level of occupational segregation (</w:t>
      </w:r>
      <w:r w:rsidRPr="004A792A">
        <w:rPr>
          <w:color w:val="000000"/>
          <w:sz w:val="22"/>
          <w:szCs w:val="22"/>
        </w:rPr>
        <w:fldChar w:fldCharType="begin"/>
      </w:r>
      <w:r w:rsidRPr="004A792A">
        <w:rPr>
          <w:color w:val="000000"/>
          <w:sz w:val="22"/>
          <w:szCs w:val="22"/>
        </w:rPr>
        <w:instrText xml:space="preserve"> REF _Ref519155128 \h  \* MERGEFORMAT </w:instrText>
      </w:r>
      <w:r w:rsidRPr="004A792A">
        <w:rPr>
          <w:color w:val="000000"/>
          <w:sz w:val="22"/>
          <w:szCs w:val="22"/>
        </w:rPr>
      </w:r>
      <w:r w:rsidRPr="004A792A">
        <w:rPr>
          <w:color w:val="000000"/>
          <w:sz w:val="22"/>
          <w:szCs w:val="22"/>
        </w:rPr>
        <w:fldChar w:fldCharType="separate"/>
      </w:r>
      <w:r w:rsidRPr="00477647">
        <w:rPr>
          <w:color w:val="000000"/>
          <w:sz w:val="22"/>
          <w:szCs w:val="22"/>
        </w:rPr>
        <w:t>Figure 13</w:t>
      </w:r>
      <w:r w:rsidRPr="004A792A">
        <w:rPr>
          <w:color w:val="000000"/>
          <w:sz w:val="22"/>
          <w:szCs w:val="22"/>
        </w:rPr>
        <w:fldChar w:fldCharType="end"/>
      </w:r>
      <w:r w:rsidRPr="004A792A">
        <w:rPr>
          <w:color w:val="000000"/>
          <w:sz w:val="22"/>
          <w:szCs w:val="22"/>
        </w:rPr>
        <w:t>, right panel).</w:t>
      </w:r>
      <w:r w:rsidRPr="00985270">
        <w:rPr>
          <w:vertAlign w:val="superscript"/>
        </w:rPr>
        <w:footnoteReference w:id="9"/>
      </w:r>
      <w:r w:rsidRPr="004A792A">
        <w:rPr>
          <w:color w:val="000000"/>
          <w:sz w:val="22"/>
          <w:szCs w:val="22"/>
        </w:rPr>
        <w:t xml:space="preserve"> </w:t>
      </w:r>
      <w:r w:rsidRPr="00985270">
        <w:rPr>
          <w:color w:val="000000"/>
          <w:sz w:val="22"/>
          <w:szCs w:val="22"/>
        </w:rPr>
        <w:t xml:space="preserve">This discrepancy is probably driven by different occupational and </w:t>
      </w:r>
      <w:proofErr w:type="spellStart"/>
      <w:r w:rsidRPr="00985270">
        <w:rPr>
          <w:color w:val="000000"/>
          <w:sz w:val="22"/>
          <w:szCs w:val="22"/>
        </w:rPr>
        <w:t>sectoral</w:t>
      </w:r>
      <w:proofErr w:type="spellEnd"/>
      <w:r w:rsidRPr="00985270">
        <w:rPr>
          <w:color w:val="000000"/>
          <w:sz w:val="22"/>
          <w:szCs w:val="22"/>
        </w:rPr>
        <w:t xml:space="preserve"> composition of informal employment: more heterogeneous in Ukraine and less heterogeneous, predominantly concentrated in (subsistence) agriculture, in Moldova.</w:t>
      </w:r>
    </w:p>
    <w:p w14:paraId="0EBF8996" w14:textId="644551ED" w:rsidR="006D1220" w:rsidRPr="004A792A" w:rsidRDefault="006D1220" w:rsidP="006D1220">
      <w:pPr>
        <w:pStyle w:val="ad"/>
        <w:spacing w:before="240" w:after="0"/>
        <w:jc w:val="left"/>
        <w:rPr>
          <w:lang w:val="en-US"/>
        </w:rPr>
      </w:pPr>
      <w:bookmarkStart w:id="49" w:name="_Ref519155128"/>
      <w:bookmarkStart w:id="50" w:name="_Toc533211769"/>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477647">
        <w:rPr>
          <w:noProof/>
          <w:lang w:val="en-US"/>
        </w:rPr>
        <w:t>13</w:t>
      </w:r>
      <w:r w:rsidRPr="004A792A">
        <w:rPr>
          <w:lang w:val="en-US"/>
        </w:rPr>
        <w:fldChar w:fldCharType="end"/>
      </w:r>
      <w:bookmarkEnd w:id="49"/>
      <w:r w:rsidRPr="004A792A">
        <w:rPr>
          <w:lang w:val="en-US"/>
        </w:rPr>
        <w:t>: Duncan index of occupational dissimilarity by</w:t>
      </w:r>
      <w:r w:rsidR="00177468" w:rsidRPr="004A792A">
        <w:rPr>
          <w:lang w:val="en-US"/>
        </w:rPr>
        <w:t xml:space="preserve"> type of employment</w:t>
      </w:r>
      <w:r w:rsidRPr="004A792A">
        <w:rPr>
          <w:lang w:val="en-US"/>
        </w:rPr>
        <w:t>, 2006-2016</w:t>
      </w:r>
      <w:bookmarkEnd w:id="50"/>
    </w:p>
    <w:tbl>
      <w:tblPr>
        <w:tblStyle w:val="ac"/>
        <w:tblW w:w="97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38"/>
      </w:tblGrid>
      <w:tr w:rsidR="006D1220" w:rsidRPr="004A792A" w14:paraId="63C66D0D" w14:textId="77777777" w:rsidTr="001F2B7D">
        <w:tc>
          <w:tcPr>
            <w:tcW w:w="4820" w:type="dxa"/>
          </w:tcPr>
          <w:p w14:paraId="650DFCEE" w14:textId="77777777" w:rsidR="006D1220" w:rsidRPr="004A792A" w:rsidRDefault="000A1AA8" w:rsidP="00C31A2F">
            <w:pPr>
              <w:pStyle w:val="61"/>
              <w:shd w:val="clear" w:color="auto" w:fill="auto"/>
              <w:spacing w:before="120" w:line="240" w:lineRule="auto"/>
              <w:jc w:val="both"/>
              <w:rPr>
                <w:color w:val="000000"/>
                <w:sz w:val="22"/>
                <w:szCs w:val="22"/>
              </w:rPr>
            </w:pPr>
            <w:r w:rsidRPr="004A792A">
              <w:rPr>
                <w:noProof/>
                <w:color w:val="000000"/>
                <w:sz w:val="22"/>
                <w:szCs w:val="22"/>
                <w:lang w:val="ru-RU" w:eastAsia="ru-RU"/>
              </w:rPr>
              <w:drawing>
                <wp:inline distT="0" distB="0" distL="0" distR="0" wp14:anchorId="66C86A55" wp14:editId="31A4338B">
                  <wp:extent cx="2916000" cy="2498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6000" cy="2498400"/>
                          </a:xfrm>
                          <a:prstGeom prst="rect">
                            <a:avLst/>
                          </a:prstGeom>
                          <a:noFill/>
                          <a:ln>
                            <a:noFill/>
                          </a:ln>
                        </pic:spPr>
                      </pic:pic>
                    </a:graphicData>
                  </a:graphic>
                </wp:inline>
              </w:drawing>
            </w:r>
          </w:p>
        </w:tc>
        <w:tc>
          <w:tcPr>
            <w:tcW w:w="4938" w:type="dxa"/>
          </w:tcPr>
          <w:p w14:paraId="64AD3490" w14:textId="77777777" w:rsidR="006D1220" w:rsidRPr="004A792A" w:rsidRDefault="000A1AA8" w:rsidP="00C31A2F">
            <w:pPr>
              <w:pStyle w:val="61"/>
              <w:shd w:val="clear" w:color="auto" w:fill="auto"/>
              <w:spacing w:before="120" w:line="240" w:lineRule="auto"/>
              <w:jc w:val="both"/>
              <w:rPr>
                <w:color w:val="000000"/>
                <w:sz w:val="22"/>
                <w:szCs w:val="22"/>
              </w:rPr>
            </w:pPr>
            <w:r w:rsidRPr="004A792A">
              <w:rPr>
                <w:noProof/>
                <w:color w:val="000000"/>
                <w:sz w:val="22"/>
                <w:szCs w:val="22"/>
                <w:lang w:val="ru-RU" w:eastAsia="ru-RU"/>
              </w:rPr>
              <w:drawing>
                <wp:inline distT="0" distB="0" distL="0" distR="0" wp14:anchorId="035A2E39" wp14:editId="35ABE233">
                  <wp:extent cx="2916000" cy="2498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16000" cy="2498400"/>
                          </a:xfrm>
                          <a:prstGeom prst="rect">
                            <a:avLst/>
                          </a:prstGeom>
                          <a:noFill/>
                          <a:ln>
                            <a:noFill/>
                          </a:ln>
                        </pic:spPr>
                      </pic:pic>
                    </a:graphicData>
                  </a:graphic>
                </wp:inline>
              </w:drawing>
            </w:r>
          </w:p>
        </w:tc>
      </w:tr>
    </w:tbl>
    <w:p w14:paraId="4E526569" w14:textId="36FCEEC5" w:rsidR="006D1220" w:rsidRPr="004A792A" w:rsidRDefault="006D1220" w:rsidP="0010212F">
      <w:pPr>
        <w:pStyle w:val="63"/>
        <w:shd w:val="clear" w:color="auto" w:fill="auto"/>
        <w:spacing w:before="120" w:line="240" w:lineRule="auto"/>
        <w:rPr>
          <w:sz w:val="20"/>
          <w:szCs w:val="20"/>
        </w:rPr>
      </w:pPr>
      <w:r w:rsidRPr="004A792A">
        <w:rPr>
          <w:sz w:val="20"/>
          <w:szCs w:val="20"/>
        </w:rPr>
        <w:t>Note: ISCO-88 occupations are used in 2006-2013, and ISCO-08 occupations in 2014-2016.</w:t>
      </w:r>
      <w:r w:rsidR="0010212F" w:rsidRPr="004A792A">
        <w:rPr>
          <w:sz w:val="20"/>
          <w:szCs w:val="20"/>
        </w:rPr>
        <w:t xml:space="preserve"> Information about public and non-public sector is based on the answers of employees about the ownership type of the establishment where they worked; jobs of self-employed and own accou</w:t>
      </w:r>
      <w:r w:rsidR="00B43D1C" w:rsidRPr="004A792A">
        <w:rPr>
          <w:sz w:val="20"/>
          <w:szCs w:val="20"/>
        </w:rPr>
        <w:t>nt-workers are classified by us as n</w:t>
      </w:r>
      <w:r w:rsidR="0010212F" w:rsidRPr="004A792A">
        <w:rPr>
          <w:sz w:val="20"/>
          <w:szCs w:val="20"/>
        </w:rPr>
        <w:t xml:space="preserve">on-public sector. </w:t>
      </w:r>
      <w:r w:rsidR="00B43D1C" w:rsidRPr="004A792A">
        <w:rPr>
          <w:sz w:val="20"/>
          <w:szCs w:val="20"/>
        </w:rPr>
        <w:t>I</w:t>
      </w:r>
      <w:r w:rsidR="0010212F" w:rsidRPr="004A792A">
        <w:rPr>
          <w:sz w:val="20"/>
          <w:szCs w:val="20"/>
        </w:rPr>
        <w:t xml:space="preserve">nformal employment </w:t>
      </w:r>
      <w:r w:rsidR="00B43D1C" w:rsidRPr="004A792A">
        <w:rPr>
          <w:sz w:val="20"/>
          <w:szCs w:val="20"/>
        </w:rPr>
        <w:t xml:space="preserve">is </w:t>
      </w:r>
      <w:r w:rsidR="0010212F" w:rsidRPr="004A792A">
        <w:rPr>
          <w:sz w:val="20"/>
          <w:szCs w:val="20"/>
        </w:rPr>
        <w:t>defined</w:t>
      </w:r>
      <w:r w:rsidR="00B43D1C" w:rsidRPr="004A792A">
        <w:rPr>
          <w:sz w:val="20"/>
          <w:szCs w:val="20"/>
        </w:rPr>
        <w:t xml:space="preserve"> </w:t>
      </w:r>
      <w:r w:rsidR="0010212F" w:rsidRPr="004A792A">
        <w:rPr>
          <w:sz w:val="20"/>
          <w:szCs w:val="20"/>
        </w:rPr>
        <w:t>by</w:t>
      </w:r>
      <w:r w:rsidR="00B43D1C" w:rsidRPr="004A792A">
        <w:rPr>
          <w:sz w:val="20"/>
          <w:szCs w:val="20"/>
        </w:rPr>
        <w:t xml:space="preserve"> t</w:t>
      </w:r>
      <w:r w:rsidR="0010212F" w:rsidRPr="004A792A">
        <w:rPr>
          <w:sz w:val="20"/>
          <w:szCs w:val="20"/>
        </w:rPr>
        <w:t>he NBS.</w:t>
      </w:r>
    </w:p>
    <w:p w14:paraId="75EA985F" w14:textId="7A912AE0" w:rsidR="005E3CAF" w:rsidRPr="004A792A" w:rsidRDefault="0095589D" w:rsidP="0095589D">
      <w:pPr>
        <w:pStyle w:val="61"/>
        <w:shd w:val="clear" w:color="auto" w:fill="auto"/>
        <w:spacing w:before="120" w:line="240" w:lineRule="auto"/>
        <w:jc w:val="both"/>
        <w:rPr>
          <w:color w:val="000000"/>
          <w:sz w:val="22"/>
          <w:szCs w:val="22"/>
        </w:rPr>
      </w:pPr>
      <w:r w:rsidRPr="00FB5356">
        <w:rPr>
          <w:b/>
          <w:color w:val="000000"/>
          <w:sz w:val="22"/>
          <w:szCs w:val="22"/>
        </w:rPr>
        <w:t>New generation (born in 1980 and later) found the labor market in 2006 more segregated than the preceding generation born in the 1960-70s and even more segregated compared to matured men and women born in 1959 and before</w:t>
      </w:r>
      <w:r w:rsidR="00FB5356">
        <w:rPr>
          <w:color w:val="000000"/>
          <w:sz w:val="22"/>
          <w:szCs w:val="22"/>
        </w:rPr>
        <w:t xml:space="preserve"> (</w:t>
      </w:r>
      <w:r w:rsidR="00FB5356" w:rsidRPr="002E547A">
        <w:rPr>
          <w:color w:val="000000"/>
          <w:sz w:val="22"/>
          <w:szCs w:val="22"/>
        </w:rPr>
        <w:fldChar w:fldCharType="begin"/>
      </w:r>
      <w:r w:rsidR="00FB5356" w:rsidRPr="002E547A">
        <w:rPr>
          <w:color w:val="000000"/>
          <w:sz w:val="22"/>
          <w:szCs w:val="22"/>
        </w:rPr>
        <w:instrText xml:space="preserve"> REF _Ref521684647 \h </w:instrText>
      </w:r>
      <w:r w:rsidR="00FB5356">
        <w:rPr>
          <w:color w:val="000000"/>
          <w:sz w:val="22"/>
          <w:szCs w:val="22"/>
        </w:rPr>
        <w:instrText xml:space="preserve"> \* MERGEFORMAT </w:instrText>
      </w:r>
      <w:r w:rsidR="00FB5356" w:rsidRPr="002E547A">
        <w:rPr>
          <w:color w:val="000000"/>
          <w:sz w:val="22"/>
          <w:szCs w:val="22"/>
        </w:rPr>
      </w:r>
      <w:r w:rsidR="00FB5356" w:rsidRPr="002E547A">
        <w:rPr>
          <w:color w:val="000000"/>
          <w:sz w:val="22"/>
          <w:szCs w:val="22"/>
        </w:rPr>
        <w:fldChar w:fldCharType="separate"/>
      </w:r>
      <w:r w:rsidR="00FB5356" w:rsidRPr="00FB5356">
        <w:rPr>
          <w:sz w:val="22"/>
          <w:szCs w:val="22"/>
        </w:rPr>
        <w:t xml:space="preserve">Figure </w:t>
      </w:r>
      <w:r w:rsidR="00FB5356" w:rsidRPr="00FB5356">
        <w:rPr>
          <w:noProof/>
          <w:sz w:val="22"/>
          <w:szCs w:val="22"/>
        </w:rPr>
        <w:t>14</w:t>
      </w:r>
      <w:r w:rsidR="00FB5356" w:rsidRPr="002E547A">
        <w:rPr>
          <w:color w:val="000000"/>
          <w:sz w:val="22"/>
          <w:szCs w:val="22"/>
        </w:rPr>
        <w:fldChar w:fldCharType="end"/>
      </w:r>
      <w:r w:rsidR="00FB5356">
        <w:rPr>
          <w:color w:val="000000"/>
          <w:sz w:val="22"/>
          <w:szCs w:val="22"/>
        </w:rPr>
        <w:t>)</w:t>
      </w:r>
      <w:r w:rsidRPr="004A792A">
        <w:rPr>
          <w:color w:val="000000"/>
          <w:sz w:val="22"/>
          <w:szCs w:val="22"/>
        </w:rPr>
        <w:t>. However, the gap between three generations almost disappeared by 2016 due to a slow decrease in occupational segregation among workers from new generation and an increase in segregation for preceding generations.</w:t>
      </w:r>
      <w:r w:rsidR="00FB5356">
        <w:rPr>
          <w:color w:val="000000"/>
          <w:sz w:val="22"/>
          <w:szCs w:val="22"/>
        </w:rPr>
        <w:t xml:space="preserve"> </w:t>
      </w:r>
      <w:r w:rsidR="00FB5356" w:rsidRPr="004A792A">
        <w:rPr>
          <w:color w:val="000000"/>
          <w:sz w:val="22"/>
          <w:szCs w:val="22"/>
        </w:rPr>
        <w:t xml:space="preserve">A small decline in occupational segregation between 2006 and 2016 for younger women can be a sign of their moving out of female-dominated occupations and entering managerial positions or professional occupations that had been male-dominated in the past. But a fairly high value of the index of occupational dissimilarity in 2016 (49 percent) suggests that the Moldovan labor market remains fairly segregated for workers under 36 years. Given </w:t>
      </w:r>
      <w:r w:rsidR="00FB5356">
        <w:rPr>
          <w:color w:val="000000"/>
          <w:sz w:val="22"/>
          <w:szCs w:val="22"/>
        </w:rPr>
        <w:t xml:space="preserve">the </w:t>
      </w:r>
      <w:r w:rsidR="00FB5356" w:rsidRPr="004A792A">
        <w:rPr>
          <w:color w:val="000000"/>
          <w:sz w:val="22"/>
          <w:szCs w:val="22"/>
        </w:rPr>
        <w:t>observed trends in the index across education groups (</w:t>
      </w:r>
      <w:r w:rsidR="00FB5356" w:rsidRPr="004A792A">
        <w:rPr>
          <w:color w:val="000000"/>
          <w:sz w:val="22"/>
          <w:szCs w:val="22"/>
        </w:rPr>
        <w:fldChar w:fldCharType="begin"/>
      </w:r>
      <w:r w:rsidR="00FB5356" w:rsidRPr="004A792A">
        <w:rPr>
          <w:color w:val="000000"/>
          <w:sz w:val="22"/>
          <w:szCs w:val="22"/>
        </w:rPr>
        <w:instrText xml:space="preserve"> REF _Ref519154637 \h  \* MERGEFORMAT </w:instrText>
      </w:r>
      <w:r w:rsidR="00FB5356" w:rsidRPr="004A792A">
        <w:rPr>
          <w:color w:val="000000"/>
          <w:sz w:val="22"/>
          <w:szCs w:val="22"/>
        </w:rPr>
      </w:r>
      <w:r w:rsidR="00FB5356" w:rsidRPr="004A792A">
        <w:rPr>
          <w:color w:val="000000"/>
          <w:sz w:val="22"/>
          <w:szCs w:val="22"/>
        </w:rPr>
        <w:fldChar w:fldCharType="separate"/>
      </w:r>
      <w:r w:rsidR="00FB5356" w:rsidRPr="00FB5356">
        <w:rPr>
          <w:sz w:val="22"/>
          <w:szCs w:val="22"/>
        </w:rPr>
        <w:t xml:space="preserve">Figure </w:t>
      </w:r>
      <w:r w:rsidR="00FB5356" w:rsidRPr="00FB5356">
        <w:rPr>
          <w:noProof/>
          <w:sz w:val="22"/>
          <w:szCs w:val="22"/>
        </w:rPr>
        <w:t>11</w:t>
      </w:r>
      <w:r w:rsidR="00FB5356" w:rsidRPr="004A792A">
        <w:rPr>
          <w:color w:val="000000"/>
          <w:sz w:val="22"/>
          <w:szCs w:val="22"/>
        </w:rPr>
        <w:fldChar w:fldCharType="end"/>
      </w:r>
      <w:r w:rsidR="00FB5356" w:rsidRPr="004A792A">
        <w:rPr>
          <w:color w:val="000000"/>
          <w:sz w:val="22"/>
          <w:szCs w:val="22"/>
        </w:rPr>
        <w:t>), a higher educational attainment of women compared to men in this cohort seems to contribute to higher rather lower occupational segregation.</w:t>
      </w:r>
    </w:p>
    <w:p w14:paraId="43E45864" w14:textId="2E26B9F4" w:rsidR="00746030" w:rsidRDefault="00746030" w:rsidP="00746030">
      <w:pPr>
        <w:pStyle w:val="ad"/>
        <w:spacing w:before="240" w:after="0"/>
        <w:jc w:val="left"/>
        <w:rPr>
          <w:lang w:val="en-US"/>
        </w:rPr>
      </w:pPr>
      <w:bookmarkStart w:id="51" w:name="_Ref521684647"/>
      <w:bookmarkStart w:id="52" w:name="_Toc533211770"/>
      <w:r w:rsidRPr="004A792A">
        <w:rPr>
          <w:lang w:val="en-US"/>
        </w:rPr>
        <w:lastRenderedPageBreak/>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14</w:t>
      </w:r>
      <w:r w:rsidRPr="004A792A">
        <w:rPr>
          <w:lang w:val="en-US"/>
        </w:rPr>
        <w:fldChar w:fldCharType="end"/>
      </w:r>
      <w:bookmarkEnd w:id="51"/>
      <w:r w:rsidRPr="004A792A">
        <w:rPr>
          <w:lang w:val="en-US"/>
        </w:rPr>
        <w:t>: Duncan index of occupational dissimilarity by cohorts, 2006-2016</w:t>
      </w:r>
      <w:bookmarkEnd w:id="52"/>
    </w:p>
    <w:p w14:paraId="2A1FD31D" w14:textId="77777777" w:rsidR="00001B37" w:rsidRPr="00001B37" w:rsidRDefault="00001B37" w:rsidP="00001B37">
      <w:pPr>
        <w:jc w:val="center"/>
        <w:rPr>
          <w:lang w:val="en-US"/>
        </w:rPr>
      </w:pPr>
      <w:r w:rsidRPr="00001B37">
        <w:rPr>
          <w:noProof/>
          <w:lang w:val="ru-RU" w:eastAsia="ru-RU"/>
        </w:rPr>
        <w:drawing>
          <wp:inline distT="0" distB="0" distL="0" distR="0" wp14:anchorId="187F87DB" wp14:editId="6F8BA982">
            <wp:extent cx="4756150" cy="21336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56150" cy="2133600"/>
                    </a:xfrm>
                    <a:prstGeom prst="rect">
                      <a:avLst/>
                    </a:prstGeom>
                    <a:noFill/>
                    <a:ln>
                      <a:noFill/>
                    </a:ln>
                  </pic:spPr>
                </pic:pic>
              </a:graphicData>
            </a:graphic>
          </wp:inline>
        </w:drawing>
      </w:r>
    </w:p>
    <w:p w14:paraId="21F2D0C2" w14:textId="77777777" w:rsidR="00746030" w:rsidRPr="004A792A" w:rsidRDefault="00746030" w:rsidP="00746030">
      <w:pPr>
        <w:pStyle w:val="63"/>
        <w:shd w:val="clear" w:color="auto" w:fill="auto"/>
        <w:spacing w:before="120" w:line="240" w:lineRule="auto"/>
        <w:rPr>
          <w:sz w:val="20"/>
          <w:szCs w:val="20"/>
        </w:rPr>
      </w:pPr>
      <w:r w:rsidRPr="004A792A">
        <w:rPr>
          <w:sz w:val="20"/>
          <w:szCs w:val="20"/>
        </w:rPr>
        <w:t>Note: ISCO-88 occupations are used in 2006-2013, and ISCO-08 occupations in 2014-2016.</w:t>
      </w:r>
    </w:p>
    <w:p w14:paraId="7B3F786B" w14:textId="40473EFB" w:rsidR="0073328B" w:rsidRPr="004A792A" w:rsidRDefault="0073328B" w:rsidP="0095589D">
      <w:pPr>
        <w:pStyle w:val="61"/>
        <w:shd w:val="clear" w:color="auto" w:fill="auto"/>
        <w:spacing w:before="120" w:line="240" w:lineRule="auto"/>
        <w:jc w:val="both"/>
        <w:rPr>
          <w:color w:val="000000"/>
          <w:sz w:val="22"/>
          <w:szCs w:val="22"/>
        </w:rPr>
      </w:pPr>
    </w:p>
    <w:p w14:paraId="4CFB87D2" w14:textId="77777777" w:rsidR="0073328B" w:rsidRPr="004A792A" w:rsidRDefault="0073328B" w:rsidP="0073328B">
      <w:pPr>
        <w:pStyle w:val="2"/>
        <w:numPr>
          <w:ilvl w:val="0"/>
          <w:numId w:val="0"/>
        </w:numPr>
        <w:spacing w:before="360"/>
        <w:rPr>
          <w:color w:val="0070C0"/>
          <w:sz w:val="32"/>
          <w:szCs w:val="32"/>
        </w:rPr>
      </w:pPr>
      <w:bookmarkStart w:id="53" w:name="bookmark15"/>
      <w:bookmarkStart w:id="54" w:name="_Toc533211733"/>
      <w:r w:rsidRPr="004A792A">
        <w:rPr>
          <w:color w:val="0070C0"/>
          <w:sz w:val="32"/>
          <w:szCs w:val="32"/>
        </w:rPr>
        <w:t>2.3. Comparison of occupational segregation in Moldova and EU countries</w:t>
      </w:r>
      <w:bookmarkEnd w:id="53"/>
      <w:bookmarkEnd w:id="54"/>
    </w:p>
    <w:p w14:paraId="6ED26661" w14:textId="035AF502" w:rsidR="00341367" w:rsidRPr="004A792A" w:rsidRDefault="00FB5356" w:rsidP="00341367">
      <w:pPr>
        <w:pStyle w:val="61"/>
        <w:shd w:val="clear" w:color="auto" w:fill="auto"/>
        <w:spacing w:before="120" w:line="240" w:lineRule="auto"/>
        <w:jc w:val="both"/>
        <w:rPr>
          <w:color w:val="000000"/>
          <w:sz w:val="22"/>
          <w:szCs w:val="22"/>
        </w:rPr>
      </w:pPr>
      <w:r w:rsidRPr="00670646">
        <w:rPr>
          <w:b/>
          <w:color w:val="000000"/>
          <w:sz w:val="22"/>
          <w:szCs w:val="22"/>
        </w:rPr>
        <w:t xml:space="preserve">The alternative measure of occupational segregation – the </w:t>
      </w:r>
      <w:proofErr w:type="spellStart"/>
      <w:r w:rsidRPr="00670646">
        <w:rPr>
          <w:b/>
          <w:color w:val="000000"/>
          <w:sz w:val="22"/>
          <w:szCs w:val="22"/>
        </w:rPr>
        <w:t>Karmel</w:t>
      </w:r>
      <w:proofErr w:type="spellEnd"/>
      <w:r w:rsidRPr="00670646">
        <w:rPr>
          <w:b/>
          <w:color w:val="000000"/>
          <w:sz w:val="22"/>
          <w:szCs w:val="22"/>
        </w:rPr>
        <w:t xml:space="preserve"> and </w:t>
      </w:r>
      <w:proofErr w:type="spellStart"/>
      <w:r w:rsidRPr="00670646">
        <w:rPr>
          <w:b/>
          <w:color w:val="000000"/>
          <w:sz w:val="22"/>
          <w:szCs w:val="22"/>
        </w:rPr>
        <w:t>MacLachlan</w:t>
      </w:r>
      <w:proofErr w:type="spellEnd"/>
      <w:r w:rsidRPr="00670646">
        <w:rPr>
          <w:b/>
          <w:color w:val="000000"/>
          <w:sz w:val="22"/>
          <w:szCs w:val="22"/>
        </w:rPr>
        <w:t xml:space="preserve"> index – is lower in Moldova (23.5 percent for aged 20-64 years) compared to the EU-28 average (24.1 percent)</w:t>
      </w:r>
      <w:r w:rsidRPr="004A792A">
        <w:rPr>
          <w:color w:val="000000"/>
          <w:sz w:val="22"/>
          <w:szCs w:val="22"/>
        </w:rPr>
        <w:t xml:space="preserve"> and substantially lower than in high</w:t>
      </w:r>
      <w:r>
        <w:rPr>
          <w:color w:val="000000"/>
          <w:sz w:val="22"/>
          <w:szCs w:val="22"/>
        </w:rPr>
        <w:t>-</w:t>
      </w:r>
      <w:r w:rsidRPr="004A792A">
        <w:rPr>
          <w:color w:val="000000"/>
          <w:sz w:val="22"/>
          <w:szCs w:val="22"/>
        </w:rPr>
        <w:t>segregation countries represented predominantly by new EU members from the post-socialist bloc (</w:t>
      </w:r>
      <w:r w:rsidRPr="004A792A">
        <w:rPr>
          <w:color w:val="000000"/>
        </w:rPr>
        <w:fldChar w:fldCharType="begin"/>
      </w:r>
      <w:r w:rsidRPr="004A792A">
        <w:rPr>
          <w:color w:val="000000"/>
          <w:sz w:val="22"/>
          <w:szCs w:val="22"/>
        </w:rPr>
        <w:instrText xml:space="preserve"> REF _Ref519157872 \h  \* MERGEFORMAT </w:instrText>
      </w:r>
      <w:r w:rsidRPr="004A792A">
        <w:rPr>
          <w:color w:val="000000"/>
        </w:rPr>
      </w:r>
      <w:r w:rsidRPr="004A792A">
        <w:rPr>
          <w:color w:val="000000"/>
        </w:rPr>
        <w:fldChar w:fldCharType="separate"/>
      </w:r>
      <w:r w:rsidRPr="00167A56">
        <w:rPr>
          <w:sz w:val="22"/>
          <w:szCs w:val="22"/>
        </w:rPr>
        <w:t xml:space="preserve">Figure </w:t>
      </w:r>
      <w:r w:rsidRPr="00167A56">
        <w:rPr>
          <w:noProof/>
          <w:sz w:val="22"/>
          <w:szCs w:val="22"/>
        </w:rPr>
        <w:t>15</w:t>
      </w:r>
      <w:r w:rsidRPr="004A792A">
        <w:rPr>
          <w:color w:val="000000"/>
        </w:rPr>
        <w:fldChar w:fldCharType="end"/>
      </w:r>
      <w:r w:rsidRPr="004A792A">
        <w:rPr>
          <w:color w:val="000000"/>
          <w:sz w:val="22"/>
          <w:szCs w:val="22"/>
        </w:rPr>
        <w:t>).</w:t>
      </w:r>
      <w:r>
        <w:rPr>
          <w:color w:val="000000"/>
          <w:sz w:val="22"/>
          <w:szCs w:val="22"/>
        </w:rPr>
        <w:t xml:space="preserve"> </w:t>
      </w:r>
      <w:r w:rsidR="00341367" w:rsidRPr="004A792A">
        <w:rPr>
          <w:color w:val="000000"/>
          <w:sz w:val="22"/>
          <w:szCs w:val="22"/>
        </w:rPr>
        <w:t>In all countries</w:t>
      </w:r>
      <w:r w:rsidR="00E8547F">
        <w:rPr>
          <w:color w:val="000000"/>
          <w:sz w:val="22"/>
          <w:szCs w:val="22"/>
        </w:rPr>
        <w:t xml:space="preserve"> under study</w:t>
      </w:r>
      <w:r w:rsidR="00341367" w:rsidRPr="004A792A">
        <w:rPr>
          <w:color w:val="000000"/>
          <w:sz w:val="22"/>
          <w:szCs w:val="22"/>
        </w:rPr>
        <w:t xml:space="preserve"> the index is far apart from its theoretical maximum of 50 percent.</w:t>
      </w:r>
    </w:p>
    <w:p w14:paraId="18AE786C" w14:textId="2F7493A2" w:rsidR="00341367" w:rsidRDefault="00341367" w:rsidP="00341367">
      <w:pPr>
        <w:pStyle w:val="ad"/>
        <w:spacing w:before="240" w:after="0"/>
        <w:jc w:val="left"/>
        <w:rPr>
          <w:lang w:val="en-US"/>
        </w:rPr>
      </w:pPr>
      <w:bookmarkStart w:id="55" w:name="_Ref519157872"/>
      <w:bookmarkStart w:id="56" w:name="_Toc533211771"/>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15</w:t>
      </w:r>
      <w:r w:rsidRPr="004A792A">
        <w:rPr>
          <w:lang w:val="en-US"/>
        </w:rPr>
        <w:fldChar w:fldCharType="end"/>
      </w:r>
      <w:bookmarkEnd w:id="55"/>
      <w:r w:rsidRPr="004A792A">
        <w:rPr>
          <w:lang w:val="en-US"/>
        </w:rPr>
        <w:t xml:space="preserve">: Gender segregation in occupations in Moldova and EU countries: </w:t>
      </w:r>
      <w:proofErr w:type="spellStart"/>
      <w:r w:rsidR="00FB5356" w:rsidRPr="004A792A">
        <w:rPr>
          <w:color w:val="000000"/>
          <w:szCs w:val="22"/>
        </w:rPr>
        <w:t>Karmel</w:t>
      </w:r>
      <w:proofErr w:type="spellEnd"/>
      <w:r w:rsidR="00FB5356" w:rsidRPr="004A792A">
        <w:rPr>
          <w:color w:val="000000"/>
          <w:szCs w:val="22"/>
        </w:rPr>
        <w:t xml:space="preserve"> and </w:t>
      </w:r>
      <w:proofErr w:type="spellStart"/>
      <w:r w:rsidR="00FB5356" w:rsidRPr="004A792A">
        <w:rPr>
          <w:color w:val="000000"/>
          <w:szCs w:val="22"/>
        </w:rPr>
        <w:t>MacLachlan</w:t>
      </w:r>
      <w:proofErr w:type="spellEnd"/>
      <w:r w:rsidR="00FB5356" w:rsidRPr="004A792A">
        <w:rPr>
          <w:color w:val="000000"/>
          <w:szCs w:val="22"/>
        </w:rPr>
        <w:t xml:space="preserve"> </w:t>
      </w:r>
      <w:r w:rsidRPr="004A792A">
        <w:rPr>
          <w:lang w:val="en-US"/>
        </w:rPr>
        <w:t>index (%), 2016</w:t>
      </w:r>
      <w:bookmarkEnd w:id="56"/>
    </w:p>
    <w:p w14:paraId="784E9156" w14:textId="77777777" w:rsidR="00A76AA8" w:rsidRPr="00A76AA8" w:rsidRDefault="00A76AA8" w:rsidP="00A76AA8">
      <w:pPr>
        <w:jc w:val="center"/>
        <w:rPr>
          <w:lang w:val="en-US"/>
        </w:rPr>
      </w:pPr>
      <w:r w:rsidRPr="00A76AA8">
        <w:rPr>
          <w:noProof/>
          <w:lang w:val="ru-RU" w:eastAsia="ru-RU"/>
        </w:rPr>
        <w:drawing>
          <wp:inline distT="0" distB="0" distL="0" distR="0" wp14:anchorId="5BF2CEF8" wp14:editId="0CFAEBEB">
            <wp:extent cx="5384800" cy="1993900"/>
            <wp:effectExtent l="0" t="0" r="635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84800" cy="1993900"/>
                    </a:xfrm>
                    <a:prstGeom prst="rect">
                      <a:avLst/>
                    </a:prstGeom>
                    <a:noFill/>
                    <a:ln>
                      <a:noFill/>
                    </a:ln>
                  </pic:spPr>
                </pic:pic>
              </a:graphicData>
            </a:graphic>
          </wp:inline>
        </w:drawing>
      </w:r>
    </w:p>
    <w:p w14:paraId="792A82BB" w14:textId="77777777" w:rsidR="00341367" w:rsidRPr="004A792A" w:rsidRDefault="00341367" w:rsidP="00341367">
      <w:pPr>
        <w:rPr>
          <w:i/>
          <w:sz w:val="20"/>
          <w:szCs w:val="20"/>
          <w:lang w:val="en-US"/>
        </w:rPr>
      </w:pPr>
      <w:r w:rsidRPr="004A792A">
        <w:rPr>
          <w:i/>
          <w:color w:val="000000"/>
          <w:sz w:val="20"/>
          <w:szCs w:val="20"/>
          <w:lang w:val="en-US"/>
        </w:rPr>
        <w:t>Source</w:t>
      </w:r>
      <w:r w:rsidR="0067542D">
        <w:rPr>
          <w:i/>
          <w:color w:val="000000"/>
          <w:sz w:val="20"/>
          <w:szCs w:val="20"/>
          <w:lang w:val="en-US"/>
        </w:rPr>
        <w:t>s</w:t>
      </w:r>
      <w:r w:rsidRPr="004A792A">
        <w:rPr>
          <w:i/>
          <w:color w:val="000000"/>
          <w:sz w:val="20"/>
          <w:szCs w:val="20"/>
          <w:lang w:val="en-US"/>
        </w:rPr>
        <w:t xml:space="preserve">: EU countries </w:t>
      </w:r>
      <w:r w:rsidR="00050270">
        <w:rPr>
          <w:i/>
          <w:color w:val="000000"/>
          <w:sz w:val="20"/>
          <w:szCs w:val="20"/>
          <w:lang w:val="en-US"/>
        </w:rPr>
        <w:t>–</w:t>
      </w:r>
      <w:r w:rsidRPr="004A792A">
        <w:rPr>
          <w:i/>
          <w:color w:val="000000"/>
          <w:sz w:val="20"/>
          <w:szCs w:val="20"/>
          <w:lang w:val="en-US"/>
        </w:rPr>
        <w:t xml:space="preserve"> EC (2018, p. 62)</w:t>
      </w:r>
      <w:r w:rsidR="00575743">
        <w:rPr>
          <w:i/>
          <w:color w:val="000000"/>
          <w:sz w:val="20"/>
          <w:szCs w:val="20"/>
          <w:lang w:val="en-US"/>
        </w:rPr>
        <w:t>;</w:t>
      </w:r>
      <w:r w:rsidRPr="004A792A">
        <w:rPr>
          <w:i/>
          <w:color w:val="000000"/>
          <w:sz w:val="20"/>
          <w:szCs w:val="20"/>
          <w:lang w:val="en-US"/>
        </w:rPr>
        <w:t xml:space="preserve"> Moldova </w:t>
      </w:r>
      <w:r w:rsidR="00050270">
        <w:rPr>
          <w:i/>
          <w:color w:val="000000"/>
          <w:sz w:val="20"/>
          <w:szCs w:val="20"/>
          <w:lang w:val="en-US"/>
        </w:rPr>
        <w:t>–</w:t>
      </w:r>
      <w:r w:rsidR="00050270" w:rsidRPr="004A792A">
        <w:rPr>
          <w:i/>
          <w:color w:val="000000"/>
          <w:sz w:val="20"/>
          <w:szCs w:val="20"/>
          <w:lang w:val="en-US"/>
        </w:rPr>
        <w:t xml:space="preserve"> </w:t>
      </w:r>
      <w:r w:rsidRPr="004A792A">
        <w:rPr>
          <w:i/>
          <w:color w:val="000000"/>
          <w:sz w:val="20"/>
          <w:szCs w:val="20"/>
          <w:lang w:val="en-US"/>
        </w:rPr>
        <w:t>author's calculations based on LFS-2016</w:t>
      </w:r>
      <w:r w:rsidR="006C0D12">
        <w:rPr>
          <w:i/>
          <w:color w:val="000000"/>
          <w:sz w:val="20"/>
          <w:szCs w:val="20"/>
          <w:lang w:val="en-US"/>
        </w:rPr>
        <w:t xml:space="preserve"> (population aged </w:t>
      </w:r>
      <w:r w:rsidR="00E55AE3">
        <w:rPr>
          <w:i/>
          <w:color w:val="000000"/>
          <w:sz w:val="20"/>
          <w:szCs w:val="20"/>
          <w:lang w:val="en-US"/>
        </w:rPr>
        <w:t>20-64 years</w:t>
      </w:r>
      <w:r w:rsidR="006C0D12">
        <w:rPr>
          <w:i/>
          <w:color w:val="000000"/>
          <w:sz w:val="20"/>
          <w:szCs w:val="20"/>
          <w:lang w:val="en-US"/>
        </w:rPr>
        <w:t>)</w:t>
      </w:r>
      <w:r w:rsidRPr="004A792A">
        <w:rPr>
          <w:i/>
          <w:color w:val="000000"/>
          <w:sz w:val="20"/>
          <w:szCs w:val="20"/>
          <w:lang w:val="en-US"/>
        </w:rPr>
        <w:t>, using Stata command "</w:t>
      </w:r>
      <w:proofErr w:type="spellStart"/>
      <w:r w:rsidRPr="004A792A">
        <w:rPr>
          <w:i/>
          <w:color w:val="000000"/>
          <w:sz w:val="20"/>
          <w:szCs w:val="20"/>
          <w:lang w:val="en-US"/>
        </w:rPr>
        <w:t>dicseg</w:t>
      </w:r>
      <w:proofErr w:type="spellEnd"/>
      <w:r w:rsidRPr="004A792A">
        <w:rPr>
          <w:i/>
          <w:color w:val="000000"/>
          <w:sz w:val="20"/>
          <w:szCs w:val="20"/>
          <w:lang w:val="en-US"/>
        </w:rPr>
        <w:t>" for 3-digit ISCO-O</w:t>
      </w:r>
      <w:r w:rsidRPr="004A792A">
        <w:rPr>
          <w:rFonts w:ascii="Calibri" w:eastAsia="Calibri" w:hAnsi="Calibri" w:cs="Calibri"/>
          <w:i/>
          <w:sz w:val="20"/>
          <w:szCs w:val="20"/>
          <w:lang w:val="en-US"/>
        </w:rPr>
        <w:t>8</w:t>
      </w:r>
      <w:r w:rsidRPr="004A792A">
        <w:rPr>
          <w:i/>
          <w:color w:val="000000"/>
          <w:sz w:val="20"/>
          <w:szCs w:val="20"/>
          <w:lang w:val="en-US"/>
        </w:rPr>
        <w:t xml:space="preserve"> occupations and sample weights.</w:t>
      </w:r>
    </w:p>
    <w:p w14:paraId="6EE62EC0" w14:textId="056EEE95" w:rsidR="00341367" w:rsidRPr="004A792A" w:rsidRDefault="00FB5356" w:rsidP="00341367">
      <w:pPr>
        <w:pStyle w:val="61"/>
        <w:shd w:val="clear" w:color="auto" w:fill="auto"/>
        <w:spacing w:before="120" w:line="240" w:lineRule="auto"/>
        <w:jc w:val="both"/>
        <w:rPr>
          <w:color w:val="000000"/>
          <w:sz w:val="22"/>
          <w:szCs w:val="22"/>
        </w:rPr>
      </w:pPr>
      <w:r w:rsidRPr="00670646">
        <w:rPr>
          <w:b/>
          <w:color w:val="000000"/>
          <w:sz w:val="22"/>
          <w:szCs w:val="22"/>
        </w:rPr>
        <w:t>Taking into account relatively low segregation index in Moldova along with low female employment rate, one might expect an increase in the segregation index if the measures to increase female employment are implemented without suitable policies promoting occupational desegregation</w:t>
      </w:r>
      <w:r w:rsidRPr="004A792A">
        <w:rPr>
          <w:color w:val="000000"/>
          <w:sz w:val="22"/>
          <w:szCs w:val="22"/>
        </w:rPr>
        <w:t>.</w:t>
      </w:r>
      <w:r>
        <w:rPr>
          <w:color w:val="000000"/>
          <w:sz w:val="22"/>
          <w:szCs w:val="22"/>
        </w:rPr>
        <w:t xml:space="preserve"> </w:t>
      </w:r>
      <w:r w:rsidR="00341367" w:rsidRPr="004A792A">
        <w:rPr>
          <w:color w:val="000000"/>
          <w:sz w:val="22"/>
          <w:szCs w:val="22"/>
        </w:rPr>
        <w:t>EGGE (2009) finds a positive and significant cross-country correlation between female employment rate and the index of occupational segregation in the EU countries as well as between changes of these indicators during 1997-2007. The authors conclude that significant increases in female employment are likely to raise the level of segregation in the short and medium run, and therefore there is a trade-</w:t>
      </w:r>
      <w:r w:rsidR="00341367" w:rsidRPr="004A792A">
        <w:rPr>
          <w:color w:val="000000"/>
          <w:sz w:val="22"/>
          <w:szCs w:val="22"/>
        </w:rPr>
        <w:lastRenderedPageBreak/>
        <w:t>off in the medium term between objectives of increasing female employment and decreasing segregation.</w:t>
      </w:r>
    </w:p>
    <w:p w14:paraId="0F9C6E78" w14:textId="77777777" w:rsidR="00CC1273" w:rsidRPr="004A792A" w:rsidRDefault="00CC1273" w:rsidP="00CC1273">
      <w:pPr>
        <w:pStyle w:val="2"/>
        <w:numPr>
          <w:ilvl w:val="0"/>
          <w:numId w:val="0"/>
        </w:numPr>
        <w:spacing w:before="360"/>
        <w:rPr>
          <w:color w:val="0070C0"/>
          <w:sz w:val="32"/>
          <w:szCs w:val="32"/>
        </w:rPr>
      </w:pPr>
      <w:bookmarkStart w:id="57" w:name="bookmark16"/>
      <w:bookmarkStart w:id="58" w:name="_Toc533211734"/>
      <w:r w:rsidRPr="004A792A">
        <w:rPr>
          <w:color w:val="0070C0"/>
          <w:sz w:val="32"/>
          <w:szCs w:val="32"/>
        </w:rPr>
        <w:t>2.4. Educational segregation</w:t>
      </w:r>
      <w:bookmarkEnd w:id="57"/>
      <w:bookmarkEnd w:id="58"/>
    </w:p>
    <w:p w14:paraId="7F46A8AA" w14:textId="274D2701" w:rsidR="00341367" w:rsidRPr="004A792A" w:rsidRDefault="002E4286" w:rsidP="00AC7BFE">
      <w:pPr>
        <w:pStyle w:val="61"/>
        <w:shd w:val="clear" w:color="auto" w:fill="auto"/>
        <w:spacing w:before="120" w:line="240" w:lineRule="auto"/>
        <w:jc w:val="both"/>
        <w:rPr>
          <w:color w:val="000000"/>
          <w:sz w:val="22"/>
          <w:szCs w:val="22"/>
        </w:rPr>
      </w:pPr>
      <w:r w:rsidRPr="00FF4959">
        <w:rPr>
          <w:b/>
          <w:color w:val="000000"/>
          <w:sz w:val="22"/>
          <w:szCs w:val="22"/>
        </w:rPr>
        <w:t>G</w:t>
      </w:r>
      <w:r w:rsidR="00341367" w:rsidRPr="00FF4959">
        <w:rPr>
          <w:b/>
          <w:color w:val="000000"/>
          <w:sz w:val="22"/>
          <w:szCs w:val="22"/>
        </w:rPr>
        <w:t xml:space="preserve">ender differences in aspirations </w:t>
      </w:r>
      <w:r w:rsidR="00AC7BFE" w:rsidRPr="00FF4959">
        <w:rPr>
          <w:b/>
          <w:color w:val="000000"/>
          <w:sz w:val="22"/>
          <w:szCs w:val="22"/>
        </w:rPr>
        <w:t xml:space="preserve">of Moldovan youth </w:t>
      </w:r>
      <w:r w:rsidR="00E8547F" w:rsidRPr="00FF4959">
        <w:rPr>
          <w:b/>
          <w:color w:val="000000"/>
          <w:sz w:val="22"/>
          <w:szCs w:val="22"/>
        </w:rPr>
        <w:t>expressed in</w:t>
      </w:r>
      <w:r w:rsidR="00341367" w:rsidRPr="00FF4959">
        <w:rPr>
          <w:b/>
          <w:color w:val="000000"/>
          <w:sz w:val="22"/>
          <w:szCs w:val="22"/>
        </w:rPr>
        <w:t xml:space="preserve"> </w:t>
      </w:r>
      <w:r w:rsidR="00E8547F" w:rsidRPr="00FF4959">
        <w:rPr>
          <w:b/>
          <w:color w:val="000000"/>
          <w:sz w:val="22"/>
          <w:szCs w:val="22"/>
        </w:rPr>
        <w:t xml:space="preserve">the choice of </w:t>
      </w:r>
      <w:r w:rsidR="00341367" w:rsidRPr="00FF4959">
        <w:rPr>
          <w:b/>
          <w:color w:val="000000"/>
          <w:sz w:val="22"/>
          <w:szCs w:val="22"/>
        </w:rPr>
        <w:t>studying in vocational schools, colleges</w:t>
      </w:r>
      <w:r w:rsidR="00E8547F" w:rsidRPr="00FF4959">
        <w:rPr>
          <w:b/>
          <w:color w:val="000000"/>
          <w:sz w:val="22"/>
          <w:szCs w:val="22"/>
        </w:rPr>
        <w:t>,</w:t>
      </w:r>
      <w:r w:rsidR="00341367" w:rsidRPr="00FF4959">
        <w:rPr>
          <w:b/>
          <w:color w:val="000000"/>
          <w:sz w:val="22"/>
          <w:szCs w:val="22"/>
        </w:rPr>
        <w:t xml:space="preserve"> or universities and the preferred fields of study seem to perpetuate the existing occupational segregation in the labor market</w:t>
      </w:r>
      <w:r>
        <w:rPr>
          <w:color w:val="000000"/>
          <w:sz w:val="22"/>
          <w:szCs w:val="22"/>
        </w:rPr>
        <w:t xml:space="preserve"> </w:t>
      </w:r>
      <w:r w:rsidRPr="004A792A">
        <w:rPr>
          <w:color w:val="000000"/>
          <w:sz w:val="22"/>
          <w:szCs w:val="22"/>
        </w:rPr>
        <w:t>(World Bank, 2016</w:t>
      </w:r>
      <w:r>
        <w:rPr>
          <w:color w:val="000000"/>
          <w:sz w:val="22"/>
          <w:szCs w:val="22"/>
        </w:rPr>
        <w:t>a</w:t>
      </w:r>
      <w:r w:rsidRPr="004A792A">
        <w:rPr>
          <w:color w:val="000000"/>
          <w:sz w:val="22"/>
          <w:szCs w:val="22"/>
        </w:rPr>
        <w:t>)</w:t>
      </w:r>
      <w:r w:rsidR="00341367" w:rsidRPr="004A792A">
        <w:rPr>
          <w:color w:val="000000"/>
          <w:sz w:val="22"/>
          <w:szCs w:val="22"/>
        </w:rPr>
        <w:t>. Analysis of answers about the preferred field of</w:t>
      </w:r>
      <w:r w:rsidR="00E813C5">
        <w:rPr>
          <w:color w:val="000000"/>
          <w:sz w:val="22"/>
          <w:szCs w:val="22"/>
        </w:rPr>
        <w:t xml:space="preserve"> studies among male and female high school students </w:t>
      </w:r>
      <w:r w:rsidR="00341367" w:rsidRPr="004A792A">
        <w:rPr>
          <w:color w:val="000000"/>
          <w:sz w:val="22"/>
          <w:szCs w:val="22"/>
        </w:rPr>
        <w:t>has shown that young men were more interested in pursuing education in the STEM fields, services</w:t>
      </w:r>
      <w:r w:rsidR="00D8417D">
        <w:rPr>
          <w:color w:val="000000"/>
          <w:sz w:val="22"/>
          <w:szCs w:val="22"/>
        </w:rPr>
        <w:t>,</w:t>
      </w:r>
      <w:r w:rsidR="00341367" w:rsidRPr="004A792A">
        <w:rPr>
          <w:color w:val="000000"/>
          <w:sz w:val="22"/>
          <w:szCs w:val="22"/>
        </w:rPr>
        <w:t xml:space="preserve"> and construction (after Social sciences, business and law), while female </w:t>
      </w:r>
      <w:r w:rsidR="00A76AA8">
        <w:rPr>
          <w:color w:val="000000"/>
          <w:sz w:val="22"/>
          <w:szCs w:val="22"/>
        </w:rPr>
        <w:t>students</w:t>
      </w:r>
      <w:r w:rsidR="00341367" w:rsidRPr="004A792A">
        <w:rPr>
          <w:color w:val="000000"/>
          <w:sz w:val="22"/>
          <w:szCs w:val="22"/>
        </w:rPr>
        <w:t xml:space="preserve"> were more interested in studying humanities and art, health</w:t>
      </w:r>
      <w:r w:rsidR="00D8417D">
        <w:rPr>
          <w:color w:val="000000"/>
          <w:sz w:val="22"/>
          <w:szCs w:val="22"/>
        </w:rPr>
        <w:t>,</w:t>
      </w:r>
      <w:r w:rsidR="00341367" w:rsidRPr="004A792A">
        <w:rPr>
          <w:color w:val="000000"/>
          <w:sz w:val="22"/>
          <w:szCs w:val="22"/>
        </w:rPr>
        <w:t xml:space="preserve"> and education (after Social sciences, business and law).</w:t>
      </w:r>
    </w:p>
    <w:p w14:paraId="54C16F01" w14:textId="77777777" w:rsidR="00341367" w:rsidRPr="004A792A" w:rsidRDefault="00341367" w:rsidP="00AC7BFE">
      <w:pPr>
        <w:pStyle w:val="61"/>
        <w:shd w:val="clear" w:color="auto" w:fill="auto"/>
        <w:spacing w:before="120" w:line="240" w:lineRule="auto"/>
        <w:jc w:val="both"/>
        <w:rPr>
          <w:color w:val="000000"/>
          <w:sz w:val="22"/>
          <w:szCs w:val="22"/>
        </w:rPr>
      </w:pPr>
      <w:r w:rsidRPr="00FF4959">
        <w:rPr>
          <w:b/>
          <w:color w:val="000000"/>
          <w:sz w:val="22"/>
          <w:szCs w:val="22"/>
        </w:rPr>
        <w:t>To shed light on the role of education in shaping occupational segregation among adult workers, we make use of information about the field of studies and its correspondence to the current job reported by employed persons in the LFS</w:t>
      </w:r>
      <w:r w:rsidRPr="004A792A">
        <w:rPr>
          <w:color w:val="000000"/>
          <w:sz w:val="22"/>
          <w:szCs w:val="22"/>
        </w:rPr>
        <w:t>.</w:t>
      </w:r>
      <w:r w:rsidR="00F90B76">
        <w:rPr>
          <w:rStyle w:val="af9"/>
          <w:color w:val="000000"/>
          <w:sz w:val="22"/>
          <w:szCs w:val="22"/>
        </w:rPr>
        <w:footnoteReference w:id="10"/>
      </w:r>
      <w:r w:rsidRPr="004A792A">
        <w:rPr>
          <w:color w:val="000000"/>
          <w:sz w:val="22"/>
          <w:szCs w:val="22"/>
        </w:rPr>
        <w:t xml:space="preserve"> We limit the analysis to individuals aged 25 years and above in order to capture </w:t>
      </w:r>
      <w:r w:rsidR="00D8417D">
        <w:rPr>
          <w:color w:val="000000"/>
          <w:sz w:val="22"/>
          <w:szCs w:val="22"/>
        </w:rPr>
        <w:t>a sufficient number of</w:t>
      </w:r>
      <w:r w:rsidR="00D8417D" w:rsidRPr="004A792A">
        <w:rPr>
          <w:color w:val="000000"/>
          <w:sz w:val="22"/>
          <w:szCs w:val="22"/>
        </w:rPr>
        <w:t xml:space="preserve"> </w:t>
      </w:r>
      <w:r w:rsidRPr="004A792A">
        <w:rPr>
          <w:color w:val="000000"/>
          <w:sz w:val="22"/>
          <w:szCs w:val="22"/>
        </w:rPr>
        <w:t xml:space="preserve">university graduates after their entry to the labor market. The field of studies is coded </w:t>
      </w:r>
      <w:r w:rsidR="00B21A25" w:rsidRPr="004A792A">
        <w:rPr>
          <w:color w:val="000000"/>
          <w:sz w:val="22"/>
          <w:szCs w:val="22"/>
        </w:rPr>
        <w:t xml:space="preserve">in the Moldovan LFS </w:t>
      </w:r>
      <w:r w:rsidRPr="004A792A">
        <w:rPr>
          <w:color w:val="000000"/>
          <w:sz w:val="22"/>
          <w:szCs w:val="22"/>
        </w:rPr>
        <w:t>according to the</w:t>
      </w:r>
      <w:r w:rsidR="00BD22B7">
        <w:rPr>
          <w:color w:val="000000"/>
          <w:sz w:val="22"/>
          <w:szCs w:val="22"/>
        </w:rPr>
        <w:t xml:space="preserve"> classification of occupations</w:t>
      </w:r>
      <w:r w:rsidR="00D8417D">
        <w:rPr>
          <w:color w:val="000000"/>
          <w:sz w:val="22"/>
          <w:szCs w:val="22"/>
        </w:rPr>
        <w:t>,</w:t>
      </w:r>
      <w:r w:rsidRPr="004A792A">
        <w:rPr>
          <w:color w:val="000000"/>
          <w:sz w:val="22"/>
          <w:szCs w:val="22"/>
        </w:rPr>
        <w:t xml:space="preserve"> so the analysis below is based on 2-digit </w:t>
      </w:r>
      <w:r w:rsidR="00BD22B7" w:rsidRPr="00FD0682">
        <w:rPr>
          <w:color w:val="000000"/>
          <w:sz w:val="22"/>
          <w:szCs w:val="22"/>
        </w:rPr>
        <w:t>ISCO</w:t>
      </w:r>
      <w:r w:rsidR="000F41AD" w:rsidRPr="00FD0682">
        <w:rPr>
          <w:color w:val="000000"/>
          <w:sz w:val="22"/>
          <w:szCs w:val="22"/>
        </w:rPr>
        <w:t>-08</w:t>
      </w:r>
      <w:r w:rsidRPr="00FD0682">
        <w:rPr>
          <w:color w:val="000000"/>
          <w:sz w:val="22"/>
          <w:szCs w:val="22"/>
        </w:rPr>
        <w:t xml:space="preserve"> groups</w:t>
      </w:r>
      <w:r w:rsidR="000F41AD" w:rsidRPr="00FD0682">
        <w:rPr>
          <w:color w:val="000000"/>
          <w:sz w:val="22"/>
          <w:szCs w:val="22"/>
        </w:rPr>
        <w:t xml:space="preserve"> in 2016</w:t>
      </w:r>
      <w:r w:rsidRPr="00FD0682">
        <w:rPr>
          <w:color w:val="000000"/>
          <w:sz w:val="22"/>
          <w:szCs w:val="22"/>
        </w:rPr>
        <w:t>.</w:t>
      </w:r>
    </w:p>
    <w:p w14:paraId="1BCC4CE9" w14:textId="64AD1455" w:rsidR="00B21A25" w:rsidRPr="004A792A" w:rsidRDefault="002E4286" w:rsidP="00AC7BFE">
      <w:pPr>
        <w:pStyle w:val="61"/>
        <w:shd w:val="clear" w:color="auto" w:fill="auto"/>
        <w:spacing w:before="120" w:line="240" w:lineRule="auto"/>
        <w:jc w:val="both"/>
        <w:rPr>
          <w:color w:val="000000"/>
          <w:sz w:val="22"/>
          <w:szCs w:val="22"/>
        </w:rPr>
      </w:pPr>
      <w:r w:rsidRPr="00FF4959">
        <w:rPr>
          <w:b/>
          <w:color w:val="000000"/>
          <w:sz w:val="22"/>
          <w:szCs w:val="22"/>
        </w:rPr>
        <w:t>F</w:t>
      </w:r>
      <w:r w:rsidR="00341367" w:rsidRPr="00FF4959">
        <w:rPr>
          <w:b/>
          <w:color w:val="000000"/>
          <w:sz w:val="22"/>
          <w:szCs w:val="22"/>
        </w:rPr>
        <w:t>emale workers of all ages</w:t>
      </w:r>
      <w:r w:rsidR="00B21A25" w:rsidRPr="00FF4959">
        <w:rPr>
          <w:b/>
          <w:color w:val="000000"/>
          <w:sz w:val="22"/>
          <w:szCs w:val="22"/>
        </w:rPr>
        <w:t>,</w:t>
      </w:r>
      <w:r w:rsidR="00341367" w:rsidRPr="00FF4959">
        <w:rPr>
          <w:b/>
          <w:color w:val="000000"/>
          <w:sz w:val="22"/>
          <w:szCs w:val="22"/>
        </w:rPr>
        <w:t xml:space="preserve"> especially the youngest ones, outperform men in educational attainment</w:t>
      </w:r>
      <w:r w:rsidR="00341367" w:rsidRPr="004A792A">
        <w:rPr>
          <w:color w:val="000000"/>
          <w:sz w:val="22"/>
          <w:szCs w:val="22"/>
        </w:rPr>
        <w:t xml:space="preserve">: </w:t>
      </w:r>
      <w:r w:rsidR="00B21A25" w:rsidRPr="004A792A">
        <w:rPr>
          <w:color w:val="000000"/>
          <w:sz w:val="22"/>
          <w:szCs w:val="22"/>
        </w:rPr>
        <w:t xml:space="preserve">employed </w:t>
      </w:r>
      <w:r w:rsidR="00341367" w:rsidRPr="004A792A">
        <w:rPr>
          <w:color w:val="000000"/>
          <w:sz w:val="22"/>
          <w:szCs w:val="22"/>
        </w:rPr>
        <w:t xml:space="preserve">women are more likely to have post-secondary </w:t>
      </w:r>
      <w:r w:rsidR="00A756D6">
        <w:rPr>
          <w:color w:val="000000"/>
          <w:sz w:val="22"/>
          <w:szCs w:val="22"/>
        </w:rPr>
        <w:t>non-tertiary (college) or</w:t>
      </w:r>
      <w:r w:rsidR="00341367" w:rsidRPr="004A792A">
        <w:rPr>
          <w:color w:val="000000"/>
          <w:sz w:val="22"/>
          <w:szCs w:val="22"/>
        </w:rPr>
        <w:t xml:space="preserve"> tertiary </w:t>
      </w:r>
      <w:r w:rsidR="00A756D6">
        <w:rPr>
          <w:color w:val="000000"/>
          <w:sz w:val="22"/>
          <w:szCs w:val="22"/>
        </w:rPr>
        <w:t xml:space="preserve">(university) </w:t>
      </w:r>
      <w:r w:rsidR="00341367" w:rsidRPr="004A792A">
        <w:rPr>
          <w:color w:val="000000"/>
          <w:sz w:val="22"/>
          <w:szCs w:val="22"/>
        </w:rPr>
        <w:t xml:space="preserve">education, while </w:t>
      </w:r>
      <w:r w:rsidR="00F25ACB" w:rsidRPr="004A792A">
        <w:rPr>
          <w:color w:val="000000"/>
          <w:sz w:val="22"/>
          <w:szCs w:val="22"/>
        </w:rPr>
        <w:t xml:space="preserve">more </w:t>
      </w:r>
      <w:r w:rsidR="00341367" w:rsidRPr="004A792A">
        <w:rPr>
          <w:color w:val="000000"/>
          <w:sz w:val="22"/>
          <w:szCs w:val="22"/>
        </w:rPr>
        <w:t xml:space="preserve">men have </w:t>
      </w:r>
      <w:r w:rsidR="00F25ACB" w:rsidRPr="004A792A">
        <w:rPr>
          <w:color w:val="000000"/>
          <w:sz w:val="22"/>
          <w:szCs w:val="22"/>
        </w:rPr>
        <w:t xml:space="preserve">stopped at </w:t>
      </w:r>
      <w:r w:rsidR="00BD22B7" w:rsidRPr="004A792A">
        <w:rPr>
          <w:color w:val="000000"/>
          <w:sz w:val="22"/>
          <w:szCs w:val="22"/>
        </w:rPr>
        <w:t>secondary</w:t>
      </w:r>
      <w:r w:rsidR="00F25ACB" w:rsidRPr="004A792A">
        <w:rPr>
          <w:color w:val="000000"/>
          <w:sz w:val="22"/>
          <w:szCs w:val="22"/>
        </w:rPr>
        <w:t xml:space="preserve"> </w:t>
      </w:r>
      <w:r w:rsidR="00341367" w:rsidRPr="004A792A">
        <w:rPr>
          <w:color w:val="000000"/>
          <w:sz w:val="22"/>
          <w:szCs w:val="22"/>
        </w:rPr>
        <w:t>vocational education</w:t>
      </w:r>
      <w:r>
        <w:rPr>
          <w:color w:val="000000"/>
          <w:sz w:val="22"/>
          <w:szCs w:val="22"/>
        </w:rPr>
        <w:t xml:space="preserve"> (</w:t>
      </w:r>
      <w:r w:rsidRPr="004A792A">
        <w:rPr>
          <w:color w:val="000000"/>
          <w:sz w:val="22"/>
          <w:szCs w:val="22"/>
          <w:highlight w:val="yellow"/>
        </w:rPr>
        <w:fldChar w:fldCharType="begin"/>
      </w:r>
      <w:r w:rsidRPr="004A792A">
        <w:rPr>
          <w:color w:val="000000"/>
          <w:sz w:val="22"/>
          <w:szCs w:val="22"/>
          <w:highlight w:val="yellow"/>
        </w:rPr>
        <w:instrText xml:space="preserve"> REF _Ref519158387 \h  \* MERGEFORMAT </w:instrText>
      </w:r>
      <w:r w:rsidRPr="004A792A">
        <w:rPr>
          <w:color w:val="000000"/>
          <w:sz w:val="22"/>
          <w:szCs w:val="22"/>
          <w:highlight w:val="yellow"/>
        </w:rPr>
      </w:r>
      <w:r w:rsidRPr="004A792A">
        <w:rPr>
          <w:color w:val="000000"/>
          <w:sz w:val="22"/>
          <w:szCs w:val="22"/>
          <w:highlight w:val="yellow"/>
        </w:rPr>
        <w:fldChar w:fldCharType="separate"/>
      </w:r>
      <w:r w:rsidRPr="00D378AE">
        <w:rPr>
          <w:sz w:val="22"/>
          <w:szCs w:val="22"/>
        </w:rPr>
        <w:t xml:space="preserve">Figure </w:t>
      </w:r>
      <w:r w:rsidRPr="00D378AE">
        <w:rPr>
          <w:noProof/>
          <w:sz w:val="22"/>
          <w:szCs w:val="22"/>
        </w:rPr>
        <w:t>16</w:t>
      </w:r>
      <w:r w:rsidRPr="004A792A">
        <w:rPr>
          <w:color w:val="000000"/>
          <w:sz w:val="22"/>
          <w:szCs w:val="22"/>
          <w:highlight w:val="yellow"/>
        </w:rPr>
        <w:fldChar w:fldCharType="end"/>
      </w:r>
      <w:r>
        <w:rPr>
          <w:color w:val="000000"/>
          <w:sz w:val="22"/>
          <w:szCs w:val="22"/>
        </w:rPr>
        <w:t>, Panel A)</w:t>
      </w:r>
      <w:r w:rsidR="00341367" w:rsidRPr="004A792A">
        <w:rPr>
          <w:color w:val="000000"/>
          <w:sz w:val="22"/>
          <w:szCs w:val="22"/>
        </w:rPr>
        <w:t xml:space="preserve">. </w:t>
      </w:r>
      <w:r w:rsidR="002016AE" w:rsidRPr="004A792A">
        <w:rPr>
          <w:color w:val="000000"/>
          <w:sz w:val="22"/>
          <w:szCs w:val="22"/>
        </w:rPr>
        <w:t>As relatively more educated cohorts of women replace the earlier ones, women become more highly educated than men. And this is observed not only in employment</w:t>
      </w:r>
      <w:r w:rsidR="00D8417D">
        <w:rPr>
          <w:color w:val="000000"/>
          <w:sz w:val="22"/>
          <w:szCs w:val="22"/>
        </w:rPr>
        <w:t>,</w:t>
      </w:r>
      <w:r w:rsidR="002016AE" w:rsidRPr="004A792A">
        <w:rPr>
          <w:color w:val="000000"/>
          <w:sz w:val="22"/>
          <w:szCs w:val="22"/>
        </w:rPr>
        <w:t xml:space="preserve"> which is more highly selected on education for women than for men, but also in </w:t>
      </w:r>
      <w:r w:rsidR="00F33CBB">
        <w:rPr>
          <w:color w:val="000000"/>
          <w:sz w:val="22"/>
          <w:szCs w:val="22"/>
        </w:rPr>
        <w:t xml:space="preserve">non-employed </w:t>
      </w:r>
      <w:r w:rsidR="002016AE" w:rsidRPr="004A792A">
        <w:rPr>
          <w:color w:val="000000"/>
          <w:sz w:val="22"/>
          <w:szCs w:val="22"/>
        </w:rPr>
        <w:t>population</w:t>
      </w:r>
      <w:r w:rsidR="00A756D6">
        <w:rPr>
          <w:color w:val="000000"/>
          <w:sz w:val="22"/>
          <w:szCs w:val="22"/>
        </w:rPr>
        <w:t xml:space="preserve"> </w:t>
      </w:r>
      <w:r w:rsidR="00F33CBB">
        <w:rPr>
          <w:color w:val="000000"/>
          <w:sz w:val="22"/>
          <w:szCs w:val="22"/>
        </w:rPr>
        <w:t xml:space="preserve">that includes the unemployed and those outside the labor </w:t>
      </w:r>
      <w:r w:rsidR="00F33CBB" w:rsidRPr="00CC2BC4">
        <w:rPr>
          <w:color w:val="000000"/>
          <w:sz w:val="22"/>
          <w:szCs w:val="22"/>
        </w:rPr>
        <w:t xml:space="preserve">force </w:t>
      </w:r>
      <w:r w:rsidR="00A756D6" w:rsidRPr="00CC2BC4">
        <w:rPr>
          <w:color w:val="000000"/>
          <w:sz w:val="22"/>
          <w:szCs w:val="22"/>
        </w:rPr>
        <w:t>(</w:t>
      </w:r>
      <w:r w:rsidR="00CC2BC4" w:rsidRPr="00CC2BC4">
        <w:rPr>
          <w:color w:val="000000"/>
          <w:sz w:val="22"/>
          <w:szCs w:val="22"/>
        </w:rPr>
        <w:fldChar w:fldCharType="begin"/>
      </w:r>
      <w:r w:rsidR="00CC2BC4" w:rsidRPr="00CC2BC4">
        <w:rPr>
          <w:color w:val="000000"/>
          <w:sz w:val="22"/>
          <w:szCs w:val="22"/>
        </w:rPr>
        <w:instrText xml:space="preserve"> REF _Ref519158387 \h  \* MERGEFORMAT </w:instrText>
      </w:r>
      <w:r w:rsidR="00CC2BC4" w:rsidRPr="00CC2BC4">
        <w:rPr>
          <w:color w:val="000000"/>
          <w:sz w:val="22"/>
          <w:szCs w:val="22"/>
        </w:rPr>
      </w:r>
      <w:r w:rsidR="00CC2BC4" w:rsidRPr="00CC2BC4">
        <w:rPr>
          <w:color w:val="000000"/>
          <w:sz w:val="22"/>
          <w:szCs w:val="22"/>
        </w:rPr>
        <w:fldChar w:fldCharType="separate"/>
      </w:r>
      <w:r w:rsidRPr="00FF4959">
        <w:rPr>
          <w:sz w:val="22"/>
          <w:szCs w:val="22"/>
        </w:rPr>
        <w:t xml:space="preserve">Figure </w:t>
      </w:r>
      <w:r w:rsidRPr="00FF4959">
        <w:rPr>
          <w:noProof/>
          <w:sz w:val="22"/>
          <w:szCs w:val="22"/>
        </w:rPr>
        <w:t>16</w:t>
      </w:r>
      <w:r w:rsidR="00CC2BC4" w:rsidRPr="00CC2BC4">
        <w:rPr>
          <w:color w:val="000000"/>
          <w:sz w:val="22"/>
          <w:szCs w:val="22"/>
        </w:rPr>
        <w:fldChar w:fldCharType="end"/>
      </w:r>
      <w:r w:rsidR="00CC2BC4" w:rsidRPr="00CC2BC4">
        <w:rPr>
          <w:color w:val="000000"/>
          <w:sz w:val="22"/>
          <w:szCs w:val="22"/>
        </w:rPr>
        <w:t>, Panel B</w:t>
      </w:r>
      <w:r w:rsidR="00A756D6" w:rsidRPr="00CC2BC4">
        <w:rPr>
          <w:color w:val="000000"/>
          <w:sz w:val="22"/>
          <w:szCs w:val="22"/>
        </w:rPr>
        <w:t>)</w:t>
      </w:r>
      <w:r w:rsidR="002016AE" w:rsidRPr="00CC2BC4">
        <w:rPr>
          <w:color w:val="000000"/>
          <w:sz w:val="22"/>
          <w:szCs w:val="22"/>
        </w:rPr>
        <w:t xml:space="preserve">. </w:t>
      </w:r>
      <w:proofErr w:type="spellStart"/>
      <w:r w:rsidR="002016AE" w:rsidRPr="00CC2BC4">
        <w:rPr>
          <w:color w:val="000000"/>
          <w:sz w:val="22"/>
          <w:szCs w:val="22"/>
        </w:rPr>
        <w:t>Blau</w:t>
      </w:r>
      <w:proofErr w:type="spellEnd"/>
      <w:r w:rsidR="002016AE" w:rsidRPr="00CC2BC4">
        <w:rPr>
          <w:color w:val="000000"/>
          <w:sz w:val="22"/>
          <w:szCs w:val="22"/>
        </w:rPr>
        <w:t xml:space="preserve"> and Kahn (2017) offer several explanations for why women surpass men in education</w:t>
      </w:r>
      <w:r w:rsidR="002016AE" w:rsidRPr="004A792A">
        <w:rPr>
          <w:color w:val="000000"/>
          <w:sz w:val="22"/>
          <w:szCs w:val="22"/>
        </w:rPr>
        <w:t xml:space="preserve"> in the US, including lower non</w:t>
      </w:r>
      <w:r w:rsidR="00B9641E">
        <w:rPr>
          <w:color w:val="000000"/>
          <w:sz w:val="22"/>
          <w:szCs w:val="22"/>
        </w:rPr>
        <w:t>-</w:t>
      </w:r>
      <w:r w:rsidR="002016AE" w:rsidRPr="004A792A">
        <w:rPr>
          <w:color w:val="000000"/>
          <w:sz w:val="22"/>
          <w:szCs w:val="22"/>
        </w:rPr>
        <w:t xml:space="preserve">pecuniary costs of investing in tertiary education </w:t>
      </w:r>
      <w:r w:rsidR="006B3EFC" w:rsidRPr="004A792A">
        <w:rPr>
          <w:color w:val="000000"/>
          <w:sz w:val="22"/>
          <w:szCs w:val="22"/>
        </w:rPr>
        <w:t xml:space="preserve">for women and their larger response to </w:t>
      </w:r>
      <w:r w:rsidR="002016AE" w:rsidRPr="004A792A">
        <w:rPr>
          <w:color w:val="000000"/>
          <w:sz w:val="22"/>
          <w:szCs w:val="22"/>
        </w:rPr>
        <w:t xml:space="preserve">rising returns to investment in education, a delay in marriage and childbearing triggered by the development of birth control measures, family-related income gains due to </w:t>
      </w:r>
      <w:proofErr w:type="spellStart"/>
      <w:r w:rsidR="002016AE" w:rsidRPr="004A792A">
        <w:rPr>
          <w:color w:val="000000"/>
          <w:sz w:val="22"/>
          <w:szCs w:val="22"/>
        </w:rPr>
        <w:t>assortative</w:t>
      </w:r>
      <w:proofErr w:type="spellEnd"/>
      <w:r w:rsidR="002016AE" w:rsidRPr="004A792A">
        <w:rPr>
          <w:color w:val="000000"/>
          <w:sz w:val="22"/>
          <w:szCs w:val="22"/>
        </w:rPr>
        <w:t xml:space="preserve"> mating,</w:t>
      </w:r>
      <w:r w:rsidR="006B3EFC" w:rsidRPr="004A792A">
        <w:rPr>
          <w:color w:val="000000"/>
          <w:sz w:val="22"/>
          <w:szCs w:val="22"/>
        </w:rPr>
        <w:t xml:space="preserve"> and changing social norms on gender-appropriate education investments.</w:t>
      </w:r>
    </w:p>
    <w:p w14:paraId="07AF4E6E" w14:textId="5EF1FF95" w:rsidR="004A5578" w:rsidRDefault="004A5578" w:rsidP="004A5578">
      <w:pPr>
        <w:pStyle w:val="ad"/>
        <w:spacing w:before="240" w:after="0"/>
        <w:jc w:val="left"/>
        <w:rPr>
          <w:lang w:val="en-US"/>
        </w:rPr>
      </w:pPr>
      <w:bookmarkStart w:id="59" w:name="_Ref519158387"/>
      <w:bookmarkStart w:id="60" w:name="_Toc533211772"/>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16</w:t>
      </w:r>
      <w:r w:rsidRPr="004A792A">
        <w:rPr>
          <w:lang w:val="en-US"/>
        </w:rPr>
        <w:fldChar w:fldCharType="end"/>
      </w:r>
      <w:bookmarkEnd w:id="59"/>
      <w:r w:rsidRPr="004A792A">
        <w:rPr>
          <w:lang w:val="en-US"/>
        </w:rPr>
        <w:t xml:space="preserve">: </w:t>
      </w:r>
      <w:r w:rsidR="00F33CBB">
        <w:rPr>
          <w:lang w:val="en-US"/>
        </w:rPr>
        <w:t>W</w:t>
      </w:r>
      <w:r w:rsidRPr="004A792A">
        <w:rPr>
          <w:lang w:val="en-US"/>
        </w:rPr>
        <w:t>omen and men by education and age (%), 2016</w:t>
      </w:r>
      <w:bookmarkEnd w:id="60"/>
    </w:p>
    <w:p w14:paraId="6B6085E2" w14:textId="77777777" w:rsidR="00F33CBB" w:rsidRPr="00F33CBB" w:rsidRDefault="00F33CBB" w:rsidP="00F33CBB">
      <w:pPr>
        <w:rPr>
          <w:lang w:val="en-US"/>
        </w:rPr>
      </w:pPr>
      <w:r>
        <w:rPr>
          <w:lang w:val="en-US"/>
        </w:rPr>
        <w:t xml:space="preserve">A) Employed </w:t>
      </w:r>
      <w:r w:rsidR="002C6E6B">
        <w:rPr>
          <w:lang w:val="en-US"/>
        </w:rPr>
        <w:t>individuals (25+ years)</w:t>
      </w:r>
    </w:p>
    <w:p w14:paraId="70FD2A95" w14:textId="77777777" w:rsidR="00C31A2F" w:rsidRDefault="00152F1D" w:rsidP="00C31A2F">
      <w:pPr>
        <w:jc w:val="center"/>
        <w:rPr>
          <w:lang w:val="en-US"/>
        </w:rPr>
      </w:pPr>
      <w:r w:rsidRPr="00152F1D">
        <w:rPr>
          <w:noProof/>
          <w:lang w:val="ru-RU" w:eastAsia="ru-RU"/>
        </w:rPr>
        <w:lastRenderedPageBreak/>
        <w:drawing>
          <wp:inline distT="0" distB="0" distL="0" distR="0" wp14:anchorId="11395876" wp14:editId="60036249">
            <wp:extent cx="4832350" cy="2470150"/>
            <wp:effectExtent l="0" t="0" r="635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32350" cy="2470150"/>
                    </a:xfrm>
                    <a:prstGeom prst="rect">
                      <a:avLst/>
                    </a:prstGeom>
                    <a:noFill/>
                    <a:ln>
                      <a:noFill/>
                    </a:ln>
                  </pic:spPr>
                </pic:pic>
              </a:graphicData>
            </a:graphic>
          </wp:inline>
        </w:drawing>
      </w:r>
    </w:p>
    <w:p w14:paraId="3B577D28" w14:textId="77777777" w:rsidR="00F33CBB" w:rsidRPr="00F33CBB" w:rsidRDefault="000E4F1D" w:rsidP="00F33CBB">
      <w:pPr>
        <w:rPr>
          <w:lang w:val="en-US"/>
        </w:rPr>
      </w:pPr>
      <w:r>
        <w:rPr>
          <w:lang w:val="en-US"/>
        </w:rPr>
        <w:t>B</w:t>
      </w:r>
      <w:r w:rsidR="00F33CBB">
        <w:rPr>
          <w:lang w:val="en-US"/>
        </w:rPr>
        <w:t xml:space="preserve">) </w:t>
      </w:r>
      <w:r w:rsidR="002C6E6B">
        <w:rPr>
          <w:lang w:val="en-US"/>
        </w:rPr>
        <w:t>Non-e</w:t>
      </w:r>
      <w:r w:rsidR="00F33CBB">
        <w:rPr>
          <w:lang w:val="en-US"/>
        </w:rPr>
        <w:t xml:space="preserve">mployed </w:t>
      </w:r>
      <w:r w:rsidR="002C6E6B">
        <w:rPr>
          <w:lang w:val="en-US"/>
        </w:rPr>
        <w:t>individuals (25+ years)</w:t>
      </w:r>
      <w:r w:rsidR="005F46FC" w:rsidRPr="005F46FC">
        <w:rPr>
          <w:vertAlign w:val="superscript"/>
          <w:lang w:val="en-US"/>
        </w:rPr>
        <w:t>*</w:t>
      </w:r>
    </w:p>
    <w:p w14:paraId="26693815" w14:textId="77777777" w:rsidR="00F33CBB" w:rsidRDefault="00152F1D" w:rsidP="00C31A2F">
      <w:pPr>
        <w:jc w:val="center"/>
        <w:rPr>
          <w:lang w:val="en-US"/>
        </w:rPr>
      </w:pPr>
      <w:r w:rsidRPr="00152F1D">
        <w:rPr>
          <w:noProof/>
          <w:lang w:val="ru-RU" w:eastAsia="ru-RU"/>
        </w:rPr>
        <w:drawing>
          <wp:inline distT="0" distB="0" distL="0" distR="0" wp14:anchorId="7CDE65EE" wp14:editId="7AF94C60">
            <wp:extent cx="4832350" cy="2470150"/>
            <wp:effectExtent l="0" t="0" r="635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32350" cy="2470150"/>
                    </a:xfrm>
                    <a:prstGeom prst="rect">
                      <a:avLst/>
                    </a:prstGeom>
                    <a:noFill/>
                    <a:ln>
                      <a:noFill/>
                    </a:ln>
                  </pic:spPr>
                </pic:pic>
              </a:graphicData>
            </a:graphic>
          </wp:inline>
        </w:drawing>
      </w:r>
    </w:p>
    <w:p w14:paraId="2D993B39" w14:textId="77777777" w:rsidR="005F46FC" w:rsidRPr="005F46FC" w:rsidRDefault="005F46FC" w:rsidP="005F46FC">
      <w:pPr>
        <w:rPr>
          <w:i/>
          <w:sz w:val="20"/>
          <w:szCs w:val="20"/>
          <w:lang w:val="en-US"/>
        </w:rPr>
      </w:pPr>
      <w:r w:rsidRPr="005F46FC">
        <w:rPr>
          <w:i/>
          <w:sz w:val="20"/>
          <w:szCs w:val="20"/>
          <w:lang w:val="en-US"/>
        </w:rPr>
        <w:t>Note:</w:t>
      </w:r>
      <w:r>
        <w:rPr>
          <w:i/>
          <w:sz w:val="20"/>
          <w:szCs w:val="20"/>
          <w:lang w:val="en-US"/>
        </w:rPr>
        <w:t xml:space="preserve"> </w:t>
      </w:r>
      <w:r w:rsidRPr="005F46FC">
        <w:rPr>
          <w:i/>
          <w:sz w:val="20"/>
          <w:szCs w:val="20"/>
          <w:vertAlign w:val="superscript"/>
          <w:lang w:val="en-US"/>
        </w:rPr>
        <w:t>*</w:t>
      </w:r>
      <w:r w:rsidRPr="005F46FC">
        <w:rPr>
          <w:i/>
          <w:sz w:val="20"/>
          <w:szCs w:val="20"/>
          <w:lang w:val="en-US"/>
        </w:rPr>
        <w:t>No</w:t>
      </w:r>
      <w:r>
        <w:rPr>
          <w:i/>
          <w:sz w:val="20"/>
          <w:szCs w:val="20"/>
          <w:lang w:val="en-US"/>
        </w:rPr>
        <w:t>n</w:t>
      </w:r>
      <w:r w:rsidRPr="005F46FC">
        <w:rPr>
          <w:i/>
          <w:sz w:val="20"/>
          <w:szCs w:val="20"/>
          <w:lang w:val="en-US"/>
        </w:rPr>
        <w:t xml:space="preserve">-employed </w:t>
      </w:r>
      <w:r>
        <w:rPr>
          <w:i/>
          <w:sz w:val="20"/>
          <w:szCs w:val="20"/>
          <w:lang w:val="en-US"/>
        </w:rPr>
        <w:t>individuals are either unemployed or inactive (outside the labor force), excluding international migrants.</w:t>
      </w:r>
    </w:p>
    <w:p w14:paraId="6A81B905" w14:textId="5274DBB7" w:rsidR="0067542D" w:rsidRDefault="0067542D" w:rsidP="0067542D">
      <w:pPr>
        <w:pStyle w:val="61"/>
        <w:shd w:val="clear" w:color="auto" w:fill="auto"/>
        <w:spacing w:before="120" w:line="240" w:lineRule="auto"/>
        <w:jc w:val="both"/>
        <w:rPr>
          <w:color w:val="000000"/>
          <w:sz w:val="22"/>
          <w:szCs w:val="22"/>
          <w:lang w:val="en-GB"/>
        </w:rPr>
      </w:pPr>
      <w:r w:rsidRPr="00FF4959">
        <w:rPr>
          <w:b/>
          <w:color w:val="000000"/>
          <w:sz w:val="22"/>
          <w:szCs w:val="22"/>
        </w:rPr>
        <w:t>The intersection of gender and age uncovers generational differences in the attitude towards the vocational education track</w:t>
      </w:r>
      <w:r w:rsidRPr="004A792A">
        <w:rPr>
          <w:color w:val="000000"/>
          <w:sz w:val="22"/>
          <w:szCs w:val="22"/>
        </w:rPr>
        <w:t xml:space="preserve">: the share of both men and women with secondary vocational education </w:t>
      </w:r>
      <w:r>
        <w:rPr>
          <w:color w:val="000000"/>
          <w:sz w:val="22"/>
          <w:szCs w:val="22"/>
        </w:rPr>
        <w:t xml:space="preserve">or post-secondary non-tertiary education </w:t>
      </w:r>
      <w:r w:rsidRPr="004A792A">
        <w:rPr>
          <w:color w:val="000000"/>
          <w:sz w:val="22"/>
          <w:szCs w:val="22"/>
        </w:rPr>
        <w:t>decreases substantially from the cohort of 45-54 year old workers to the 25-34 year-olds (</w:t>
      </w:r>
      <w:r w:rsidRPr="004A792A">
        <w:rPr>
          <w:color w:val="000000"/>
          <w:sz w:val="22"/>
          <w:szCs w:val="22"/>
          <w:highlight w:val="yellow"/>
        </w:rPr>
        <w:fldChar w:fldCharType="begin"/>
      </w:r>
      <w:r w:rsidRPr="004A792A">
        <w:rPr>
          <w:color w:val="000000"/>
          <w:sz w:val="22"/>
          <w:szCs w:val="22"/>
          <w:highlight w:val="yellow"/>
        </w:rPr>
        <w:instrText xml:space="preserve"> REF _Ref519158387 \h  \* MERGEFORMAT </w:instrText>
      </w:r>
      <w:r w:rsidRPr="004A792A">
        <w:rPr>
          <w:color w:val="000000"/>
          <w:sz w:val="22"/>
          <w:szCs w:val="22"/>
          <w:highlight w:val="yellow"/>
        </w:rPr>
      </w:r>
      <w:r w:rsidRPr="004A792A">
        <w:rPr>
          <w:color w:val="000000"/>
          <w:sz w:val="22"/>
          <w:szCs w:val="22"/>
          <w:highlight w:val="yellow"/>
        </w:rPr>
        <w:fldChar w:fldCharType="separate"/>
      </w:r>
      <w:r w:rsidR="00B9641E" w:rsidRPr="00FF4959">
        <w:rPr>
          <w:sz w:val="22"/>
          <w:szCs w:val="22"/>
        </w:rPr>
        <w:t xml:space="preserve">Figure </w:t>
      </w:r>
      <w:r w:rsidR="00B9641E" w:rsidRPr="00FF4959">
        <w:rPr>
          <w:noProof/>
          <w:sz w:val="22"/>
          <w:szCs w:val="22"/>
        </w:rPr>
        <w:t>16</w:t>
      </w:r>
      <w:r w:rsidRPr="004A792A">
        <w:rPr>
          <w:color w:val="000000"/>
          <w:sz w:val="22"/>
          <w:szCs w:val="22"/>
          <w:highlight w:val="yellow"/>
        </w:rPr>
        <w:fldChar w:fldCharType="end"/>
      </w:r>
      <w:r>
        <w:rPr>
          <w:color w:val="000000"/>
          <w:sz w:val="22"/>
          <w:szCs w:val="22"/>
        </w:rPr>
        <w:t>, Panel A</w:t>
      </w:r>
      <w:r w:rsidRPr="004A792A">
        <w:rPr>
          <w:color w:val="000000"/>
          <w:sz w:val="22"/>
          <w:szCs w:val="22"/>
        </w:rPr>
        <w:t>). These findings support conclusions from the analysis of a</w:t>
      </w:r>
      <w:r w:rsidRPr="004A792A">
        <w:rPr>
          <w:iCs/>
          <w:sz w:val="22"/>
          <w:szCs w:val="22"/>
        </w:rPr>
        <w:t>spirations of young people (</w:t>
      </w:r>
      <w:r w:rsidRPr="004A792A">
        <w:rPr>
          <w:color w:val="000000"/>
          <w:sz w:val="22"/>
          <w:szCs w:val="22"/>
        </w:rPr>
        <w:t>World Bank, 2016</w:t>
      </w:r>
      <w:r w:rsidR="008C0353">
        <w:rPr>
          <w:color w:val="000000"/>
          <w:sz w:val="22"/>
          <w:szCs w:val="22"/>
        </w:rPr>
        <w:t>a</w:t>
      </w:r>
      <w:r w:rsidRPr="004A792A">
        <w:rPr>
          <w:color w:val="000000"/>
          <w:sz w:val="22"/>
          <w:szCs w:val="22"/>
        </w:rPr>
        <w:t>).</w:t>
      </w:r>
    </w:p>
    <w:p w14:paraId="0DA3E151" w14:textId="601E3095" w:rsidR="00121161" w:rsidRPr="004A792A" w:rsidRDefault="00341367" w:rsidP="00A16953">
      <w:pPr>
        <w:pStyle w:val="61"/>
        <w:spacing w:before="120"/>
        <w:jc w:val="both"/>
        <w:rPr>
          <w:sz w:val="22"/>
          <w:szCs w:val="22"/>
        </w:rPr>
      </w:pPr>
      <w:r w:rsidRPr="00FF4959">
        <w:rPr>
          <w:b/>
          <w:color w:val="000000"/>
          <w:sz w:val="22"/>
          <w:szCs w:val="22"/>
        </w:rPr>
        <w:t>Female adult workers differ from their male counterparts not only in terms of the level of education but also in terms of the field of studies</w:t>
      </w:r>
      <w:r w:rsidRPr="004A792A">
        <w:rPr>
          <w:color w:val="000000"/>
          <w:sz w:val="22"/>
          <w:szCs w:val="22"/>
        </w:rPr>
        <w:t xml:space="preserve">. According to the </w:t>
      </w:r>
      <w:r w:rsidR="00A92B27">
        <w:rPr>
          <w:color w:val="000000"/>
          <w:sz w:val="22"/>
          <w:szCs w:val="22"/>
        </w:rPr>
        <w:t xml:space="preserve">analysis of </w:t>
      </w:r>
      <w:r w:rsidRPr="004A792A">
        <w:rPr>
          <w:color w:val="000000"/>
          <w:sz w:val="22"/>
          <w:szCs w:val="22"/>
        </w:rPr>
        <w:t>LFS</w:t>
      </w:r>
      <w:r w:rsidR="00A92B27">
        <w:rPr>
          <w:color w:val="000000"/>
          <w:sz w:val="22"/>
          <w:szCs w:val="22"/>
        </w:rPr>
        <w:t xml:space="preserve"> data in </w:t>
      </w:r>
      <w:r w:rsidR="00A92B27" w:rsidRPr="004A792A">
        <w:rPr>
          <w:color w:val="000000"/>
          <w:sz w:val="22"/>
          <w:szCs w:val="22"/>
        </w:rPr>
        <w:t>2016</w:t>
      </w:r>
      <w:r w:rsidRPr="004A792A">
        <w:rPr>
          <w:color w:val="000000"/>
          <w:sz w:val="22"/>
          <w:szCs w:val="22"/>
        </w:rPr>
        <w:t xml:space="preserve">, women represented over two thirds of workers with a university degree in the fields related to jobs of business and administration professionals (81 percent), teaching professionals (76.3 percent), and administrative and commercial managers (66.7 percent). At the same time, they constituted less than 32 percent of workers with a STEM tertiary education level, namely 31.6 percent of Science and engineering professionals and 27.3 </w:t>
      </w:r>
      <w:r w:rsidR="003A6EEF" w:rsidRPr="004A792A">
        <w:rPr>
          <w:color w:val="000000"/>
          <w:sz w:val="22"/>
          <w:szCs w:val="22"/>
        </w:rPr>
        <w:t xml:space="preserve">percent </w:t>
      </w:r>
      <w:r w:rsidRPr="004A792A">
        <w:rPr>
          <w:color w:val="000000"/>
          <w:sz w:val="22"/>
          <w:szCs w:val="22"/>
        </w:rPr>
        <w:t>of ICT professionals (</w:t>
      </w:r>
      <w:r w:rsidR="00A16953" w:rsidRPr="00A16953">
        <w:rPr>
          <w:color w:val="000000"/>
          <w:sz w:val="22"/>
          <w:szCs w:val="22"/>
        </w:rPr>
        <w:fldChar w:fldCharType="begin"/>
      </w:r>
      <w:r w:rsidR="00A16953" w:rsidRPr="00A16953">
        <w:rPr>
          <w:color w:val="000000"/>
          <w:sz w:val="22"/>
          <w:szCs w:val="22"/>
        </w:rPr>
        <w:instrText xml:space="preserve"> REF _Ref521693506 \h </w:instrText>
      </w:r>
      <w:r w:rsidR="00A16953">
        <w:rPr>
          <w:color w:val="000000"/>
          <w:sz w:val="22"/>
          <w:szCs w:val="22"/>
        </w:rPr>
        <w:instrText xml:space="preserve"> \* MERGEFORMAT </w:instrText>
      </w:r>
      <w:r w:rsidR="00A16953" w:rsidRPr="00A16953">
        <w:rPr>
          <w:color w:val="000000"/>
          <w:sz w:val="22"/>
          <w:szCs w:val="22"/>
        </w:rPr>
      </w:r>
      <w:r w:rsidR="00A16953" w:rsidRPr="00A16953">
        <w:rPr>
          <w:color w:val="000000"/>
          <w:sz w:val="22"/>
          <w:szCs w:val="22"/>
        </w:rPr>
        <w:fldChar w:fldCharType="separate"/>
      </w:r>
      <w:r w:rsidR="00A92B27" w:rsidRPr="00FF4959">
        <w:rPr>
          <w:sz w:val="22"/>
          <w:szCs w:val="22"/>
        </w:rPr>
        <w:t xml:space="preserve">Table </w:t>
      </w:r>
      <w:r w:rsidR="00A92B27" w:rsidRPr="00FF4959">
        <w:rPr>
          <w:noProof/>
          <w:sz w:val="22"/>
          <w:szCs w:val="22"/>
        </w:rPr>
        <w:t>A-6</w:t>
      </w:r>
      <w:r w:rsidR="00A16953" w:rsidRPr="00A16953">
        <w:rPr>
          <w:color w:val="000000"/>
          <w:sz w:val="22"/>
          <w:szCs w:val="22"/>
        </w:rPr>
        <w:fldChar w:fldCharType="end"/>
      </w:r>
      <w:r w:rsidRPr="004A792A">
        <w:rPr>
          <w:color w:val="000000"/>
          <w:sz w:val="22"/>
          <w:szCs w:val="22"/>
        </w:rPr>
        <w:t>). Over half of all employed women with tertiary education studied either education (Teaching professionals), accounting or policy administration (Business and administration professionals). In contrast, the most popular fields of studies reported by employed males with a university degree are Science and engineering professionals (predominantly Farming, forestry and fisheries advisers; Mechanical engineers; Electrical engineers) and Legal, social and cultural professionals (m</w:t>
      </w:r>
      <w:r w:rsidR="00A16953">
        <w:rPr>
          <w:color w:val="000000"/>
          <w:sz w:val="22"/>
          <w:szCs w:val="22"/>
        </w:rPr>
        <w:t xml:space="preserve">ainly Lawyers and Economists) </w:t>
      </w:r>
      <w:r w:rsidR="00A16953" w:rsidRPr="004A792A">
        <w:rPr>
          <w:color w:val="000000"/>
          <w:sz w:val="22"/>
          <w:szCs w:val="22"/>
        </w:rPr>
        <w:lastRenderedPageBreak/>
        <w:t>(</w:t>
      </w:r>
      <w:r w:rsidR="00A16953" w:rsidRPr="00A16953">
        <w:rPr>
          <w:color w:val="000000"/>
          <w:sz w:val="22"/>
          <w:szCs w:val="22"/>
        </w:rPr>
        <w:fldChar w:fldCharType="begin"/>
      </w:r>
      <w:r w:rsidR="00A16953" w:rsidRPr="00A16953">
        <w:rPr>
          <w:color w:val="000000"/>
          <w:sz w:val="22"/>
          <w:szCs w:val="22"/>
        </w:rPr>
        <w:instrText xml:space="preserve"> REF _Ref521693506 \h </w:instrText>
      </w:r>
      <w:r w:rsidR="00A16953">
        <w:rPr>
          <w:color w:val="000000"/>
          <w:sz w:val="22"/>
          <w:szCs w:val="22"/>
        </w:rPr>
        <w:instrText xml:space="preserve"> \* MERGEFORMAT </w:instrText>
      </w:r>
      <w:r w:rsidR="00A16953" w:rsidRPr="00A16953">
        <w:rPr>
          <w:color w:val="000000"/>
          <w:sz w:val="22"/>
          <w:szCs w:val="22"/>
        </w:rPr>
      </w:r>
      <w:r w:rsidR="00A16953" w:rsidRPr="00A16953">
        <w:rPr>
          <w:color w:val="000000"/>
          <w:sz w:val="22"/>
          <w:szCs w:val="22"/>
        </w:rPr>
        <w:fldChar w:fldCharType="separate"/>
      </w:r>
      <w:r w:rsidR="00A92B27" w:rsidRPr="00FF4959">
        <w:rPr>
          <w:sz w:val="22"/>
          <w:szCs w:val="22"/>
        </w:rPr>
        <w:t xml:space="preserve">Table </w:t>
      </w:r>
      <w:r w:rsidR="00A92B27" w:rsidRPr="00FF4959">
        <w:rPr>
          <w:noProof/>
          <w:sz w:val="22"/>
          <w:szCs w:val="22"/>
        </w:rPr>
        <w:t>A-6</w:t>
      </w:r>
      <w:r w:rsidR="00A16953" w:rsidRPr="00A16953">
        <w:rPr>
          <w:color w:val="000000"/>
          <w:sz w:val="22"/>
          <w:szCs w:val="22"/>
        </w:rPr>
        <w:fldChar w:fldCharType="end"/>
      </w:r>
      <w:r w:rsidR="00A16953" w:rsidRPr="004A792A">
        <w:rPr>
          <w:color w:val="000000"/>
          <w:sz w:val="22"/>
          <w:szCs w:val="22"/>
        </w:rPr>
        <w:t>)</w:t>
      </w:r>
      <w:r w:rsidRPr="004A792A">
        <w:rPr>
          <w:sz w:val="22"/>
          <w:szCs w:val="22"/>
        </w:rPr>
        <w:t>.</w:t>
      </w:r>
    </w:p>
    <w:p w14:paraId="63079480" w14:textId="6D4C9006" w:rsidR="00341367" w:rsidRPr="004A792A" w:rsidRDefault="007A25BC" w:rsidP="00AC7BFE">
      <w:pPr>
        <w:pStyle w:val="61"/>
        <w:shd w:val="clear" w:color="auto" w:fill="auto"/>
        <w:spacing w:before="120" w:line="240" w:lineRule="auto"/>
        <w:jc w:val="both"/>
        <w:rPr>
          <w:color w:val="000000"/>
          <w:sz w:val="22"/>
          <w:szCs w:val="22"/>
        </w:rPr>
      </w:pPr>
      <w:r w:rsidRPr="00FF4959">
        <w:rPr>
          <w:b/>
          <w:color w:val="000000"/>
          <w:sz w:val="22"/>
          <w:szCs w:val="22"/>
        </w:rPr>
        <w:t>G</w:t>
      </w:r>
      <w:r w:rsidR="00341367" w:rsidRPr="00FF4959">
        <w:rPr>
          <w:b/>
          <w:color w:val="000000"/>
          <w:sz w:val="22"/>
          <w:szCs w:val="22"/>
        </w:rPr>
        <w:t>ender segregation in education</w:t>
      </w:r>
      <w:r w:rsidRPr="00FF4959">
        <w:rPr>
          <w:b/>
          <w:color w:val="000000"/>
          <w:sz w:val="22"/>
          <w:szCs w:val="22"/>
        </w:rPr>
        <w:t xml:space="preserve"> </w:t>
      </w:r>
      <w:r>
        <w:rPr>
          <w:b/>
          <w:color w:val="000000"/>
          <w:sz w:val="22"/>
          <w:szCs w:val="22"/>
        </w:rPr>
        <w:t xml:space="preserve">among </w:t>
      </w:r>
      <w:r w:rsidRPr="00FF4959">
        <w:rPr>
          <w:b/>
          <w:color w:val="000000"/>
          <w:sz w:val="22"/>
          <w:szCs w:val="22"/>
        </w:rPr>
        <w:t>employed women and men aged 25 years and</w:t>
      </w:r>
      <w:r>
        <w:rPr>
          <w:b/>
          <w:color w:val="000000"/>
          <w:sz w:val="22"/>
          <w:szCs w:val="22"/>
        </w:rPr>
        <w:t xml:space="preserve"> more </w:t>
      </w:r>
      <w:r w:rsidRPr="00FF4959">
        <w:rPr>
          <w:b/>
          <w:color w:val="000000"/>
          <w:sz w:val="22"/>
          <w:szCs w:val="22"/>
        </w:rPr>
        <w:t>is pronounced</w:t>
      </w:r>
      <w:r w:rsidR="00121161" w:rsidRPr="004A792A">
        <w:rPr>
          <w:color w:val="000000"/>
          <w:sz w:val="22"/>
          <w:szCs w:val="22"/>
        </w:rPr>
        <w:t xml:space="preserve">: the Duncan index of dissimilarity </w:t>
      </w:r>
      <w:r>
        <w:rPr>
          <w:color w:val="000000"/>
          <w:sz w:val="22"/>
          <w:szCs w:val="22"/>
        </w:rPr>
        <w:t xml:space="preserve">at </w:t>
      </w:r>
      <w:r w:rsidR="00121161" w:rsidRPr="004A792A">
        <w:rPr>
          <w:color w:val="000000"/>
          <w:sz w:val="22"/>
          <w:szCs w:val="22"/>
        </w:rPr>
        <w:t xml:space="preserve">3-digit educational groups </w:t>
      </w:r>
      <w:r>
        <w:rPr>
          <w:color w:val="000000"/>
          <w:sz w:val="22"/>
          <w:szCs w:val="22"/>
        </w:rPr>
        <w:t xml:space="preserve">among workers </w:t>
      </w:r>
      <w:r w:rsidR="00121161" w:rsidRPr="004A792A">
        <w:rPr>
          <w:color w:val="000000"/>
          <w:sz w:val="22"/>
          <w:szCs w:val="22"/>
        </w:rPr>
        <w:t xml:space="preserve">with tertiary education was 42.3 percent in 2016. The similar index among workers with secondary vocational education was almost twice larger (83.1 percent in 2016). Educational segregation </w:t>
      </w:r>
      <w:r w:rsidR="00341367" w:rsidRPr="004A792A">
        <w:rPr>
          <w:color w:val="000000"/>
          <w:sz w:val="22"/>
          <w:szCs w:val="22"/>
        </w:rPr>
        <w:t>further leads to gender divisions in the labor market.</w:t>
      </w:r>
    </w:p>
    <w:p w14:paraId="34D8D58E" w14:textId="648B13F3" w:rsidR="00341367" w:rsidRPr="004A792A" w:rsidRDefault="00FF4959" w:rsidP="00AC7BFE">
      <w:pPr>
        <w:pStyle w:val="61"/>
        <w:shd w:val="clear" w:color="auto" w:fill="auto"/>
        <w:spacing w:before="120" w:line="240" w:lineRule="auto"/>
        <w:jc w:val="both"/>
        <w:rPr>
          <w:color w:val="000000"/>
          <w:sz w:val="22"/>
          <w:szCs w:val="22"/>
        </w:rPr>
      </w:pPr>
      <w:r w:rsidRPr="00FF4959">
        <w:rPr>
          <w:b/>
          <w:color w:val="000000"/>
          <w:sz w:val="22"/>
          <w:szCs w:val="22"/>
        </w:rPr>
        <w:t>Like in the EU, Moldovan women with education in female-dominated fields are more likely to be well-matched to their jobs compared to men while the opposite holds true among women having a certificate or degree in male-dominated fields</w:t>
      </w:r>
      <w:r w:rsidRPr="004A792A">
        <w:rPr>
          <w:color w:val="000000"/>
          <w:sz w:val="22"/>
          <w:szCs w:val="22"/>
        </w:rPr>
        <w:t>.</w:t>
      </w:r>
      <w:r>
        <w:rPr>
          <w:color w:val="000000"/>
          <w:sz w:val="22"/>
          <w:szCs w:val="22"/>
        </w:rPr>
        <w:t xml:space="preserve"> </w:t>
      </w:r>
      <w:r w:rsidR="00341367" w:rsidRPr="004A792A">
        <w:rPr>
          <w:color w:val="000000"/>
          <w:sz w:val="22"/>
          <w:szCs w:val="22"/>
        </w:rPr>
        <w:t>Studies of gender inequality in the EU (EIGE, 2017; E</w:t>
      </w:r>
      <w:r w:rsidR="00D87737" w:rsidRPr="004A792A">
        <w:rPr>
          <w:color w:val="000000"/>
          <w:sz w:val="22"/>
          <w:szCs w:val="22"/>
        </w:rPr>
        <w:t>C</w:t>
      </w:r>
      <w:r w:rsidR="00341367" w:rsidRPr="004A792A">
        <w:rPr>
          <w:color w:val="000000"/>
          <w:sz w:val="22"/>
          <w:szCs w:val="22"/>
        </w:rPr>
        <w:t xml:space="preserve">, 2018) report that the chances of finding a job </w:t>
      </w:r>
      <w:r w:rsidR="00715B28" w:rsidRPr="004A792A">
        <w:rPr>
          <w:color w:val="000000"/>
          <w:sz w:val="22"/>
          <w:szCs w:val="22"/>
        </w:rPr>
        <w:t xml:space="preserve">that would </w:t>
      </w:r>
      <w:r w:rsidR="00341367" w:rsidRPr="004A792A">
        <w:rPr>
          <w:color w:val="000000"/>
          <w:sz w:val="22"/>
          <w:szCs w:val="22"/>
        </w:rPr>
        <w:t xml:space="preserve">match their educational profile are higher for </w:t>
      </w:r>
      <w:r w:rsidR="00D8417D">
        <w:rPr>
          <w:color w:val="000000"/>
          <w:sz w:val="22"/>
          <w:szCs w:val="22"/>
        </w:rPr>
        <w:t>female</w:t>
      </w:r>
      <w:r w:rsidR="00D8417D" w:rsidRPr="004A792A">
        <w:rPr>
          <w:color w:val="000000"/>
          <w:sz w:val="22"/>
          <w:szCs w:val="22"/>
        </w:rPr>
        <w:t xml:space="preserve"> </w:t>
      </w:r>
      <w:r w:rsidR="00341367" w:rsidRPr="004A792A">
        <w:rPr>
          <w:color w:val="000000"/>
          <w:sz w:val="22"/>
          <w:szCs w:val="22"/>
        </w:rPr>
        <w:t xml:space="preserve">graduates in female-dominated fields of studies (e.g. education, health and welfare) and much lower in male-dominated fields (e.g. STEM) than those of men. To test whether the same trend is observed in Moldova, we split up all 2-digit ISCO-based fields of studies into female/male-dominated and mixed </w:t>
      </w:r>
      <w:r w:rsidR="00715B28" w:rsidRPr="004A792A">
        <w:rPr>
          <w:color w:val="000000"/>
          <w:sz w:val="22"/>
          <w:szCs w:val="22"/>
        </w:rPr>
        <w:t xml:space="preserve">specializations </w:t>
      </w:r>
      <w:r w:rsidR="00341367" w:rsidRPr="004A792A">
        <w:rPr>
          <w:color w:val="000000"/>
          <w:sz w:val="22"/>
          <w:szCs w:val="22"/>
        </w:rPr>
        <w:t>using cut-offs of 40 and 60 percent as we did for occupations in Section 2.1. Then we looked at the answers of employed women and men aged 25+ years to the question about correspondence between their education and current job (</w:t>
      </w:r>
      <w:r w:rsidR="00715B28" w:rsidRPr="004A792A">
        <w:rPr>
          <w:color w:val="000000"/>
          <w:sz w:val="22"/>
          <w:szCs w:val="22"/>
        </w:rPr>
        <w:fldChar w:fldCharType="begin"/>
      </w:r>
      <w:r w:rsidR="00715B28" w:rsidRPr="004A792A">
        <w:rPr>
          <w:color w:val="000000"/>
          <w:sz w:val="22"/>
          <w:szCs w:val="22"/>
        </w:rPr>
        <w:instrText xml:space="preserve"> REF _Ref519158835 \h  \* MERGEFORMAT </w:instrText>
      </w:r>
      <w:r w:rsidR="00715B28" w:rsidRPr="004A792A">
        <w:rPr>
          <w:color w:val="000000"/>
          <w:sz w:val="22"/>
          <w:szCs w:val="22"/>
        </w:rPr>
      </w:r>
      <w:r w:rsidR="00715B28" w:rsidRPr="004A792A">
        <w:rPr>
          <w:color w:val="000000"/>
          <w:sz w:val="22"/>
          <w:szCs w:val="22"/>
        </w:rPr>
        <w:fldChar w:fldCharType="separate"/>
      </w:r>
      <w:r w:rsidR="00206AA9" w:rsidRPr="00206AA9">
        <w:rPr>
          <w:sz w:val="22"/>
          <w:szCs w:val="22"/>
        </w:rPr>
        <w:t xml:space="preserve">Table </w:t>
      </w:r>
      <w:r w:rsidR="00206AA9" w:rsidRPr="00206AA9">
        <w:rPr>
          <w:noProof/>
          <w:sz w:val="22"/>
          <w:szCs w:val="22"/>
        </w:rPr>
        <w:t>3</w:t>
      </w:r>
      <w:r w:rsidR="00715B28" w:rsidRPr="004A792A">
        <w:rPr>
          <w:color w:val="000000"/>
          <w:sz w:val="22"/>
          <w:szCs w:val="22"/>
        </w:rPr>
        <w:fldChar w:fldCharType="end"/>
      </w:r>
      <w:r w:rsidR="00341367" w:rsidRPr="004A792A">
        <w:rPr>
          <w:color w:val="000000"/>
          <w:sz w:val="22"/>
          <w:szCs w:val="22"/>
        </w:rPr>
        <w:t>).</w:t>
      </w:r>
      <w:r w:rsidR="00E253AF">
        <w:rPr>
          <w:rStyle w:val="af9"/>
          <w:color w:val="000000"/>
          <w:sz w:val="22"/>
          <w:szCs w:val="22"/>
        </w:rPr>
        <w:footnoteReference w:id="11"/>
      </w:r>
      <w:r w:rsidR="00341367" w:rsidRPr="004A792A">
        <w:rPr>
          <w:color w:val="000000"/>
          <w:sz w:val="22"/>
          <w:szCs w:val="22"/>
        </w:rPr>
        <w:t xml:space="preserve"> </w:t>
      </w:r>
    </w:p>
    <w:p w14:paraId="7D85875E" w14:textId="468946D7" w:rsidR="00341367" w:rsidRPr="004A792A" w:rsidRDefault="00715B28" w:rsidP="00216C1F">
      <w:pPr>
        <w:pStyle w:val="ad"/>
        <w:spacing w:before="240"/>
        <w:jc w:val="left"/>
        <w:rPr>
          <w:lang w:val="en-US"/>
        </w:rPr>
      </w:pPr>
      <w:bookmarkStart w:id="61" w:name="_Ref519158835"/>
      <w:bookmarkStart w:id="62" w:name="_Toc533211793"/>
      <w:r w:rsidRPr="004A79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3</w:t>
      </w:r>
      <w:r w:rsidR="007B7CCA">
        <w:rPr>
          <w:lang w:val="en-US"/>
        </w:rPr>
        <w:fldChar w:fldCharType="end"/>
      </w:r>
      <w:bookmarkEnd w:id="61"/>
      <w:r w:rsidRPr="004A792A">
        <w:rPr>
          <w:lang w:val="en-US"/>
        </w:rPr>
        <w:t>: Correspondence of education to job reported by employed women and men by female-dominated, mixed or male-dominated field of studies (%), 2016</w:t>
      </w:r>
      <w:bookmarkEnd w:id="62"/>
    </w:p>
    <w:tbl>
      <w:tblPr>
        <w:tblOverlap w:val="never"/>
        <w:tblW w:w="9062" w:type="dxa"/>
        <w:tblInd w:w="10" w:type="dxa"/>
        <w:tblLayout w:type="fixed"/>
        <w:tblCellMar>
          <w:left w:w="10" w:type="dxa"/>
          <w:right w:w="10" w:type="dxa"/>
        </w:tblCellMar>
        <w:tblLook w:val="04A0" w:firstRow="1" w:lastRow="0" w:firstColumn="1" w:lastColumn="0" w:noHBand="0" w:noVBand="1"/>
      </w:tblPr>
      <w:tblGrid>
        <w:gridCol w:w="3676"/>
        <w:gridCol w:w="1346"/>
        <w:gridCol w:w="1347"/>
        <w:gridCol w:w="1346"/>
        <w:gridCol w:w="1347"/>
      </w:tblGrid>
      <w:tr w:rsidR="00703C9D" w:rsidRPr="004A792A" w14:paraId="41CFDF16" w14:textId="77777777" w:rsidTr="00703C9D">
        <w:tc>
          <w:tcPr>
            <w:tcW w:w="3676" w:type="dxa"/>
            <w:tcBorders>
              <w:top w:val="single" w:sz="4" w:space="0" w:color="auto"/>
              <w:bottom w:val="single" w:sz="4" w:space="0" w:color="auto"/>
            </w:tcBorders>
            <w:shd w:val="clear" w:color="auto" w:fill="FFFFFF"/>
          </w:tcPr>
          <w:p w14:paraId="06A718BD" w14:textId="77777777" w:rsidR="00703C9D" w:rsidRPr="004A792A" w:rsidRDefault="00703C9D" w:rsidP="00703C9D">
            <w:pPr>
              <w:pStyle w:val="61"/>
              <w:shd w:val="clear" w:color="auto" w:fill="auto"/>
              <w:spacing w:line="240" w:lineRule="auto"/>
              <w:rPr>
                <w:rStyle w:val="12"/>
                <w:rFonts w:asciiTheme="minorHAnsi" w:hAnsiTheme="minorHAnsi" w:cstheme="minorHAnsi"/>
                <w:b/>
                <w:sz w:val="20"/>
                <w:szCs w:val="20"/>
              </w:rPr>
            </w:pPr>
          </w:p>
        </w:tc>
        <w:tc>
          <w:tcPr>
            <w:tcW w:w="1346" w:type="dxa"/>
            <w:tcBorders>
              <w:top w:val="single" w:sz="4" w:space="0" w:color="auto"/>
              <w:bottom w:val="single" w:sz="4" w:space="0" w:color="auto"/>
            </w:tcBorders>
            <w:shd w:val="clear" w:color="auto" w:fill="FFFFFF"/>
          </w:tcPr>
          <w:p w14:paraId="536CBA3D"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b/>
                <w:sz w:val="20"/>
                <w:szCs w:val="20"/>
              </w:rPr>
            </w:pPr>
            <w:r w:rsidRPr="004A792A">
              <w:rPr>
                <w:rStyle w:val="12"/>
                <w:rFonts w:asciiTheme="minorHAnsi" w:hAnsiTheme="minorHAnsi" w:cstheme="minorHAnsi"/>
                <w:b/>
                <w:sz w:val="20"/>
                <w:szCs w:val="20"/>
              </w:rPr>
              <w:t>Well-matched</w:t>
            </w:r>
          </w:p>
        </w:tc>
        <w:tc>
          <w:tcPr>
            <w:tcW w:w="1347" w:type="dxa"/>
            <w:tcBorders>
              <w:top w:val="single" w:sz="4" w:space="0" w:color="auto"/>
              <w:bottom w:val="single" w:sz="4" w:space="0" w:color="auto"/>
            </w:tcBorders>
            <w:shd w:val="clear" w:color="auto" w:fill="FFFFFF"/>
          </w:tcPr>
          <w:p w14:paraId="0D319D1D"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b/>
                <w:sz w:val="20"/>
                <w:szCs w:val="20"/>
              </w:rPr>
            </w:pPr>
            <w:r w:rsidRPr="004A792A">
              <w:rPr>
                <w:rStyle w:val="12"/>
                <w:rFonts w:asciiTheme="minorHAnsi" w:hAnsiTheme="minorHAnsi" w:cstheme="minorHAnsi"/>
                <w:b/>
                <w:sz w:val="20"/>
                <w:szCs w:val="20"/>
              </w:rPr>
              <w:t>Overqualified</w:t>
            </w:r>
          </w:p>
        </w:tc>
        <w:tc>
          <w:tcPr>
            <w:tcW w:w="1346" w:type="dxa"/>
            <w:tcBorders>
              <w:top w:val="single" w:sz="4" w:space="0" w:color="auto"/>
              <w:bottom w:val="single" w:sz="4" w:space="0" w:color="auto"/>
            </w:tcBorders>
            <w:shd w:val="clear" w:color="auto" w:fill="FFFFFF"/>
          </w:tcPr>
          <w:p w14:paraId="43652B0A"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b/>
                <w:sz w:val="20"/>
                <w:szCs w:val="20"/>
              </w:rPr>
            </w:pPr>
            <w:r w:rsidRPr="004A792A">
              <w:rPr>
                <w:rStyle w:val="12"/>
                <w:rFonts w:asciiTheme="minorHAnsi" w:hAnsiTheme="minorHAnsi" w:cstheme="minorHAnsi"/>
                <w:b/>
                <w:sz w:val="20"/>
                <w:szCs w:val="20"/>
              </w:rPr>
              <w:t>Underqualified</w:t>
            </w:r>
          </w:p>
        </w:tc>
        <w:tc>
          <w:tcPr>
            <w:tcW w:w="1347" w:type="dxa"/>
            <w:tcBorders>
              <w:top w:val="single" w:sz="4" w:space="0" w:color="auto"/>
              <w:bottom w:val="single" w:sz="4" w:space="0" w:color="auto"/>
            </w:tcBorders>
            <w:shd w:val="clear" w:color="auto" w:fill="FFFFFF"/>
          </w:tcPr>
          <w:p w14:paraId="1B30FFBE"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b/>
                <w:sz w:val="20"/>
                <w:szCs w:val="20"/>
              </w:rPr>
            </w:pPr>
            <w:r w:rsidRPr="004A792A">
              <w:rPr>
                <w:rStyle w:val="12"/>
                <w:rFonts w:asciiTheme="minorHAnsi" w:hAnsiTheme="minorHAnsi" w:cstheme="minorHAnsi"/>
                <w:b/>
                <w:sz w:val="20"/>
                <w:szCs w:val="20"/>
              </w:rPr>
              <w:t>Horizontal mismatch</w:t>
            </w:r>
          </w:p>
        </w:tc>
      </w:tr>
      <w:tr w:rsidR="00703C9D" w:rsidRPr="004A792A" w14:paraId="40126BDF" w14:textId="77777777" w:rsidTr="00703C9D">
        <w:tc>
          <w:tcPr>
            <w:tcW w:w="3676" w:type="dxa"/>
            <w:tcBorders>
              <w:top w:val="single" w:sz="4" w:space="0" w:color="auto"/>
            </w:tcBorders>
            <w:shd w:val="clear" w:color="auto" w:fill="FFFFFF"/>
          </w:tcPr>
          <w:p w14:paraId="5EAE1845" w14:textId="77777777" w:rsidR="00703C9D" w:rsidRPr="004A792A" w:rsidRDefault="00703C9D" w:rsidP="00703C9D">
            <w:pPr>
              <w:pStyle w:val="61"/>
              <w:shd w:val="clear" w:color="auto" w:fill="auto"/>
              <w:spacing w:line="240" w:lineRule="auto"/>
              <w:rPr>
                <w:rStyle w:val="12"/>
                <w:rFonts w:asciiTheme="minorHAnsi" w:hAnsiTheme="minorHAnsi" w:cstheme="minorHAnsi"/>
                <w:sz w:val="20"/>
                <w:szCs w:val="20"/>
              </w:rPr>
            </w:pPr>
            <w:r w:rsidRPr="004A792A">
              <w:rPr>
                <w:rStyle w:val="12"/>
                <w:rFonts w:asciiTheme="minorHAnsi" w:hAnsiTheme="minorHAnsi" w:cstheme="minorHAnsi"/>
                <w:b/>
                <w:sz w:val="20"/>
                <w:szCs w:val="20"/>
              </w:rPr>
              <w:t>Women</w:t>
            </w:r>
          </w:p>
        </w:tc>
        <w:tc>
          <w:tcPr>
            <w:tcW w:w="1346" w:type="dxa"/>
            <w:tcBorders>
              <w:top w:val="single" w:sz="4" w:space="0" w:color="auto"/>
            </w:tcBorders>
            <w:shd w:val="clear" w:color="auto" w:fill="FFFFFF"/>
          </w:tcPr>
          <w:p w14:paraId="57E601A1"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p>
        </w:tc>
        <w:tc>
          <w:tcPr>
            <w:tcW w:w="1347" w:type="dxa"/>
            <w:tcBorders>
              <w:top w:val="single" w:sz="4" w:space="0" w:color="auto"/>
            </w:tcBorders>
            <w:shd w:val="clear" w:color="auto" w:fill="FFFFFF"/>
          </w:tcPr>
          <w:p w14:paraId="2DD97347"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p>
        </w:tc>
        <w:tc>
          <w:tcPr>
            <w:tcW w:w="1346" w:type="dxa"/>
            <w:tcBorders>
              <w:top w:val="single" w:sz="4" w:space="0" w:color="auto"/>
            </w:tcBorders>
            <w:shd w:val="clear" w:color="auto" w:fill="FFFFFF"/>
          </w:tcPr>
          <w:p w14:paraId="0A2832F4"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p>
        </w:tc>
        <w:tc>
          <w:tcPr>
            <w:tcW w:w="1347" w:type="dxa"/>
            <w:tcBorders>
              <w:top w:val="single" w:sz="4" w:space="0" w:color="auto"/>
            </w:tcBorders>
            <w:shd w:val="clear" w:color="auto" w:fill="FFFFFF"/>
          </w:tcPr>
          <w:p w14:paraId="43376B0B"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p>
        </w:tc>
      </w:tr>
      <w:tr w:rsidR="00703C9D" w:rsidRPr="004A792A" w14:paraId="4FF4C605" w14:textId="77777777" w:rsidTr="00703C9D">
        <w:tc>
          <w:tcPr>
            <w:tcW w:w="3676" w:type="dxa"/>
            <w:shd w:val="clear" w:color="auto" w:fill="FFFFFF"/>
          </w:tcPr>
          <w:p w14:paraId="1DC132EA" w14:textId="77777777" w:rsidR="00703C9D" w:rsidRPr="004A792A" w:rsidRDefault="00703C9D" w:rsidP="00703C9D">
            <w:pPr>
              <w:pStyle w:val="61"/>
              <w:shd w:val="clear" w:color="auto" w:fill="auto"/>
              <w:spacing w:line="240" w:lineRule="auto"/>
              <w:rPr>
                <w:rStyle w:val="12"/>
                <w:rFonts w:asciiTheme="minorHAnsi" w:hAnsiTheme="minorHAnsi" w:cstheme="minorHAnsi"/>
                <w:sz w:val="20"/>
                <w:szCs w:val="20"/>
              </w:rPr>
            </w:pPr>
            <w:r w:rsidRPr="004A792A">
              <w:rPr>
                <w:rStyle w:val="12"/>
                <w:rFonts w:asciiTheme="minorHAnsi" w:hAnsiTheme="minorHAnsi" w:cstheme="minorHAnsi"/>
                <w:sz w:val="20"/>
                <w:szCs w:val="20"/>
              </w:rPr>
              <w:t>Female-dominated specialization</w:t>
            </w:r>
          </w:p>
        </w:tc>
        <w:tc>
          <w:tcPr>
            <w:tcW w:w="1346" w:type="dxa"/>
            <w:shd w:val="clear" w:color="auto" w:fill="FFFFFF"/>
          </w:tcPr>
          <w:p w14:paraId="17CAF9E0"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65.3</w:t>
            </w:r>
          </w:p>
        </w:tc>
        <w:tc>
          <w:tcPr>
            <w:tcW w:w="1347" w:type="dxa"/>
            <w:shd w:val="clear" w:color="auto" w:fill="FFFFFF"/>
          </w:tcPr>
          <w:p w14:paraId="60E0C90F"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22.3</w:t>
            </w:r>
          </w:p>
        </w:tc>
        <w:tc>
          <w:tcPr>
            <w:tcW w:w="1346" w:type="dxa"/>
            <w:shd w:val="clear" w:color="auto" w:fill="FFFFFF"/>
          </w:tcPr>
          <w:p w14:paraId="2A8E379E"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4.6</w:t>
            </w:r>
          </w:p>
        </w:tc>
        <w:tc>
          <w:tcPr>
            <w:tcW w:w="1347" w:type="dxa"/>
            <w:shd w:val="clear" w:color="auto" w:fill="FFFFFF"/>
          </w:tcPr>
          <w:p w14:paraId="2CF862D8"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7.8</w:t>
            </w:r>
          </w:p>
        </w:tc>
      </w:tr>
      <w:tr w:rsidR="00703C9D" w:rsidRPr="004A792A" w14:paraId="46A7F8D6" w14:textId="77777777" w:rsidTr="00703C9D">
        <w:tc>
          <w:tcPr>
            <w:tcW w:w="3676" w:type="dxa"/>
            <w:shd w:val="clear" w:color="auto" w:fill="FFFFFF"/>
          </w:tcPr>
          <w:p w14:paraId="7C5D8794" w14:textId="77777777" w:rsidR="00703C9D" w:rsidRPr="004A792A" w:rsidRDefault="00703C9D" w:rsidP="00703C9D">
            <w:pPr>
              <w:pStyle w:val="61"/>
              <w:shd w:val="clear" w:color="auto" w:fill="auto"/>
              <w:spacing w:line="240" w:lineRule="auto"/>
              <w:rPr>
                <w:rStyle w:val="12"/>
                <w:rFonts w:asciiTheme="minorHAnsi" w:hAnsiTheme="minorHAnsi" w:cstheme="minorHAnsi"/>
                <w:sz w:val="20"/>
                <w:szCs w:val="20"/>
              </w:rPr>
            </w:pPr>
            <w:r w:rsidRPr="004A792A">
              <w:rPr>
                <w:rStyle w:val="12"/>
                <w:rFonts w:asciiTheme="minorHAnsi" w:hAnsiTheme="minorHAnsi" w:cstheme="minorHAnsi"/>
                <w:sz w:val="20"/>
                <w:szCs w:val="20"/>
              </w:rPr>
              <w:t>Mixed specialization</w:t>
            </w:r>
          </w:p>
        </w:tc>
        <w:tc>
          <w:tcPr>
            <w:tcW w:w="1346" w:type="dxa"/>
            <w:shd w:val="clear" w:color="auto" w:fill="FFFFFF"/>
          </w:tcPr>
          <w:p w14:paraId="2B2729D6"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57.6</w:t>
            </w:r>
          </w:p>
        </w:tc>
        <w:tc>
          <w:tcPr>
            <w:tcW w:w="1347" w:type="dxa"/>
            <w:shd w:val="clear" w:color="auto" w:fill="FFFFFF"/>
          </w:tcPr>
          <w:p w14:paraId="187CADF8"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25.9</w:t>
            </w:r>
          </w:p>
        </w:tc>
        <w:tc>
          <w:tcPr>
            <w:tcW w:w="1346" w:type="dxa"/>
            <w:shd w:val="clear" w:color="auto" w:fill="FFFFFF"/>
          </w:tcPr>
          <w:p w14:paraId="022AB18E"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6.9</w:t>
            </w:r>
          </w:p>
        </w:tc>
        <w:tc>
          <w:tcPr>
            <w:tcW w:w="1347" w:type="dxa"/>
            <w:shd w:val="clear" w:color="auto" w:fill="FFFFFF"/>
          </w:tcPr>
          <w:p w14:paraId="3AEA3960"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9.6</w:t>
            </w:r>
          </w:p>
        </w:tc>
      </w:tr>
      <w:tr w:rsidR="00703C9D" w:rsidRPr="004A792A" w14:paraId="6E06DE11" w14:textId="77777777" w:rsidTr="00703C9D">
        <w:tc>
          <w:tcPr>
            <w:tcW w:w="3676" w:type="dxa"/>
            <w:shd w:val="clear" w:color="auto" w:fill="FFFFFF"/>
          </w:tcPr>
          <w:p w14:paraId="3501F5DF" w14:textId="77777777" w:rsidR="00703C9D" w:rsidRPr="004A792A" w:rsidRDefault="00703C9D" w:rsidP="00703C9D">
            <w:pPr>
              <w:pStyle w:val="61"/>
              <w:shd w:val="clear" w:color="auto" w:fill="auto"/>
              <w:spacing w:line="240" w:lineRule="auto"/>
              <w:rPr>
                <w:rStyle w:val="12"/>
                <w:rFonts w:asciiTheme="minorHAnsi" w:hAnsiTheme="minorHAnsi" w:cstheme="minorHAnsi"/>
                <w:sz w:val="20"/>
                <w:szCs w:val="20"/>
              </w:rPr>
            </w:pPr>
            <w:r w:rsidRPr="004A792A">
              <w:rPr>
                <w:rStyle w:val="12"/>
                <w:rFonts w:asciiTheme="minorHAnsi" w:hAnsiTheme="minorHAnsi" w:cstheme="minorHAnsi"/>
                <w:sz w:val="20"/>
                <w:szCs w:val="20"/>
              </w:rPr>
              <w:t>Male-dominated specialization</w:t>
            </w:r>
          </w:p>
        </w:tc>
        <w:tc>
          <w:tcPr>
            <w:tcW w:w="1346" w:type="dxa"/>
            <w:shd w:val="clear" w:color="auto" w:fill="FFFFFF"/>
          </w:tcPr>
          <w:p w14:paraId="27423478"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31.3</w:t>
            </w:r>
          </w:p>
        </w:tc>
        <w:tc>
          <w:tcPr>
            <w:tcW w:w="1347" w:type="dxa"/>
            <w:shd w:val="clear" w:color="auto" w:fill="FFFFFF"/>
          </w:tcPr>
          <w:p w14:paraId="31E3ABDF"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48.1</w:t>
            </w:r>
          </w:p>
        </w:tc>
        <w:tc>
          <w:tcPr>
            <w:tcW w:w="1346" w:type="dxa"/>
            <w:shd w:val="clear" w:color="auto" w:fill="FFFFFF"/>
          </w:tcPr>
          <w:p w14:paraId="06456068"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8.5</w:t>
            </w:r>
          </w:p>
        </w:tc>
        <w:tc>
          <w:tcPr>
            <w:tcW w:w="1347" w:type="dxa"/>
            <w:shd w:val="clear" w:color="auto" w:fill="FFFFFF"/>
          </w:tcPr>
          <w:p w14:paraId="2E9039D1"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12.2</w:t>
            </w:r>
          </w:p>
        </w:tc>
      </w:tr>
      <w:tr w:rsidR="00703C9D" w:rsidRPr="004A792A" w14:paraId="3548E491" w14:textId="77777777" w:rsidTr="00703C9D">
        <w:tc>
          <w:tcPr>
            <w:tcW w:w="3676" w:type="dxa"/>
            <w:shd w:val="clear" w:color="auto" w:fill="FFFFFF"/>
          </w:tcPr>
          <w:p w14:paraId="18821589"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 xml:space="preserve">Elementary occupations and/or unspecified specialization </w:t>
            </w:r>
          </w:p>
        </w:tc>
        <w:tc>
          <w:tcPr>
            <w:tcW w:w="1346" w:type="dxa"/>
            <w:shd w:val="clear" w:color="auto" w:fill="FFFFFF"/>
          </w:tcPr>
          <w:p w14:paraId="5180D6DA"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56.7</w:t>
            </w:r>
          </w:p>
        </w:tc>
        <w:tc>
          <w:tcPr>
            <w:tcW w:w="1347" w:type="dxa"/>
            <w:shd w:val="clear" w:color="auto" w:fill="FFFFFF"/>
          </w:tcPr>
          <w:p w14:paraId="56BF37DE"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0.0</w:t>
            </w:r>
          </w:p>
        </w:tc>
        <w:tc>
          <w:tcPr>
            <w:tcW w:w="1346" w:type="dxa"/>
            <w:shd w:val="clear" w:color="auto" w:fill="FFFFFF"/>
          </w:tcPr>
          <w:p w14:paraId="00CF3537"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43.3</w:t>
            </w:r>
          </w:p>
        </w:tc>
        <w:tc>
          <w:tcPr>
            <w:tcW w:w="1347" w:type="dxa"/>
            <w:shd w:val="clear" w:color="auto" w:fill="FFFFFF"/>
          </w:tcPr>
          <w:p w14:paraId="2839323C"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0.0</w:t>
            </w:r>
          </w:p>
        </w:tc>
      </w:tr>
      <w:tr w:rsidR="00703C9D" w:rsidRPr="004A792A" w14:paraId="0E7BAB7A" w14:textId="77777777" w:rsidTr="00703C9D">
        <w:tc>
          <w:tcPr>
            <w:tcW w:w="3676" w:type="dxa"/>
            <w:shd w:val="clear" w:color="auto" w:fill="FFFFFF"/>
          </w:tcPr>
          <w:p w14:paraId="48755991" w14:textId="77777777" w:rsidR="00703C9D" w:rsidRPr="004A792A" w:rsidRDefault="00703C9D" w:rsidP="00703C9D">
            <w:pPr>
              <w:pStyle w:val="61"/>
              <w:shd w:val="clear" w:color="auto" w:fill="auto"/>
              <w:spacing w:line="240" w:lineRule="auto"/>
              <w:rPr>
                <w:rStyle w:val="12"/>
                <w:rFonts w:asciiTheme="minorHAnsi" w:hAnsiTheme="minorHAnsi" w:cstheme="minorHAnsi"/>
                <w:sz w:val="20"/>
                <w:szCs w:val="20"/>
              </w:rPr>
            </w:pPr>
            <w:r w:rsidRPr="004A792A">
              <w:rPr>
                <w:rStyle w:val="12"/>
                <w:rFonts w:asciiTheme="minorHAnsi" w:hAnsiTheme="minorHAnsi" w:cstheme="minorHAnsi"/>
                <w:sz w:val="20"/>
                <w:szCs w:val="20"/>
              </w:rPr>
              <w:t>Total</w:t>
            </w:r>
          </w:p>
        </w:tc>
        <w:tc>
          <w:tcPr>
            <w:tcW w:w="1346" w:type="dxa"/>
            <w:shd w:val="clear" w:color="auto" w:fill="FFFFFF"/>
          </w:tcPr>
          <w:p w14:paraId="58F9EB6D"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58.3</w:t>
            </w:r>
          </w:p>
        </w:tc>
        <w:tc>
          <w:tcPr>
            <w:tcW w:w="1347" w:type="dxa"/>
            <w:shd w:val="clear" w:color="auto" w:fill="FFFFFF"/>
          </w:tcPr>
          <w:p w14:paraId="06C98B5E"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18.3</w:t>
            </w:r>
          </w:p>
        </w:tc>
        <w:tc>
          <w:tcPr>
            <w:tcW w:w="1346" w:type="dxa"/>
            <w:shd w:val="clear" w:color="auto" w:fill="FFFFFF"/>
          </w:tcPr>
          <w:p w14:paraId="7CF455A9"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17.5</w:t>
            </w:r>
          </w:p>
        </w:tc>
        <w:tc>
          <w:tcPr>
            <w:tcW w:w="1347" w:type="dxa"/>
            <w:shd w:val="clear" w:color="auto" w:fill="FFFFFF"/>
          </w:tcPr>
          <w:p w14:paraId="44871D4B" w14:textId="77777777" w:rsidR="00703C9D" w:rsidRPr="004A792A" w:rsidRDefault="00703C9D" w:rsidP="00703C9D">
            <w:pPr>
              <w:pStyle w:val="61"/>
              <w:shd w:val="clear" w:color="auto" w:fill="auto"/>
              <w:spacing w:line="240" w:lineRule="auto"/>
              <w:jc w:val="center"/>
              <w:rPr>
                <w:rStyle w:val="12"/>
                <w:rFonts w:asciiTheme="minorHAnsi" w:hAnsiTheme="minorHAnsi" w:cstheme="minorHAnsi"/>
                <w:sz w:val="20"/>
                <w:szCs w:val="20"/>
              </w:rPr>
            </w:pPr>
            <w:r w:rsidRPr="004A792A">
              <w:rPr>
                <w:rStyle w:val="12"/>
                <w:rFonts w:asciiTheme="minorHAnsi" w:hAnsiTheme="minorHAnsi" w:cstheme="minorHAnsi"/>
                <w:sz w:val="20"/>
                <w:szCs w:val="20"/>
              </w:rPr>
              <w:t>5.9</w:t>
            </w:r>
          </w:p>
        </w:tc>
      </w:tr>
      <w:tr w:rsidR="00703C9D" w:rsidRPr="004A792A" w14:paraId="4FB7A1DF" w14:textId="77777777" w:rsidTr="00703C9D">
        <w:tc>
          <w:tcPr>
            <w:tcW w:w="3676" w:type="dxa"/>
            <w:tcBorders>
              <w:top w:val="single" w:sz="4" w:space="0" w:color="auto"/>
            </w:tcBorders>
            <w:shd w:val="clear" w:color="auto" w:fill="FFFFFF"/>
          </w:tcPr>
          <w:p w14:paraId="396E2A02" w14:textId="77777777" w:rsidR="00703C9D" w:rsidRPr="004A792A" w:rsidRDefault="00703C9D" w:rsidP="00703C9D">
            <w:pPr>
              <w:pStyle w:val="61"/>
              <w:shd w:val="clear" w:color="auto" w:fill="auto"/>
              <w:spacing w:line="240" w:lineRule="auto"/>
              <w:rPr>
                <w:rFonts w:asciiTheme="minorHAnsi" w:hAnsiTheme="minorHAnsi" w:cstheme="minorHAnsi"/>
                <w:b/>
                <w:sz w:val="20"/>
                <w:szCs w:val="20"/>
              </w:rPr>
            </w:pPr>
            <w:r w:rsidRPr="004A792A">
              <w:rPr>
                <w:rStyle w:val="12"/>
                <w:rFonts w:asciiTheme="minorHAnsi" w:hAnsiTheme="minorHAnsi" w:cstheme="minorHAnsi"/>
                <w:b/>
                <w:sz w:val="20"/>
                <w:szCs w:val="20"/>
              </w:rPr>
              <w:t>Men</w:t>
            </w:r>
          </w:p>
        </w:tc>
        <w:tc>
          <w:tcPr>
            <w:tcW w:w="1346" w:type="dxa"/>
            <w:tcBorders>
              <w:top w:val="single" w:sz="4" w:space="0" w:color="auto"/>
            </w:tcBorders>
            <w:shd w:val="clear" w:color="auto" w:fill="FFFFFF"/>
          </w:tcPr>
          <w:p w14:paraId="524E5B87" w14:textId="77777777" w:rsidR="00703C9D" w:rsidRPr="004A792A" w:rsidRDefault="00703C9D" w:rsidP="00703C9D">
            <w:pPr>
              <w:spacing w:before="0"/>
              <w:jc w:val="center"/>
              <w:rPr>
                <w:rFonts w:cstheme="minorHAnsi"/>
                <w:sz w:val="20"/>
                <w:szCs w:val="20"/>
                <w:lang w:val="en-US"/>
              </w:rPr>
            </w:pPr>
          </w:p>
        </w:tc>
        <w:tc>
          <w:tcPr>
            <w:tcW w:w="1347" w:type="dxa"/>
            <w:tcBorders>
              <w:top w:val="single" w:sz="4" w:space="0" w:color="auto"/>
            </w:tcBorders>
            <w:shd w:val="clear" w:color="auto" w:fill="FFFFFF"/>
          </w:tcPr>
          <w:p w14:paraId="231A2ADA" w14:textId="77777777" w:rsidR="00703C9D" w:rsidRPr="004A792A" w:rsidRDefault="00703C9D" w:rsidP="00703C9D">
            <w:pPr>
              <w:spacing w:before="0"/>
              <w:jc w:val="center"/>
              <w:rPr>
                <w:rFonts w:cstheme="minorHAnsi"/>
                <w:sz w:val="20"/>
                <w:szCs w:val="20"/>
                <w:lang w:val="en-US"/>
              </w:rPr>
            </w:pPr>
          </w:p>
        </w:tc>
        <w:tc>
          <w:tcPr>
            <w:tcW w:w="1346" w:type="dxa"/>
            <w:tcBorders>
              <w:top w:val="single" w:sz="4" w:space="0" w:color="auto"/>
            </w:tcBorders>
            <w:shd w:val="clear" w:color="auto" w:fill="FFFFFF"/>
          </w:tcPr>
          <w:p w14:paraId="3DEABABF" w14:textId="77777777" w:rsidR="00703C9D" w:rsidRPr="004A792A" w:rsidRDefault="00703C9D" w:rsidP="00703C9D">
            <w:pPr>
              <w:spacing w:before="0"/>
              <w:jc w:val="center"/>
              <w:rPr>
                <w:rFonts w:cstheme="minorHAnsi"/>
                <w:sz w:val="20"/>
                <w:szCs w:val="20"/>
                <w:lang w:val="en-US"/>
              </w:rPr>
            </w:pPr>
          </w:p>
        </w:tc>
        <w:tc>
          <w:tcPr>
            <w:tcW w:w="1347" w:type="dxa"/>
            <w:tcBorders>
              <w:top w:val="single" w:sz="4" w:space="0" w:color="auto"/>
            </w:tcBorders>
            <w:shd w:val="clear" w:color="auto" w:fill="FFFFFF"/>
          </w:tcPr>
          <w:p w14:paraId="710B0B26" w14:textId="77777777" w:rsidR="00703C9D" w:rsidRPr="004A792A" w:rsidRDefault="00703C9D" w:rsidP="00703C9D">
            <w:pPr>
              <w:spacing w:before="0"/>
              <w:jc w:val="center"/>
              <w:rPr>
                <w:rFonts w:cstheme="minorHAnsi"/>
                <w:sz w:val="20"/>
                <w:szCs w:val="20"/>
                <w:lang w:val="en-US"/>
              </w:rPr>
            </w:pPr>
          </w:p>
        </w:tc>
      </w:tr>
      <w:tr w:rsidR="00703C9D" w:rsidRPr="004A792A" w14:paraId="6CA59525" w14:textId="77777777" w:rsidTr="00703C9D">
        <w:tc>
          <w:tcPr>
            <w:tcW w:w="3676" w:type="dxa"/>
            <w:shd w:val="clear" w:color="auto" w:fill="FFFFFF"/>
          </w:tcPr>
          <w:p w14:paraId="52C9C599"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Female-dominated specialization</w:t>
            </w:r>
          </w:p>
        </w:tc>
        <w:tc>
          <w:tcPr>
            <w:tcW w:w="1346" w:type="dxa"/>
            <w:shd w:val="clear" w:color="auto" w:fill="FFFFFF"/>
          </w:tcPr>
          <w:p w14:paraId="21AE5367"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47.8</w:t>
            </w:r>
          </w:p>
        </w:tc>
        <w:tc>
          <w:tcPr>
            <w:tcW w:w="1347" w:type="dxa"/>
            <w:shd w:val="clear" w:color="auto" w:fill="FFFFFF"/>
          </w:tcPr>
          <w:p w14:paraId="37C26192"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34.1</w:t>
            </w:r>
          </w:p>
        </w:tc>
        <w:tc>
          <w:tcPr>
            <w:tcW w:w="1346" w:type="dxa"/>
            <w:shd w:val="clear" w:color="auto" w:fill="FFFFFF"/>
          </w:tcPr>
          <w:p w14:paraId="3725FEFF"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9.0</w:t>
            </w:r>
          </w:p>
        </w:tc>
        <w:tc>
          <w:tcPr>
            <w:tcW w:w="1347" w:type="dxa"/>
            <w:shd w:val="clear" w:color="auto" w:fill="FFFFFF"/>
          </w:tcPr>
          <w:p w14:paraId="47B45820"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9.1</w:t>
            </w:r>
          </w:p>
        </w:tc>
      </w:tr>
      <w:tr w:rsidR="00703C9D" w:rsidRPr="004A792A" w14:paraId="23649F18" w14:textId="77777777" w:rsidTr="00703C9D">
        <w:tc>
          <w:tcPr>
            <w:tcW w:w="3676" w:type="dxa"/>
            <w:shd w:val="clear" w:color="auto" w:fill="FFFFFF"/>
          </w:tcPr>
          <w:p w14:paraId="27579E42"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Mixed specialization</w:t>
            </w:r>
          </w:p>
        </w:tc>
        <w:tc>
          <w:tcPr>
            <w:tcW w:w="1346" w:type="dxa"/>
            <w:shd w:val="clear" w:color="auto" w:fill="FFFFFF"/>
          </w:tcPr>
          <w:p w14:paraId="675F2084"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63.9</w:t>
            </w:r>
          </w:p>
        </w:tc>
        <w:tc>
          <w:tcPr>
            <w:tcW w:w="1347" w:type="dxa"/>
            <w:shd w:val="clear" w:color="auto" w:fill="FFFFFF"/>
          </w:tcPr>
          <w:p w14:paraId="476F604A"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24.7</w:t>
            </w:r>
          </w:p>
        </w:tc>
        <w:tc>
          <w:tcPr>
            <w:tcW w:w="1346" w:type="dxa"/>
            <w:shd w:val="clear" w:color="auto" w:fill="FFFFFF"/>
          </w:tcPr>
          <w:p w14:paraId="16CDC5C9"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6.7</w:t>
            </w:r>
          </w:p>
        </w:tc>
        <w:tc>
          <w:tcPr>
            <w:tcW w:w="1347" w:type="dxa"/>
            <w:shd w:val="clear" w:color="auto" w:fill="FFFFFF"/>
          </w:tcPr>
          <w:p w14:paraId="6F296DC2"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4.7</w:t>
            </w:r>
          </w:p>
        </w:tc>
      </w:tr>
      <w:tr w:rsidR="00703C9D" w:rsidRPr="004A792A" w14:paraId="48535532" w14:textId="77777777" w:rsidTr="00703C9D">
        <w:tc>
          <w:tcPr>
            <w:tcW w:w="3676" w:type="dxa"/>
            <w:shd w:val="clear" w:color="auto" w:fill="FFFFFF"/>
          </w:tcPr>
          <w:p w14:paraId="663819AF"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Male-dominated specialization</w:t>
            </w:r>
          </w:p>
        </w:tc>
        <w:tc>
          <w:tcPr>
            <w:tcW w:w="1346" w:type="dxa"/>
            <w:shd w:val="clear" w:color="auto" w:fill="FFFFFF"/>
          </w:tcPr>
          <w:p w14:paraId="113E30BC"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42.5</w:t>
            </w:r>
          </w:p>
        </w:tc>
        <w:tc>
          <w:tcPr>
            <w:tcW w:w="1347" w:type="dxa"/>
            <w:shd w:val="clear" w:color="auto" w:fill="FFFFFF"/>
          </w:tcPr>
          <w:p w14:paraId="19E04DD4"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36.9</w:t>
            </w:r>
          </w:p>
        </w:tc>
        <w:tc>
          <w:tcPr>
            <w:tcW w:w="1346" w:type="dxa"/>
            <w:shd w:val="clear" w:color="auto" w:fill="FFFFFF"/>
          </w:tcPr>
          <w:p w14:paraId="4D1673F7"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7.4</w:t>
            </w:r>
          </w:p>
        </w:tc>
        <w:tc>
          <w:tcPr>
            <w:tcW w:w="1347" w:type="dxa"/>
            <w:shd w:val="clear" w:color="auto" w:fill="FFFFFF"/>
          </w:tcPr>
          <w:p w14:paraId="716B9C2D"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13.2</w:t>
            </w:r>
          </w:p>
        </w:tc>
      </w:tr>
      <w:tr w:rsidR="00703C9D" w:rsidRPr="004A792A" w14:paraId="447E99CF" w14:textId="77777777" w:rsidTr="00703C9D">
        <w:tc>
          <w:tcPr>
            <w:tcW w:w="3676" w:type="dxa"/>
            <w:shd w:val="clear" w:color="auto" w:fill="FFFFFF"/>
          </w:tcPr>
          <w:p w14:paraId="3FF839E7"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Elementary occupations and/or</w:t>
            </w:r>
          </w:p>
        </w:tc>
        <w:tc>
          <w:tcPr>
            <w:tcW w:w="1346" w:type="dxa"/>
            <w:shd w:val="clear" w:color="auto" w:fill="FFFFFF"/>
          </w:tcPr>
          <w:p w14:paraId="30D22B7C"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46.2</w:t>
            </w:r>
          </w:p>
        </w:tc>
        <w:tc>
          <w:tcPr>
            <w:tcW w:w="1347" w:type="dxa"/>
            <w:shd w:val="clear" w:color="auto" w:fill="FFFFFF"/>
          </w:tcPr>
          <w:p w14:paraId="09DB025A"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0.0</w:t>
            </w:r>
          </w:p>
        </w:tc>
        <w:tc>
          <w:tcPr>
            <w:tcW w:w="1346" w:type="dxa"/>
            <w:shd w:val="clear" w:color="auto" w:fill="FFFFFF"/>
          </w:tcPr>
          <w:p w14:paraId="31F5E30E"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53.8</w:t>
            </w:r>
          </w:p>
        </w:tc>
        <w:tc>
          <w:tcPr>
            <w:tcW w:w="1347" w:type="dxa"/>
            <w:shd w:val="clear" w:color="auto" w:fill="FFFFFF"/>
          </w:tcPr>
          <w:p w14:paraId="411457F1"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0.0</w:t>
            </w:r>
          </w:p>
        </w:tc>
      </w:tr>
      <w:tr w:rsidR="00703C9D" w:rsidRPr="004A792A" w14:paraId="0A1AE34E" w14:textId="77777777" w:rsidTr="00703C9D">
        <w:tc>
          <w:tcPr>
            <w:tcW w:w="3676" w:type="dxa"/>
            <w:shd w:val="clear" w:color="auto" w:fill="FFFFFF"/>
          </w:tcPr>
          <w:p w14:paraId="47DF6B32"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unspecified specialization</w:t>
            </w:r>
          </w:p>
        </w:tc>
        <w:tc>
          <w:tcPr>
            <w:tcW w:w="1346" w:type="dxa"/>
            <w:shd w:val="clear" w:color="auto" w:fill="FFFFFF"/>
          </w:tcPr>
          <w:p w14:paraId="61204490" w14:textId="77777777" w:rsidR="00703C9D" w:rsidRPr="004A792A" w:rsidRDefault="00703C9D" w:rsidP="00703C9D">
            <w:pPr>
              <w:spacing w:before="0"/>
              <w:jc w:val="center"/>
              <w:rPr>
                <w:rFonts w:cstheme="minorHAnsi"/>
                <w:sz w:val="20"/>
                <w:szCs w:val="20"/>
                <w:lang w:val="en-US"/>
              </w:rPr>
            </w:pPr>
          </w:p>
        </w:tc>
        <w:tc>
          <w:tcPr>
            <w:tcW w:w="1347" w:type="dxa"/>
            <w:shd w:val="clear" w:color="auto" w:fill="FFFFFF"/>
          </w:tcPr>
          <w:p w14:paraId="2DF33BA1" w14:textId="77777777" w:rsidR="00703C9D" w:rsidRPr="004A792A" w:rsidRDefault="00703C9D" w:rsidP="00703C9D">
            <w:pPr>
              <w:spacing w:before="0"/>
              <w:jc w:val="center"/>
              <w:rPr>
                <w:rFonts w:cstheme="minorHAnsi"/>
                <w:sz w:val="20"/>
                <w:szCs w:val="20"/>
                <w:lang w:val="en-US"/>
              </w:rPr>
            </w:pPr>
          </w:p>
        </w:tc>
        <w:tc>
          <w:tcPr>
            <w:tcW w:w="1346" w:type="dxa"/>
            <w:shd w:val="clear" w:color="auto" w:fill="FFFFFF"/>
          </w:tcPr>
          <w:p w14:paraId="674357DE" w14:textId="77777777" w:rsidR="00703C9D" w:rsidRPr="004A792A" w:rsidRDefault="00703C9D" w:rsidP="00703C9D">
            <w:pPr>
              <w:spacing w:before="0"/>
              <w:jc w:val="center"/>
              <w:rPr>
                <w:rFonts w:cstheme="minorHAnsi"/>
                <w:sz w:val="20"/>
                <w:szCs w:val="20"/>
                <w:lang w:val="en-US"/>
              </w:rPr>
            </w:pPr>
          </w:p>
        </w:tc>
        <w:tc>
          <w:tcPr>
            <w:tcW w:w="1347" w:type="dxa"/>
            <w:shd w:val="clear" w:color="auto" w:fill="FFFFFF"/>
          </w:tcPr>
          <w:p w14:paraId="1D8ECB53" w14:textId="77777777" w:rsidR="00703C9D" w:rsidRPr="004A792A" w:rsidRDefault="00703C9D" w:rsidP="00703C9D">
            <w:pPr>
              <w:spacing w:before="0"/>
              <w:jc w:val="center"/>
              <w:rPr>
                <w:rFonts w:cstheme="minorHAnsi"/>
                <w:sz w:val="20"/>
                <w:szCs w:val="20"/>
                <w:lang w:val="en-US"/>
              </w:rPr>
            </w:pPr>
          </w:p>
        </w:tc>
      </w:tr>
      <w:tr w:rsidR="00703C9D" w:rsidRPr="004A792A" w14:paraId="5DF5BB5B" w14:textId="77777777" w:rsidTr="00703C9D">
        <w:tc>
          <w:tcPr>
            <w:tcW w:w="3676" w:type="dxa"/>
            <w:tcBorders>
              <w:bottom w:val="single" w:sz="4" w:space="0" w:color="auto"/>
            </w:tcBorders>
            <w:shd w:val="clear" w:color="auto" w:fill="FFFFFF"/>
          </w:tcPr>
          <w:p w14:paraId="448EEAFF" w14:textId="77777777" w:rsidR="00703C9D" w:rsidRPr="004A792A" w:rsidRDefault="00703C9D" w:rsidP="00703C9D">
            <w:pPr>
              <w:pStyle w:val="61"/>
              <w:shd w:val="clear" w:color="auto" w:fill="auto"/>
              <w:spacing w:line="240" w:lineRule="auto"/>
              <w:rPr>
                <w:rFonts w:asciiTheme="minorHAnsi" w:hAnsiTheme="minorHAnsi" w:cstheme="minorHAnsi"/>
                <w:sz w:val="20"/>
                <w:szCs w:val="20"/>
              </w:rPr>
            </w:pPr>
            <w:r w:rsidRPr="004A792A">
              <w:rPr>
                <w:rStyle w:val="12"/>
                <w:rFonts w:asciiTheme="minorHAnsi" w:hAnsiTheme="minorHAnsi" w:cstheme="minorHAnsi"/>
                <w:sz w:val="20"/>
                <w:szCs w:val="20"/>
              </w:rPr>
              <w:t>Total</w:t>
            </w:r>
          </w:p>
        </w:tc>
        <w:tc>
          <w:tcPr>
            <w:tcW w:w="1346" w:type="dxa"/>
            <w:tcBorders>
              <w:bottom w:val="single" w:sz="4" w:space="0" w:color="auto"/>
            </w:tcBorders>
            <w:shd w:val="clear" w:color="auto" w:fill="FFFFFF"/>
          </w:tcPr>
          <w:p w14:paraId="39DA134D"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45.9</w:t>
            </w:r>
          </w:p>
        </w:tc>
        <w:tc>
          <w:tcPr>
            <w:tcW w:w="1347" w:type="dxa"/>
            <w:tcBorders>
              <w:bottom w:val="single" w:sz="4" w:space="0" w:color="auto"/>
            </w:tcBorders>
            <w:shd w:val="clear" w:color="auto" w:fill="FFFFFF"/>
          </w:tcPr>
          <w:p w14:paraId="7E234291"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24.3</w:t>
            </w:r>
          </w:p>
        </w:tc>
        <w:tc>
          <w:tcPr>
            <w:tcW w:w="1346" w:type="dxa"/>
            <w:tcBorders>
              <w:bottom w:val="single" w:sz="4" w:space="0" w:color="auto"/>
            </w:tcBorders>
            <w:shd w:val="clear" w:color="auto" w:fill="FFFFFF"/>
          </w:tcPr>
          <w:p w14:paraId="29BDAD76"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21.8</w:t>
            </w:r>
          </w:p>
        </w:tc>
        <w:tc>
          <w:tcPr>
            <w:tcW w:w="1347" w:type="dxa"/>
            <w:tcBorders>
              <w:bottom w:val="single" w:sz="4" w:space="0" w:color="auto"/>
            </w:tcBorders>
            <w:shd w:val="clear" w:color="auto" w:fill="FFFFFF"/>
          </w:tcPr>
          <w:p w14:paraId="6CB45A36" w14:textId="77777777" w:rsidR="00703C9D" w:rsidRPr="004A792A" w:rsidRDefault="00703C9D" w:rsidP="00703C9D">
            <w:pPr>
              <w:pStyle w:val="61"/>
              <w:shd w:val="clear" w:color="auto" w:fill="auto"/>
              <w:spacing w:line="240" w:lineRule="auto"/>
              <w:jc w:val="center"/>
              <w:rPr>
                <w:rFonts w:asciiTheme="minorHAnsi" w:hAnsiTheme="minorHAnsi" w:cstheme="minorHAnsi"/>
                <w:sz w:val="20"/>
                <w:szCs w:val="20"/>
              </w:rPr>
            </w:pPr>
            <w:r w:rsidRPr="004A792A">
              <w:rPr>
                <w:rStyle w:val="12"/>
                <w:rFonts w:asciiTheme="minorHAnsi" w:hAnsiTheme="minorHAnsi" w:cstheme="minorHAnsi"/>
                <w:sz w:val="20"/>
                <w:szCs w:val="20"/>
              </w:rPr>
              <w:t>8.0</w:t>
            </w:r>
          </w:p>
        </w:tc>
      </w:tr>
    </w:tbl>
    <w:p w14:paraId="37218812" w14:textId="77777777" w:rsidR="00AE2059" w:rsidRPr="004A792A" w:rsidRDefault="00AE2059" w:rsidP="001305D2">
      <w:pPr>
        <w:pStyle w:val="aff4"/>
        <w:shd w:val="clear" w:color="auto" w:fill="auto"/>
        <w:spacing w:before="120" w:line="240" w:lineRule="auto"/>
        <w:jc w:val="both"/>
        <w:rPr>
          <w:sz w:val="20"/>
          <w:szCs w:val="20"/>
        </w:rPr>
      </w:pPr>
      <w:r w:rsidRPr="004A792A">
        <w:rPr>
          <w:sz w:val="20"/>
          <w:szCs w:val="20"/>
        </w:rPr>
        <w:t xml:space="preserve">Note: The answers to the question about correspondence in the LFS questionnaire are "Yes, corresponds", "No, it's lower", "No, it's higher" and "Equivalent, but unrelated". Specialization is defined as female-dominated if the average share of employed women reporting about this field of studies in 2014-2016 was 60 percent or more; </w:t>
      </w:r>
      <w:r w:rsidR="00DD341C" w:rsidRPr="004A792A">
        <w:rPr>
          <w:sz w:val="20"/>
          <w:szCs w:val="20"/>
        </w:rPr>
        <w:t>s</w:t>
      </w:r>
      <w:r w:rsidRPr="004A792A">
        <w:rPr>
          <w:sz w:val="20"/>
          <w:szCs w:val="20"/>
        </w:rPr>
        <w:t>pecialization is defined as male-dominated if the average share of employed women reporting about this field of studies in 2014-2016 was 40 percent or less; specialization with female share between 40 and 60 percent is classified as mixed. Classification is based on 2-digit ISCO-based fields of studies. Observations with missing information about the field of studies are group</w:t>
      </w:r>
      <w:r w:rsidR="00DD341C" w:rsidRPr="004A792A">
        <w:rPr>
          <w:sz w:val="20"/>
          <w:szCs w:val="20"/>
        </w:rPr>
        <w:t>ed</w:t>
      </w:r>
      <w:r w:rsidRPr="004A792A">
        <w:rPr>
          <w:sz w:val="20"/>
          <w:szCs w:val="20"/>
        </w:rPr>
        <w:t xml:space="preserve"> into "Elementary occupations and/or unspecified specialization".</w:t>
      </w:r>
    </w:p>
    <w:p w14:paraId="1C6DF79A" w14:textId="77777777" w:rsidR="00D8417D" w:rsidRDefault="00D8417D" w:rsidP="007E20B1">
      <w:pPr>
        <w:pStyle w:val="61"/>
        <w:shd w:val="clear" w:color="auto" w:fill="auto"/>
        <w:spacing w:before="120" w:line="240" w:lineRule="auto"/>
        <w:jc w:val="both"/>
        <w:rPr>
          <w:color w:val="000000"/>
          <w:sz w:val="22"/>
          <w:szCs w:val="22"/>
        </w:rPr>
      </w:pPr>
    </w:p>
    <w:p w14:paraId="41C09959" w14:textId="1268FD29" w:rsidR="007E20B1" w:rsidRPr="004A792A" w:rsidRDefault="00FF4959" w:rsidP="007E20B1">
      <w:pPr>
        <w:pStyle w:val="61"/>
        <w:shd w:val="clear" w:color="auto" w:fill="auto"/>
        <w:spacing w:before="120" w:line="240" w:lineRule="auto"/>
        <w:jc w:val="both"/>
        <w:rPr>
          <w:sz w:val="22"/>
          <w:szCs w:val="22"/>
        </w:rPr>
      </w:pPr>
      <w:r w:rsidRPr="00FF4959">
        <w:rPr>
          <w:b/>
          <w:color w:val="000000"/>
          <w:sz w:val="22"/>
          <w:szCs w:val="22"/>
        </w:rPr>
        <w:t>B</w:t>
      </w:r>
      <w:r w:rsidR="007E20B1" w:rsidRPr="00FF4959">
        <w:rPr>
          <w:b/>
          <w:color w:val="000000"/>
          <w:sz w:val="22"/>
          <w:szCs w:val="22"/>
        </w:rPr>
        <w:t xml:space="preserve">oth men and women with education in male-dominated specializations often suffer from a high </w:t>
      </w:r>
      <w:r w:rsidR="007E20B1" w:rsidRPr="00FF4959">
        <w:rPr>
          <w:b/>
          <w:color w:val="000000"/>
          <w:sz w:val="22"/>
          <w:szCs w:val="22"/>
        </w:rPr>
        <w:lastRenderedPageBreak/>
        <w:t>degree of horizontal mismatch, i.e. a situation when the field of studies is not related to the perfor</w:t>
      </w:r>
      <w:r w:rsidR="007E20B1" w:rsidRPr="00FF4959">
        <w:rPr>
          <w:b/>
          <w:sz w:val="22"/>
          <w:szCs w:val="22"/>
        </w:rPr>
        <w:t>med job</w:t>
      </w:r>
      <w:r>
        <w:rPr>
          <w:b/>
          <w:sz w:val="22"/>
          <w:szCs w:val="22"/>
        </w:rPr>
        <w:t xml:space="preserve"> </w:t>
      </w:r>
      <w:r w:rsidRPr="004A792A">
        <w:rPr>
          <w:color w:val="000000"/>
          <w:sz w:val="22"/>
          <w:szCs w:val="22"/>
        </w:rPr>
        <w:t>(</w:t>
      </w:r>
      <w:r w:rsidRPr="004A792A">
        <w:rPr>
          <w:color w:val="000000"/>
          <w:sz w:val="22"/>
          <w:szCs w:val="22"/>
        </w:rPr>
        <w:fldChar w:fldCharType="begin"/>
      </w:r>
      <w:r w:rsidRPr="004A792A">
        <w:rPr>
          <w:color w:val="000000"/>
          <w:sz w:val="22"/>
          <w:szCs w:val="22"/>
        </w:rPr>
        <w:instrText xml:space="preserve"> REF _Ref519158835 \h  \* MERGEFORMAT </w:instrText>
      </w:r>
      <w:r w:rsidRPr="004A792A">
        <w:rPr>
          <w:color w:val="000000"/>
          <w:sz w:val="22"/>
          <w:szCs w:val="22"/>
        </w:rPr>
      </w:r>
      <w:r w:rsidRPr="004A792A">
        <w:rPr>
          <w:color w:val="000000"/>
          <w:sz w:val="22"/>
          <w:szCs w:val="22"/>
        </w:rPr>
        <w:fldChar w:fldCharType="separate"/>
      </w:r>
      <w:r w:rsidRPr="00206AA9">
        <w:rPr>
          <w:sz w:val="22"/>
          <w:szCs w:val="22"/>
        </w:rPr>
        <w:t xml:space="preserve">Table </w:t>
      </w:r>
      <w:r w:rsidRPr="00206AA9">
        <w:rPr>
          <w:noProof/>
          <w:sz w:val="22"/>
          <w:szCs w:val="22"/>
        </w:rPr>
        <w:t>3</w:t>
      </w:r>
      <w:r w:rsidRPr="004A792A">
        <w:rPr>
          <w:color w:val="000000"/>
          <w:sz w:val="22"/>
          <w:szCs w:val="22"/>
        </w:rPr>
        <w:fldChar w:fldCharType="end"/>
      </w:r>
      <w:r w:rsidRPr="004A792A">
        <w:rPr>
          <w:color w:val="000000"/>
          <w:sz w:val="22"/>
          <w:szCs w:val="22"/>
        </w:rPr>
        <w:t>)</w:t>
      </w:r>
      <w:r w:rsidR="007E20B1" w:rsidRPr="004A792A">
        <w:rPr>
          <w:sz w:val="22"/>
          <w:szCs w:val="22"/>
        </w:rPr>
        <w:t xml:space="preserve">. This implies that the education and training system does not respond adequately to declining labor demand in male-dominated occupations. Alternatively, it may be an indicator of mismatch for older workers who acquired their professions many years ago and then their diplomas have become obsolete due to </w:t>
      </w:r>
      <w:r w:rsidR="00D8417D">
        <w:rPr>
          <w:sz w:val="22"/>
          <w:szCs w:val="22"/>
        </w:rPr>
        <w:t xml:space="preserve">the </w:t>
      </w:r>
      <w:r w:rsidR="007E20B1" w:rsidRPr="004A792A">
        <w:rPr>
          <w:sz w:val="22"/>
          <w:szCs w:val="22"/>
        </w:rPr>
        <w:t>restructuring of the Moldovan economy and employment in the 1990-2000s.</w:t>
      </w:r>
    </w:p>
    <w:p w14:paraId="14C7D356" w14:textId="3A0BF57C" w:rsidR="00715B28" w:rsidRPr="004A792A" w:rsidRDefault="00FF4959" w:rsidP="00715B28">
      <w:pPr>
        <w:pStyle w:val="61"/>
        <w:shd w:val="clear" w:color="auto" w:fill="auto"/>
        <w:spacing w:before="120" w:line="240" w:lineRule="auto"/>
        <w:jc w:val="both"/>
        <w:rPr>
          <w:color w:val="000000"/>
          <w:sz w:val="22"/>
          <w:szCs w:val="22"/>
        </w:rPr>
      </w:pPr>
      <w:r>
        <w:rPr>
          <w:b/>
          <w:color w:val="000000"/>
          <w:sz w:val="22"/>
          <w:szCs w:val="22"/>
        </w:rPr>
        <w:t xml:space="preserve">Overall, </w:t>
      </w:r>
      <w:r w:rsidR="00715B28" w:rsidRPr="00FF4959">
        <w:rPr>
          <w:b/>
          <w:color w:val="000000"/>
          <w:sz w:val="22"/>
          <w:szCs w:val="22"/>
        </w:rPr>
        <w:t>employed men are more likely to be mismatched than women, both vertically and horizontally</w:t>
      </w:r>
      <w:r w:rsidR="006129FF" w:rsidRPr="004A792A">
        <w:rPr>
          <w:color w:val="000000"/>
          <w:sz w:val="22"/>
          <w:szCs w:val="22"/>
        </w:rPr>
        <w:t xml:space="preserve"> (</w:t>
      </w:r>
      <w:r w:rsidR="006129FF" w:rsidRPr="004A792A">
        <w:rPr>
          <w:color w:val="000000"/>
          <w:sz w:val="22"/>
          <w:szCs w:val="22"/>
        </w:rPr>
        <w:fldChar w:fldCharType="begin"/>
      </w:r>
      <w:r w:rsidR="006129FF" w:rsidRPr="004A792A">
        <w:rPr>
          <w:color w:val="000000"/>
          <w:sz w:val="22"/>
          <w:szCs w:val="22"/>
        </w:rPr>
        <w:instrText xml:space="preserve"> REF _Ref519158835 \h  \* MERGEFORMAT </w:instrText>
      </w:r>
      <w:r w:rsidR="006129FF" w:rsidRPr="004A792A">
        <w:rPr>
          <w:color w:val="000000"/>
          <w:sz w:val="22"/>
          <w:szCs w:val="22"/>
        </w:rPr>
      </w:r>
      <w:r w:rsidR="006129FF" w:rsidRPr="004A792A">
        <w:rPr>
          <w:color w:val="000000"/>
          <w:sz w:val="22"/>
          <w:szCs w:val="22"/>
        </w:rPr>
        <w:fldChar w:fldCharType="separate"/>
      </w:r>
      <w:r w:rsidRPr="00FF4959">
        <w:rPr>
          <w:sz w:val="22"/>
          <w:szCs w:val="22"/>
        </w:rPr>
        <w:t xml:space="preserve">Table </w:t>
      </w:r>
      <w:r w:rsidRPr="00FF4959">
        <w:rPr>
          <w:noProof/>
          <w:sz w:val="22"/>
          <w:szCs w:val="22"/>
        </w:rPr>
        <w:t>3</w:t>
      </w:r>
      <w:r w:rsidR="006129FF" w:rsidRPr="004A792A">
        <w:rPr>
          <w:color w:val="000000"/>
          <w:sz w:val="22"/>
          <w:szCs w:val="22"/>
        </w:rPr>
        <w:fldChar w:fldCharType="end"/>
      </w:r>
      <w:r w:rsidR="006129FF" w:rsidRPr="004A792A">
        <w:rPr>
          <w:color w:val="000000"/>
          <w:sz w:val="22"/>
          <w:szCs w:val="22"/>
        </w:rPr>
        <w:t>; NBS, 2017)</w:t>
      </w:r>
      <w:r w:rsidR="00715B28" w:rsidRPr="004A792A">
        <w:rPr>
          <w:color w:val="000000"/>
          <w:sz w:val="22"/>
          <w:szCs w:val="22"/>
        </w:rPr>
        <w:t>. This suggests that if educated women do find employment in Moldova, their opportunities to exercise knowledge and skills in the local labor market are not more limited than for men. The next chapters shed more light on the impact of children on labor market decisions of Moldovan women and the drivers of persistent gender wage gap</w:t>
      </w:r>
      <w:r w:rsidR="00704A89" w:rsidRPr="004A792A">
        <w:rPr>
          <w:color w:val="000000"/>
          <w:sz w:val="22"/>
          <w:szCs w:val="22"/>
        </w:rPr>
        <w:t>s</w:t>
      </w:r>
      <w:r w:rsidR="00715B28" w:rsidRPr="004A792A">
        <w:rPr>
          <w:color w:val="000000"/>
          <w:sz w:val="22"/>
          <w:szCs w:val="22"/>
        </w:rPr>
        <w:t xml:space="preserve"> despite higher educational attainment of women and their relatively better match to jobs.</w:t>
      </w:r>
    </w:p>
    <w:p w14:paraId="51034237" w14:textId="3F977C43" w:rsidR="00F8248E" w:rsidRPr="004A792A" w:rsidRDefault="00F8248E" w:rsidP="00F8248E">
      <w:pPr>
        <w:pStyle w:val="Headingoverview"/>
        <w:rPr>
          <w:color w:val="0070C0"/>
        </w:rPr>
      </w:pPr>
      <w:bookmarkStart w:id="63" w:name="_Toc533211735"/>
      <w:r w:rsidRPr="004A792A">
        <w:rPr>
          <w:color w:val="0070C0"/>
        </w:rPr>
        <w:lastRenderedPageBreak/>
        <w:t>3. The impact of children on labor force participation and employment</w:t>
      </w:r>
      <w:r w:rsidR="00A8271D">
        <w:rPr>
          <w:color w:val="0070C0"/>
        </w:rPr>
        <w:t xml:space="preserve"> of women and men</w:t>
      </w:r>
      <w:bookmarkEnd w:id="63"/>
    </w:p>
    <w:p w14:paraId="2064DB4B" w14:textId="5F4EE0B6" w:rsidR="002D375A" w:rsidRPr="002D375A" w:rsidRDefault="002D375A" w:rsidP="002D375A">
      <w:pPr>
        <w:pStyle w:val="2"/>
        <w:numPr>
          <w:ilvl w:val="0"/>
          <w:numId w:val="0"/>
        </w:numPr>
        <w:spacing w:before="360"/>
        <w:rPr>
          <w:color w:val="0070C0"/>
          <w:sz w:val="32"/>
          <w:szCs w:val="32"/>
        </w:rPr>
      </w:pPr>
      <w:bookmarkStart w:id="64" w:name="_Toc533211736"/>
      <w:r w:rsidRPr="004A792A">
        <w:rPr>
          <w:color w:val="0070C0"/>
          <w:sz w:val="32"/>
          <w:szCs w:val="32"/>
        </w:rPr>
        <w:t xml:space="preserve">3.1. </w:t>
      </w:r>
      <w:r>
        <w:rPr>
          <w:color w:val="0070C0"/>
          <w:sz w:val="32"/>
          <w:szCs w:val="32"/>
        </w:rPr>
        <w:t>G</w:t>
      </w:r>
      <w:r w:rsidRPr="002D375A">
        <w:rPr>
          <w:color w:val="0070C0"/>
          <w:sz w:val="32"/>
          <w:szCs w:val="32"/>
        </w:rPr>
        <w:t>ender inequalities in the amount of time spent on unpaid care activities</w:t>
      </w:r>
      <w:bookmarkEnd w:id="64"/>
    </w:p>
    <w:p w14:paraId="7AB27DA8" w14:textId="099B560E" w:rsidR="00E6323D" w:rsidRPr="004A792A" w:rsidRDefault="00E82C12" w:rsidP="00E6323D">
      <w:pPr>
        <w:pStyle w:val="a"/>
        <w:numPr>
          <w:ilvl w:val="0"/>
          <w:numId w:val="0"/>
        </w:numPr>
      </w:pPr>
      <w:r w:rsidRPr="00A8271D">
        <w:rPr>
          <w:b/>
        </w:rPr>
        <w:t>The persistent gender gaps in labor force participation</w:t>
      </w:r>
      <w:r w:rsidRPr="00A8271D">
        <w:rPr>
          <w:rFonts w:cs="Times New Roman"/>
          <w:b/>
          <w:color w:val="000000"/>
        </w:rPr>
        <w:t xml:space="preserve"> and other labor market outcomes, d</w:t>
      </w:r>
      <w:r w:rsidR="008E3AEC" w:rsidRPr="00A8271D">
        <w:rPr>
          <w:rFonts w:cs="Times New Roman"/>
          <w:b/>
          <w:color w:val="000000"/>
        </w:rPr>
        <w:t xml:space="preserve">espite </w:t>
      </w:r>
      <w:r w:rsidR="008A17C1" w:rsidRPr="00A8271D">
        <w:rPr>
          <w:rFonts w:cs="Times New Roman"/>
          <w:b/>
          <w:color w:val="000000"/>
        </w:rPr>
        <w:t xml:space="preserve">the </w:t>
      </w:r>
      <w:r w:rsidR="008E3AEC" w:rsidRPr="00A8271D">
        <w:rPr>
          <w:rFonts w:cs="Times New Roman"/>
          <w:b/>
          <w:color w:val="000000"/>
        </w:rPr>
        <w:t>reduction in</w:t>
      </w:r>
      <w:r w:rsidR="008A17C1" w:rsidRPr="00A8271D">
        <w:rPr>
          <w:rFonts w:cs="Times New Roman"/>
          <w:b/>
          <w:color w:val="000000"/>
        </w:rPr>
        <w:t xml:space="preserve"> gender differences in education and the implementation of anti-discrimination policies</w:t>
      </w:r>
      <w:r w:rsidR="00C62A9B" w:rsidRPr="00A8271D">
        <w:rPr>
          <w:rFonts w:cs="Times New Roman"/>
          <w:b/>
          <w:color w:val="000000"/>
        </w:rPr>
        <w:t xml:space="preserve"> across all regions of the world</w:t>
      </w:r>
      <w:r w:rsidR="008E3AEC" w:rsidRPr="00A8271D">
        <w:rPr>
          <w:rFonts w:cs="Times New Roman"/>
          <w:b/>
          <w:color w:val="000000"/>
        </w:rPr>
        <w:t xml:space="preserve">, </w:t>
      </w:r>
      <w:r w:rsidR="00791273" w:rsidRPr="00A8271D">
        <w:rPr>
          <w:rFonts w:cs="Times New Roman"/>
          <w:b/>
          <w:color w:val="000000"/>
        </w:rPr>
        <w:t xml:space="preserve">are </w:t>
      </w:r>
      <w:r w:rsidR="00C62A9B" w:rsidRPr="00A8271D">
        <w:rPr>
          <w:rFonts w:cs="Times New Roman"/>
          <w:b/>
          <w:color w:val="000000"/>
        </w:rPr>
        <w:t xml:space="preserve">repeatedly </w:t>
      </w:r>
      <w:r w:rsidR="00791273" w:rsidRPr="00A8271D">
        <w:rPr>
          <w:rFonts w:cs="Times New Roman"/>
          <w:b/>
          <w:color w:val="000000"/>
        </w:rPr>
        <w:t xml:space="preserve">explained by </w:t>
      </w:r>
      <w:r w:rsidR="00791273" w:rsidRPr="00A8271D">
        <w:rPr>
          <w:b/>
        </w:rPr>
        <w:t>the unequal gender distribution of unpaid care work</w:t>
      </w:r>
      <w:r w:rsidR="00791273" w:rsidRPr="004A792A">
        <w:t xml:space="preserve"> (ILO, 2018)</w:t>
      </w:r>
      <w:r w:rsidR="00C62A9B" w:rsidRPr="004A792A">
        <w:t>.</w:t>
      </w:r>
      <w:r w:rsidR="00791273" w:rsidRPr="004A792A">
        <w:rPr>
          <w:rStyle w:val="af9"/>
        </w:rPr>
        <w:footnoteReference w:id="12"/>
      </w:r>
      <w:r w:rsidR="00C62A9B" w:rsidRPr="004A792A">
        <w:t xml:space="preserve"> Time </w:t>
      </w:r>
      <w:r w:rsidR="004C0379" w:rsidRPr="004A792A">
        <w:t>U</w:t>
      </w:r>
      <w:r w:rsidR="00C62A9B" w:rsidRPr="004A792A">
        <w:t xml:space="preserve">se </w:t>
      </w:r>
      <w:r w:rsidR="004C0379" w:rsidRPr="004A792A">
        <w:t xml:space="preserve">Survey </w:t>
      </w:r>
      <w:r w:rsidR="00C62A9B" w:rsidRPr="004A792A">
        <w:t xml:space="preserve">data show that women </w:t>
      </w:r>
      <w:r w:rsidR="00E30C90" w:rsidRPr="004A792A">
        <w:t xml:space="preserve">around the world </w:t>
      </w:r>
      <w:r w:rsidR="00C62A9B" w:rsidRPr="004A792A">
        <w:t xml:space="preserve">spend </w:t>
      </w:r>
      <w:r w:rsidR="004C0379" w:rsidRPr="004A792A">
        <w:t xml:space="preserve">on average </w:t>
      </w:r>
      <w:r w:rsidR="00C62A9B" w:rsidRPr="004A792A">
        <w:t>two to ten times more time on unpaid care work than men (</w:t>
      </w:r>
      <w:proofErr w:type="spellStart"/>
      <w:r w:rsidR="00C62A9B" w:rsidRPr="004A792A">
        <w:t>Ferrant</w:t>
      </w:r>
      <w:proofErr w:type="spellEnd"/>
      <w:r w:rsidR="00C62A9B" w:rsidRPr="004A792A">
        <w:t xml:space="preserve"> et al., 2014). Analysis of</w:t>
      </w:r>
      <w:r w:rsidR="00E30C90" w:rsidRPr="004A792A">
        <w:t xml:space="preserve"> the</w:t>
      </w:r>
      <w:r w:rsidR="00C62A9B" w:rsidRPr="004A792A">
        <w:t xml:space="preserve"> </w:t>
      </w:r>
      <w:r w:rsidR="00E30C90" w:rsidRPr="004A792A">
        <w:t>T</w:t>
      </w:r>
      <w:r w:rsidR="00C62A9B" w:rsidRPr="004A792A">
        <w:t xml:space="preserve">ime </w:t>
      </w:r>
      <w:r w:rsidR="00E30C90" w:rsidRPr="004A792A">
        <w:t>U</w:t>
      </w:r>
      <w:r w:rsidR="00C62A9B" w:rsidRPr="004A792A">
        <w:t xml:space="preserve">se </w:t>
      </w:r>
      <w:r w:rsidR="00E30C90" w:rsidRPr="004A792A">
        <w:t>S</w:t>
      </w:r>
      <w:r w:rsidR="00C62A9B" w:rsidRPr="004A792A">
        <w:t xml:space="preserve">urvey data in Moldova in 2012 </w:t>
      </w:r>
      <w:r w:rsidR="00246E28" w:rsidRPr="004A792A">
        <w:t xml:space="preserve">supports these findings: Moldovan </w:t>
      </w:r>
      <w:r w:rsidR="00C62A9B" w:rsidRPr="004A792A">
        <w:t>women spen</w:t>
      </w:r>
      <w:r w:rsidR="00D645F6">
        <w:t>t</w:t>
      </w:r>
      <w:r w:rsidR="00C62A9B" w:rsidRPr="004A792A">
        <w:t xml:space="preserve"> </w:t>
      </w:r>
      <w:r w:rsidR="00246E28" w:rsidRPr="004A792A">
        <w:t>almost double the amount of time on unpaid care work compared to men</w:t>
      </w:r>
      <w:r w:rsidR="00723AA3" w:rsidRPr="004A792A">
        <w:t>, with particularly pronounced differences in time devoted to cooking, washing dishes, cleaning the house</w:t>
      </w:r>
      <w:r w:rsidR="000206DE">
        <w:t>,</w:t>
      </w:r>
      <w:r w:rsidR="00723AA3" w:rsidRPr="004A792A">
        <w:t xml:space="preserve"> and caring for children</w:t>
      </w:r>
      <w:r w:rsidR="00515A4E">
        <w:t xml:space="preserve"> </w:t>
      </w:r>
      <w:r w:rsidR="00515A4E" w:rsidRPr="004A792A">
        <w:t>(</w:t>
      </w:r>
      <w:r w:rsidR="00515A4E" w:rsidRPr="004A792A">
        <w:fldChar w:fldCharType="begin"/>
      </w:r>
      <w:r w:rsidR="00515A4E" w:rsidRPr="004A792A">
        <w:instrText xml:space="preserve"> REF _Ref519240399 \h </w:instrText>
      </w:r>
      <w:r w:rsidR="00E6323D">
        <w:instrText xml:space="preserve"> \* MERGEFORMAT </w:instrText>
      </w:r>
      <w:r w:rsidR="00515A4E" w:rsidRPr="004A792A">
        <w:fldChar w:fldCharType="separate"/>
      </w:r>
      <w:r w:rsidR="00A8271D">
        <w:t>Table A-7</w:t>
      </w:r>
      <w:r w:rsidR="00A8271D" w:rsidRPr="004E1089">
        <w:t xml:space="preserve"> </w:t>
      </w:r>
      <w:r w:rsidR="00515A4E" w:rsidRPr="004A792A">
        <w:fldChar w:fldCharType="end"/>
      </w:r>
      <w:r w:rsidR="00515A4E" w:rsidRPr="004A792A">
        <w:t>)</w:t>
      </w:r>
      <w:r w:rsidR="00515A4E">
        <w:t>.</w:t>
      </w:r>
      <w:r w:rsidR="00D645F6">
        <w:t xml:space="preserve"> </w:t>
      </w:r>
      <w:r w:rsidR="0050428F">
        <w:t xml:space="preserve">And they </w:t>
      </w:r>
      <w:r w:rsidR="00E6323D">
        <w:t xml:space="preserve">are likely to </w:t>
      </w:r>
      <w:r w:rsidR="00D645F6" w:rsidRPr="0042714C">
        <w:t>allocate more time to care-related and home production tasks throughout the day, regardless of whether they work for pay or not (</w:t>
      </w:r>
      <w:r w:rsidR="0050428F" w:rsidRPr="0042714C">
        <w:t>World Bank</w:t>
      </w:r>
      <w:r w:rsidR="0050428F">
        <w:t xml:space="preserve">, </w:t>
      </w:r>
      <w:r w:rsidR="0050428F" w:rsidRPr="0042714C">
        <w:t>2015</w:t>
      </w:r>
      <w:r w:rsidR="004E4EF2">
        <w:t>a</w:t>
      </w:r>
      <w:r w:rsidR="00D645F6" w:rsidRPr="00E6323D">
        <w:t>).</w:t>
      </w:r>
    </w:p>
    <w:p w14:paraId="52B9ABC8" w14:textId="629C3616" w:rsidR="00741A67" w:rsidRDefault="00A327EC" w:rsidP="008E3AEC">
      <w:pPr>
        <w:pStyle w:val="a"/>
        <w:numPr>
          <w:ilvl w:val="0"/>
          <w:numId w:val="0"/>
        </w:numPr>
        <w:rPr>
          <w:rFonts w:cstheme="minorHAnsi"/>
        </w:rPr>
      </w:pPr>
      <w:r w:rsidRPr="00A8271D">
        <w:rPr>
          <w:b/>
        </w:rPr>
        <w:t>Moldova</w:t>
      </w:r>
      <w:r w:rsidR="00A8271D" w:rsidRPr="00A8271D">
        <w:rPr>
          <w:b/>
        </w:rPr>
        <w:t>n</w:t>
      </w:r>
      <w:r w:rsidR="00E01445" w:rsidRPr="00A8271D">
        <w:rPr>
          <w:b/>
        </w:rPr>
        <w:t xml:space="preserve"> women</w:t>
      </w:r>
      <w:r w:rsidR="00A8271D" w:rsidRPr="00A8271D">
        <w:rPr>
          <w:b/>
        </w:rPr>
        <w:t xml:space="preserve"> tend to be</w:t>
      </w:r>
      <w:r w:rsidR="00E01445" w:rsidRPr="00A8271D">
        <w:rPr>
          <w:b/>
        </w:rPr>
        <w:t xml:space="preserve"> much more involved in terms of both participation and time devoted to childcare</w:t>
      </w:r>
      <w:r w:rsidR="00E01445" w:rsidRPr="004A792A">
        <w:t xml:space="preserve">: </w:t>
      </w:r>
      <w:r w:rsidR="00A8271D">
        <w:t xml:space="preserve">according to </w:t>
      </w:r>
      <w:r w:rsidR="00A8271D" w:rsidRPr="004A792A">
        <w:t>the Time Use Survey</w:t>
      </w:r>
      <w:r w:rsidR="00A8271D">
        <w:t xml:space="preserve"> in </w:t>
      </w:r>
      <w:r w:rsidR="00A8271D" w:rsidRPr="004A792A">
        <w:t>2012</w:t>
      </w:r>
      <w:r w:rsidR="00A8271D">
        <w:t>,</w:t>
      </w:r>
      <w:r w:rsidR="00A8271D" w:rsidRPr="004A792A">
        <w:t xml:space="preserve"> </w:t>
      </w:r>
      <w:r w:rsidR="00E01445" w:rsidRPr="004A792A">
        <w:t>the proportion of women caring for children is over 3.5 times that of men in the youngest age group (18.9 and 5.2 percent, respectively) and almost twice that of men among population aged 25-64 years (27.2 and 14.6 percent, respectively)</w:t>
      </w:r>
      <w:r w:rsidR="00A8271D" w:rsidRPr="00A8271D">
        <w:t xml:space="preserve"> </w:t>
      </w:r>
      <w:r w:rsidR="00A8271D" w:rsidRPr="004A792A">
        <w:t>(</w:t>
      </w:r>
      <w:r w:rsidR="00A8271D" w:rsidRPr="004A792A">
        <w:fldChar w:fldCharType="begin"/>
      </w:r>
      <w:r w:rsidR="00A8271D" w:rsidRPr="004A792A">
        <w:instrText xml:space="preserve"> REF _Ref519240399 \h </w:instrText>
      </w:r>
      <w:r w:rsidR="00A8271D" w:rsidRPr="004A792A">
        <w:fldChar w:fldCharType="separate"/>
      </w:r>
      <w:r w:rsidR="00A8271D">
        <w:t>Table A-</w:t>
      </w:r>
      <w:r w:rsidR="00A8271D">
        <w:rPr>
          <w:noProof/>
        </w:rPr>
        <w:t>7</w:t>
      </w:r>
      <w:r w:rsidR="00A8271D" w:rsidRPr="004A792A">
        <w:fldChar w:fldCharType="end"/>
      </w:r>
      <w:r w:rsidR="00A8271D" w:rsidRPr="004A792A">
        <w:t>)</w:t>
      </w:r>
      <w:r w:rsidR="00E01445" w:rsidRPr="004A792A">
        <w:t>. Y</w:t>
      </w:r>
      <w:r w:rsidRPr="004A792A">
        <w:t xml:space="preserve">oung women spend </w:t>
      </w:r>
      <w:r w:rsidR="00E01445" w:rsidRPr="004A792A">
        <w:t xml:space="preserve">on average </w:t>
      </w:r>
      <w:r w:rsidRPr="004A792A">
        <w:t xml:space="preserve">three times more </w:t>
      </w:r>
      <w:r w:rsidR="00704A89" w:rsidRPr="004A792A">
        <w:t xml:space="preserve">time </w:t>
      </w:r>
      <w:r w:rsidRPr="004A792A">
        <w:t xml:space="preserve">than </w:t>
      </w:r>
      <w:r w:rsidR="00E01445" w:rsidRPr="004A792A">
        <w:t xml:space="preserve">young </w:t>
      </w:r>
      <w:r w:rsidRPr="004A792A">
        <w:t>men</w:t>
      </w:r>
      <w:r w:rsidR="00E01445" w:rsidRPr="004A792A">
        <w:t xml:space="preserve"> on childcare (3.6 and 1.2 hours per day, respectively)</w:t>
      </w:r>
      <w:r w:rsidR="00741A67">
        <w:t xml:space="preserve">. </w:t>
      </w:r>
      <w:r w:rsidR="002E19A7">
        <w:t>Although t</w:t>
      </w:r>
      <w:r w:rsidR="00E01445" w:rsidRPr="004A792A">
        <w:t xml:space="preserve">he gender difference </w:t>
      </w:r>
      <w:r w:rsidR="00E01445" w:rsidRPr="00741A67">
        <w:rPr>
          <w:rFonts w:cstheme="minorHAnsi"/>
        </w:rPr>
        <w:t>in the 25-64 age group is less pronounced (2.3 and 1.3 hours per day, respectively)</w:t>
      </w:r>
      <w:r w:rsidR="002E19A7">
        <w:rPr>
          <w:rFonts w:cstheme="minorHAnsi"/>
        </w:rPr>
        <w:t>,</w:t>
      </w:r>
      <w:r w:rsidR="00741A67" w:rsidRPr="0042714C">
        <w:rPr>
          <w:rFonts w:cstheme="minorHAnsi"/>
        </w:rPr>
        <w:t xml:space="preserve"> we expect a larger difference among the 50-64 year</w:t>
      </w:r>
      <w:r w:rsidR="00AD628A">
        <w:rPr>
          <w:rFonts w:cstheme="minorHAnsi"/>
        </w:rPr>
        <w:t>-</w:t>
      </w:r>
      <w:r w:rsidR="00741A67" w:rsidRPr="0042714C">
        <w:rPr>
          <w:rFonts w:cstheme="minorHAnsi"/>
        </w:rPr>
        <w:t>olds as grandmothers can be frequently involved in childcare for their grandchildren (World Bank, 2015</w:t>
      </w:r>
      <w:r w:rsidR="004E4EF2">
        <w:rPr>
          <w:rFonts w:cstheme="minorHAnsi"/>
        </w:rPr>
        <w:t>a</w:t>
      </w:r>
      <w:r w:rsidR="00741A67" w:rsidRPr="0042714C">
        <w:rPr>
          <w:rFonts w:cstheme="minorHAnsi"/>
        </w:rPr>
        <w:t>)</w:t>
      </w:r>
      <w:r w:rsidR="0042714C" w:rsidRPr="0042714C">
        <w:rPr>
          <w:rFonts w:cstheme="minorHAnsi"/>
        </w:rPr>
        <w:t>.</w:t>
      </w:r>
    </w:p>
    <w:p w14:paraId="7835532F" w14:textId="60BB5AF0" w:rsidR="00E6323D" w:rsidRDefault="00A8271D" w:rsidP="00E6323D">
      <w:pPr>
        <w:pStyle w:val="a"/>
        <w:numPr>
          <w:ilvl w:val="0"/>
          <w:numId w:val="0"/>
        </w:numPr>
      </w:pPr>
      <w:r w:rsidRPr="00A8271D">
        <w:rPr>
          <w:b/>
        </w:rPr>
        <w:t>Taking into account the aging of population and the incipient state of formal eldercare in Moldova, we can also expect that women’s care provider role extends beyond caring for children to care for elderly family members</w:t>
      </w:r>
      <w:r w:rsidRPr="00A8271D">
        <w:t xml:space="preserve">. There is no relevant data and empirical evidence in Moldova. The analysis of the </w:t>
      </w:r>
      <w:r w:rsidRPr="00A8271D">
        <w:rPr>
          <w:i/>
        </w:rPr>
        <w:t>ad hoc</w:t>
      </w:r>
      <w:r w:rsidRPr="00A8271D">
        <w:t xml:space="preserve"> household surveys in other countries reveals that respondents who provide informal eldercare are more likely to be female, single, older (40-49 years), out of the labor force but not providing childcare compared to non-elder caregivers (World Bank, 2015</w:t>
      </w:r>
      <w:r w:rsidR="004E4EF2">
        <w:t>a</w:t>
      </w:r>
      <w:r w:rsidRPr="00A8271D">
        <w:t>).</w:t>
      </w:r>
    </w:p>
    <w:p w14:paraId="61B6E6BC" w14:textId="1DD3E21B" w:rsidR="00F8248E" w:rsidRPr="004A792A" w:rsidRDefault="00F8248E" w:rsidP="00F8248E">
      <w:pPr>
        <w:pStyle w:val="2"/>
        <w:numPr>
          <w:ilvl w:val="0"/>
          <w:numId w:val="0"/>
        </w:numPr>
        <w:spacing w:before="360"/>
        <w:rPr>
          <w:color w:val="0070C0"/>
          <w:sz w:val="32"/>
          <w:szCs w:val="32"/>
        </w:rPr>
      </w:pPr>
      <w:bookmarkStart w:id="65" w:name="_Toc533211737"/>
      <w:r w:rsidRPr="004A792A">
        <w:rPr>
          <w:color w:val="0070C0"/>
          <w:sz w:val="32"/>
          <w:szCs w:val="32"/>
        </w:rPr>
        <w:t>3.</w:t>
      </w:r>
      <w:r w:rsidR="002D375A">
        <w:rPr>
          <w:color w:val="0070C0"/>
          <w:sz w:val="32"/>
          <w:szCs w:val="32"/>
        </w:rPr>
        <w:t>2</w:t>
      </w:r>
      <w:r w:rsidRPr="004A792A">
        <w:rPr>
          <w:color w:val="0070C0"/>
          <w:sz w:val="32"/>
          <w:szCs w:val="32"/>
        </w:rPr>
        <w:t>. Labor force and employment rates of mothers and fathers</w:t>
      </w:r>
      <w:r w:rsidR="007F17C9">
        <w:rPr>
          <w:rStyle w:val="af9"/>
          <w:color w:val="0070C0"/>
          <w:sz w:val="32"/>
          <w:szCs w:val="32"/>
        </w:rPr>
        <w:footnoteReference w:id="13"/>
      </w:r>
      <w:bookmarkEnd w:id="65"/>
    </w:p>
    <w:p w14:paraId="35E55802" w14:textId="64F03AA7" w:rsidR="002D375A" w:rsidRPr="004A792A" w:rsidRDefault="002D375A" w:rsidP="002D375A">
      <w:pPr>
        <w:pStyle w:val="a"/>
        <w:numPr>
          <w:ilvl w:val="0"/>
          <w:numId w:val="0"/>
        </w:numPr>
        <w:rPr>
          <w:rFonts w:cs="Times New Roman"/>
          <w:color w:val="000000"/>
        </w:rPr>
      </w:pPr>
      <w:r w:rsidRPr="007F17C9">
        <w:rPr>
          <w:rFonts w:cs="Times New Roman"/>
          <w:b/>
          <w:color w:val="000000"/>
        </w:rPr>
        <w:t>Women with 3 and more children tend to be significantly less educated than mothers of 1 or 2 children under 15 years</w:t>
      </w:r>
      <w:r w:rsidRPr="002D375A">
        <w:t xml:space="preserve"> </w:t>
      </w:r>
      <w:r w:rsidR="007F17C9" w:rsidRPr="007F17C9">
        <w:rPr>
          <w:b/>
        </w:rPr>
        <w:t>and other women</w:t>
      </w:r>
      <w:r w:rsidR="007F17C9">
        <w:t xml:space="preserve"> </w:t>
      </w:r>
      <w:r>
        <w:t>(Table A-</w:t>
      </w:r>
      <w:r>
        <w:rPr>
          <w:noProof/>
        </w:rPr>
        <w:t>8)</w:t>
      </w:r>
      <w:r w:rsidRPr="004A792A">
        <w:rPr>
          <w:rFonts w:cs="Times New Roman"/>
          <w:color w:val="000000"/>
        </w:rPr>
        <w:t>. They also stand out in terms of the larger shares of married or cohabiting, those living in rural areas and in agrarian South.</w:t>
      </w:r>
      <w:r w:rsidR="007F17C9">
        <w:rPr>
          <w:rFonts w:cs="Times New Roman"/>
          <w:color w:val="000000"/>
        </w:rPr>
        <w:t xml:space="preserve"> </w:t>
      </w:r>
      <w:r w:rsidR="007511C2">
        <w:rPr>
          <w:rFonts w:cs="Times New Roman"/>
          <w:color w:val="000000"/>
        </w:rPr>
        <w:t>T</w:t>
      </w:r>
      <w:r w:rsidR="007F17C9">
        <w:rPr>
          <w:rFonts w:cs="Times New Roman"/>
          <w:color w:val="000000"/>
        </w:rPr>
        <w:t>he overwhelming majority of working-age women in the LFS-2016 data do not have children, their children older than 15 years and/or or they do not live in the same household (</w:t>
      </w:r>
      <w:r w:rsidR="007511C2">
        <w:rPr>
          <w:rFonts w:cs="Times New Roman"/>
          <w:color w:val="000000"/>
        </w:rPr>
        <w:t xml:space="preserve">hereafter referred to as </w:t>
      </w:r>
      <w:proofErr w:type="spellStart"/>
      <w:r w:rsidR="007F17C9">
        <w:rPr>
          <w:rFonts w:cs="Times New Roman"/>
          <w:color w:val="000000"/>
        </w:rPr>
        <w:t>nonmothers</w:t>
      </w:r>
      <w:proofErr w:type="spellEnd"/>
      <w:r w:rsidR="007F17C9">
        <w:rPr>
          <w:rFonts w:cs="Times New Roman"/>
          <w:color w:val="000000"/>
        </w:rPr>
        <w:t xml:space="preserve">). </w:t>
      </w:r>
      <w:r w:rsidR="007F17C9">
        <w:rPr>
          <w:rFonts w:cs="Times New Roman"/>
          <w:color w:val="000000"/>
        </w:rPr>
        <w:lastRenderedPageBreak/>
        <w:t>About 20 percent of women have 1 child under 15 years, followed by mothers of 2 children (12.4 percent)</w:t>
      </w:r>
      <w:r w:rsidR="007511C2">
        <w:rPr>
          <w:rFonts w:cs="Times New Roman"/>
          <w:color w:val="000000"/>
        </w:rPr>
        <w:t xml:space="preserve"> and mothers of 3 and more children (2.7 percent) </w:t>
      </w:r>
      <w:r w:rsidR="007511C2">
        <w:t>(Table A-</w:t>
      </w:r>
      <w:r w:rsidR="007511C2">
        <w:rPr>
          <w:noProof/>
        </w:rPr>
        <w:t>8).</w:t>
      </w:r>
    </w:p>
    <w:p w14:paraId="40BE98A2" w14:textId="2ADACB6E" w:rsidR="00BD0FD3" w:rsidRPr="004A792A" w:rsidRDefault="007511C2" w:rsidP="00E277F1">
      <w:pPr>
        <w:pStyle w:val="a"/>
        <w:numPr>
          <w:ilvl w:val="0"/>
          <w:numId w:val="0"/>
        </w:numPr>
      </w:pPr>
      <w:r w:rsidRPr="007F770C">
        <w:rPr>
          <w:b/>
        </w:rPr>
        <w:t>Women with 1 child are significantly less likely to supply labor than women not having children of pre-school age</w:t>
      </w:r>
      <w:r w:rsidR="006C279F">
        <w:rPr>
          <w:b/>
        </w:rPr>
        <w:t xml:space="preserve"> (from 0 to 6 years)</w:t>
      </w:r>
      <w:r w:rsidRPr="007F770C">
        <w:rPr>
          <w:b/>
        </w:rPr>
        <w:t>, and mothers of 2 and more small children are even less likely to participate in the labor force</w:t>
      </w:r>
      <w:r>
        <w:t xml:space="preserve"> (</w:t>
      </w:r>
      <w:r w:rsidR="000836FD" w:rsidRPr="004A792A">
        <w:fldChar w:fldCharType="begin"/>
      </w:r>
      <w:r w:rsidR="000836FD" w:rsidRPr="004A792A">
        <w:instrText xml:space="preserve"> REF _Ref519339532 \h </w:instrText>
      </w:r>
      <w:r w:rsidR="000836FD" w:rsidRPr="004A792A">
        <w:fldChar w:fldCharType="separate"/>
      </w:r>
      <w:r>
        <w:t>Table A-</w:t>
      </w:r>
      <w:r>
        <w:rPr>
          <w:noProof/>
        </w:rPr>
        <w:t>9).</w:t>
      </w:r>
      <w:r w:rsidR="000836FD" w:rsidRPr="004A792A">
        <w:fldChar w:fldCharType="end"/>
      </w:r>
      <w:r w:rsidR="000836FD" w:rsidRPr="004A792A">
        <w:t xml:space="preserve"> </w:t>
      </w:r>
      <w:r w:rsidR="00A93441" w:rsidRPr="004A792A">
        <w:t xml:space="preserve">At the same time, presence of at least one child under 7 years encourages </w:t>
      </w:r>
      <w:r w:rsidR="0021009F" w:rsidRPr="004A792A">
        <w:t xml:space="preserve">more </w:t>
      </w:r>
      <w:r w:rsidR="00A93441" w:rsidRPr="004A792A">
        <w:t>men to participate in the labor force</w:t>
      </w:r>
      <w:r w:rsidR="0021009F" w:rsidRPr="004A792A">
        <w:t xml:space="preserve"> in order to sustain the livelihood of their families.</w:t>
      </w:r>
      <w:r w:rsidR="0021009F" w:rsidRPr="004A792A">
        <w:rPr>
          <w:rStyle w:val="af9"/>
        </w:rPr>
        <w:footnoteReference w:id="14"/>
      </w:r>
      <w:r w:rsidR="0021009F" w:rsidRPr="004A792A">
        <w:t xml:space="preserve"> </w:t>
      </w:r>
      <w:r w:rsidR="00A93441" w:rsidRPr="004A792A">
        <w:t xml:space="preserve">Consequently, </w:t>
      </w:r>
      <w:r w:rsidR="00637891" w:rsidRPr="004A792A">
        <w:t xml:space="preserve">the </w:t>
      </w:r>
      <w:r w:rsidR="00A93441" w:rsidRPr="004A792A">
        <w:t xml:space="preserve">gender gap in labor force participation and employment rates </w:t>
      </w:r>
      <w:r w:rsidR="00637891" w:rsidRPr="004A792A">
        <w:t>increases with the number of children under 7 years, reaching 53.5 and 49.9 percentage points, respectively, for mothers and fathers</w:t>
      </w:r>
      <w:r w:rsidR="00A93441" w:rsidRPr="004A792A">
        <w:t xml:space="preserve"> of 2 and more children of pre-school age (</w:t>
      </w:r>
      <w:r w:rsidR="000836FD" w:rsidRPr="004A792A">
        <w:fldChar w:fldCharType="begin"/>
      </w:r>
      <w:r w:rsidR="000836FD" w:rsidRPr="004A792A">
        <w:instrText xml:space="preserve"> REF _Ref519339532 \h </w:instrText>
      </w:r>
      <w:r w:rsidR="000836FD" w:rsidRPr="004A792A">
        <w:fldChar w:fldCharType="separate"/>
      </w:r>
      <w:r w:rsidR="006C279F">
        <w:t>Table A-</w:t>
      </w:r>
      <w:r w:rsidR="006C279F">
        <w:rPr>
          <w:noProof/>
        </w:rPr>
        <w:t>9</w:t>
      </w:r>
      <w:r w:rsidR="000836FD" w:rsidRPr="004A792A">
        <w:fldChar w:fldCharType="end"/>
      </w:r>
      <w:r w:rsidR="00A93441" w:rsidRPr="004A792A">
        <w:t>).</w:t>
      </w:r>
    </w:p>
    <w:p w14:paraId="6AF24CA0" w14:textId="26BAF58F" w:rsidR="0021009F" w:rsidRPr="004A792A" w:rsidRDefault="0021009F" w:rsidP="00E277F1">
      <w:pPr>
        <w:pStyle w:val="a"/>
        <w:numPr>
          <w:ilvl w:val="0"/>
          <w:numId w:val="0"/>
        </w:numPr>
      </w:pPr>
      <w:r w:rsidRPr="007F770C">
        <w:rPr>
          <w:b/>
        </w:rPr>
        <w:t>The relationship between the number of children under 15 years and labor force participation rates of women a</w:t>
      </w:r>
      <w:r w:rsidR="00965D29" w:rsidRPr="007F770C">
        <w:rPr>
          <w:b/>
        </w:rPr>
        <w:t>nd men is non-monotonic</w:t>
      </w:r>
      <w:r w:rsidR="00965D29" w:rsidRPr="004A792A">
        <w:t xml:space="preserve">: both mothers and fathers of one child have significantly higher participation and employment rates </w:t>
      </w:r>
      <w:r w:rsidR="00D861CA">
        <w:t>compared to</w:t>
      </w:r>
      <w:r w:rsidR="00965D29" w:rsidRPr="004A792A">
        <w:t xml:space="preserve"> their counterparts without children under 15 years</w:t>
      </w:r>
      <w:r w:rsidR="00491A07" w:rsidRPr="004A792A">
        <w:t xml:space="preserve">. </w:t>
      </w:r>
      <w:r w:rsidR="00637891" w:rsidRPr="004A792A">
        <w:t xml:space="preserve">Mothers of </w:t>
      </w:r>
      <w:r w:rsidR="00491A07" w:rsidRPr="004A792A">
        <w:t xml:space="preserve">2 children under </w:t>
      </w:r>
      <w:r w:rsidR="00637891" w:rsidRPr="004A792A">
        <w:t>15 years are almost as active in the labor force as women without children, whereas mothers of 3 and more children have significantly lower participat</w:t>
      </w:r>
      <w:r w:rsidR="00291CA5" w:rsidRPr="004A792A">
        <w:t>ion</w:t>
      </w:r>
      <w:r w:rsidR="00637891" w:rsidRPr="004A792A">
        <w:t xml:space="preserve"> and employment rates compared to both </w:t>
      </w:r>
      <w:proofErr w:type="spellStart"/>
      <w:r w:rsidR="00637891" w:rsidRPr="004A792A">
        <w:t>nonmothers</w:t>
      </w:r>
      <w:proofErr w:type="spellEnd"/>
      <w:r w:rsidR="00637891" w:rsidRPr="004A792A">
        <w:t xml:space="preserve"> (or mothers of older children) and mothers of 1 or 2 children under 15 years</w:t>
      </w:r>
      <w:r w:rsidR="006C279F">
        <w:t xml:space="preserve"> </w:t>
      </w:r>
      <w:r w:rsidR="006C279F" w:rsidRPr="004A792A">
        <w:t>(</w:t>
      </w:r>
      <w:r w:rsidR="006C279F" w:rsidRPr="004A792A">
        <w:fldChar w:fldCharType="begin"/>
      </w:r>
      <w:r w:rsidR="006C279F" w:rsidRPr="004A792A">
        <w:instrText xml:space="preserve"> REF _Ref519339532 \h </w:instrText>
      </w:r>
      <w:r w:rsidR="006C279F" w:rsidRPr="004A792A">
        <w:fldChar w:fldCharType="separate"/>
      </w:r>
      <w:r w:rsidR="006C279F">
        <w:t>Table A-</w:t>
      </w:r>
      <w:r w:rsidR="006C279F">
        <w:rPr>
          <w:noProof/>
        </w:rPr>
        <w:t>9</w:t>
      </w:r>
      <w:r w:rsidR="006C279F" w:rsidRPr="004A792A">
        <w:fldChar w:fldCharType="end"/>
      </w:r>
      <w:r w:rsidR="006C279F" w:rsidRPr="004A792A">
        <w:t>)</w:t>
      </w:r>
      <w:r w:rsidR="00C53E73" w:rsidRPr="004A792A">
        <w:t>.</w:t>
      </w:r>
    </w:p>
    <w:p w14:paraId="6C7284CB" w14:textId="4253BE6D" w:rsidR="00E277F1" w:rsidRPr="004A792A" w:rsidRDefault="00C53E73" w:rsidP="00E277F1">
      <w:pPr>
        <w:pStyle w:val="a"/>
        <w:numPr>
          <w:ilvl w:val="0"/>
          <w:numId w:val="0"/>
        </w:numPr>
      </w:pPr>
      <w:r w:rsidRPr="007F770C">
        <w:rPr>
          <w:b/>
        </w:rPr>
        <w:t xml:space="preserve">Not only </w:t>
      </w:r>
      <w:r w:rsidR="00A619B4" w:rsidRPr="007F770C">
        <w:rPr>
          <w:b/>
        </w:rPr>
        <w:t xml:space="preserve">has the </w:t>
      </w:r>
      <w:r w:rsidR="00A619B4" w:rsidRPr="007F770C">
        <w:rPr>
          <w:b/>
          <w:i/>
        </w:rPr>
        <w:t>number</w:t>
      </w:r>
      <w:r w:rsidR="00A619B4" w:rsidRPr="007F770C">
        <w:rPr>
          <w:b/>
        </w:rPr>
        <w:t xml:space="preserve"> of children but also </w:t>
      </w:r>
      <w:r w:rsidR="00A619B4" w:rsidRPr="007F770C">
        <w:rPr>
          <w:b/>
          <w:i/>
        </w:rPr>
        <w:t>age</w:t>
      </w:r>
      <w:r w:rsidR="00A619B4" w:rsidRPr="007F770C">
        <w:rPr>
          <w:b/>
        </w:rPr>
        <w:t xml:space="preserve"> of the youngest child contributed</w:t>
      </w:r>
      <w:r w:rsidRPr="007F770C">
        <w:rPr>
          <w:b/>
        </w:rPr>
        <w:t xml:space="preserve"> to gender differences in labor force participation</w:t>
      </w:r>
      <w:r w:rsidRPr="004A792A">
        <w:t>.</w:t>
      </w:r>
      <w:r w:rsidRPr="004A792A">
        <w:rPr>
          <w:rStyle w:val="af9"/>
        </w:rPr>
        <w:footnoteReference w:id="15"/>
      </w:r>
      <w:r w:rsidRPr="004A792A">
        <w:t xml:space="preserve"> As </w:t>
      </w:r>
      <w:r w:rsidRPr="004A792A">
        <w:fldChar w:fldCharType="begin"/>
      </w:r>
      <w:r w:rsidRPr="004A792A">
        <w:instrText xml:space="preserve"> REF _Ref519250633 \h </w:instrText>
      </w:r>
      <w:r w:rsidRPr="004A792A">
        <w:fldChar w:fldCharType="separate"/>
      </w:r>
      <w:r w:rsidR="007F770C" w:rsidRPr="004A792A">
        <w:t xml:space="preserve">Figure </w:t>
      </w:r>
      <w:r w:rsidR="007F770C">
        <w:rPr>
          <w:noProof/>
        </w:rPr>
        <w:t>17</w:t>
      </w:r>
      <w:r w:rsidRPr="004A792A">
        <w:fldChar w:fldCharType="end"/>
      </w:r>
      <w:r w:rsidRPr="004A792A">
        <w:t xml:space="preserve"> shows, the motherhood </w:t>
      </w:r>
      <w:r w:rsidR="00892512" w:rsidRPr="004A792A">
        <w:t xml:space="preserve">participation </w:t>
      </w:r>
      <w:r w:rsidRPr="004A792A">
        <w:t>penalty is greatest for women having children aged 0-5 years. Only 10 percent of mothers of newborns supplied their labor in 2016, compared to 80 percent of fathers of newborns and 50 percent of women not having children under 18 years. A spike in the la</w:t>
      </w:r>
      <w:r w:rsidR="008B48E3" w:rsidRPr="004A792A">
        <w:t xml:space="preserve">bor force participation rate of mothers </w:t>
      </w:r>
      <w:r w:rsidR="00892512" w:rsidRPr="004A792A">
        <w:t xml:space="preserve">when the </w:t>
      </w:r>
      <w:r w:rsidR="00A619B4" w:rsidRPr="004A792A">
        <w:t>youngest child reaches 3 years can be</w:t>
      </w:r>
      <w:r w:rsidR="00892512" w:rsidRPr="004A792A">
        <w:t xml:space="preserve"> explained by the expiration of parental leave in accordance with the Labor Code (if there are no valid grounds to extend it until 6 years) and by availability of significantly more childcare options. When the youngest child reaches 5 years, the difference in labor force participation rate between mothers and fathers </w:t>
      </w:r>
      <w:r w:rsidR="00A619B4" w:rsidRPr="004A792A">
        <w:t xml:space="preserve">almost disappears </w:t>
      </w:r>
      <w:r w:rsidR="00892512" w:rsidRPr="004A792A">
        <w:t xml:space="preserve">and often </w:t>
      </w:r>
      <w:r w:rsidR="00714CFF">
        <w:t>turns</w:t>
      </w:r>
      <w:r w:rsidR="00714CFF" w:rsidRPr="004A792A">
        <w:t xml:space="preserve"> </w:t>
      </w:r>
      <w:r w:rsidR="00892512" w:rsidRPr="004A792A">
        <w:t>in favor of women.</w:t>
      </w:r>
    </w:p>
    <w:p w14:paraId="005D4487" w14:textId="21BD270D" w:rsidR="00364B4C" w:rsidRPr="004A792A" w:rsidRDefault="00364B4C" w:rsidP="00892512">
      <w:pPr>
        <w:pStyle w:val="ad"/>
        <w:spacing w:before="240" w:after="0"/>
        <w:jc w:val="left"/>
        <w:rPr>
          <w:rFonts w:cs="Times New Roman"/>
          <w:color w:val="000000"/>
          <w:lang w:val="en-US"/>
        </w:rPr>
      </w:pPr>
      <w:bookmarkStart w:id="66" w:name="_Ref519250633"/>
      <w:bookmarkStart w:id="67" w:name="_Toc533211773"/>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17</w:t>
      </w:r>
      <w:r w:rsidRPr="004A792A">
        <w:rPr>
          <w:lang w:val="en-US"/>
        </w:rPr>
        <w:fldChar w:fldCharType="end"/>
      </w:r>
      <w:bookmarkEnd w:id="66"/>
      <w:r w:rsidRPr="004A792A">
        <w:rPr>
          <w:lang w:val="en-US"/>
        </w:rPr>
        <w:t xml:space="preserve">: Labor force participation rate of women and men (15-64 years) by age of </w:t>
      </w:r>
      <w:r w:rsidR="00C53E73" w:rsidRPr="004A792A">
        <w:rPr>
          <w:lang w:val="en-US"/>
        </w:rPr>
        <w:t xml:space="preserve">the </w:t>
      </w:r>
      <w:r w:rsidRPr="004A792A">
        <w:rPr>
          <w:lang w:val="en-US"/>
        </w:rPr>
        <w:t>youngest child (%), 2016</w:t>
      </w:r>
      <w:bookmarkEnd w:id="67"/>
    </w:p>
    <w:p w14:paraId="151AAE5C" w14:textId="77777777" w:rsidR="00364B4C" w:rsidRPr="004A792A" w:rsidRDefault="00364B4C" w:rsidP="00364B4C">
      <w:pPr>
        <w:pStyle w:val="a"/>
        <w:numPr>
          <w:ilvl w:val="0"/>
          <w:numId w:val="0"/>
        </w:numPr>
        <w:jc w:val="center"/>
      </w:pPr>
      <w:r w:rsidRPr="004A792A">
        <w:rPr>
          <w:noProof/>
          <w:lang w:val="ru-RU" w:eastAsia="ru-RU"/>
        </w:rPr>
        <w:drawing>
          <wp:inline distT="0" distB="0" distL="0" distR="0" wp14:anchorId="48F3F4E3" wp14:editId="5206859A">
            <wp:extent cx="4578350" cy="2546985"/>
            <wp:effectExtent l="0" t="0" r="0" b="571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8350" cy="2546985"/>
                    </a:xfrm>
                    <a:prstGeom prst="rect">
                      <a:avLst/>
                    </a:prstGeom>
                    <a:noFill/>
                    <a:ln>
                      <a:noFill/>
                    </a:ln>
                  </pic:spPr>
                </pic:pic>
              </a:graphicData>
            </a:graphic>
          </wp:inline>
        </w:drawing>
      </w:r>
    </w:p>
    <w:p w14:paraId="3B9FC58F" w14:textId="77777777" w:rsidR="00892512" w:rsidRPr="004A792A" w:rsidRDefault="00892512" w:rsidP="00892512">
      <w:pPr>
        <w:spacing w:after="120"/>
        <w:rPr>
          <w:i/>
          <w:sz w:val="20"/>
          <w:szCs w:val="20"/>
          <w:lang w:val="en-US"/>
        </w:rPr>
      </w:pPr>
      <w:r w:rsidRPr="004A792A">
        <w:rPr>
          <w:i/>
          <w:sz w:val="20"/>
          <w:szCs w:val="20"/>
          <w:lang w:val="en-US"/>
        </w:rPr>
        <w:t>Note: International migrants are excluded.</w:t>
      </w:r>
    </w:p>
    <w:p w14:paraId="7B6AC163" w14:textId="1D413324" w:rsidR="001F5205" w:rsidRPr="00A86CC4" w:rsidRDefault="003D1A63" w:rsidP="001F5205">
      <w:pPr>
        <w:pStyle w:val="61"/>
        <w:shd w:val="clear" w:color="auto" w:fill="auto"/>
        <w:spacing w:before="120" w:line="240" w:lineRule="auto"/>
        <w:jc w:val="both"/>
        <w:rPr>
          <w:sz w:val="22"/>
          <w:szCs w:val="22"/>
        </w:rPr>
      </w:pPr>
      <w:r w:rsidRPr="00235ECD">
        <w:rPr>
          <w:b/>
          <w:color w:val="000000"/>
          <w:sz w:val="22"/>
          <w:szCs w:val="22"/>
        </w:rPr>
        <w:lastRenderedPageBreak/>
        <w:t>Maternal care and the cost-of-care hypotheses can explain</w:t>
      </w:r>
      <w:r>
        <w:rPr>
          <w:color w:val="000000"/>
          <w:sz w:val="22"/>
          <w:szCs w:val="22"/>
        </w:rPr>
        <w:t xml:space="preserve"> </w:t>
      </w:r>
      <w:r>
        <w:rPr>
          <w:b/>
          <w:sz w:val="22"/>
          <w:szCs w:val="22"/>
        </w:rPr>
        <w:t>why</w:t>
      </w:r>
      <w:r w:rsidR="001F5205" w:rsidRPr="00235ECD">
        <w:rPr>
          <w:b/>
          <w:sz w:val="22"/>
          <w:szCs w:val="22"/>
        </w:rPr>
        <w:t xml:space="preserve"> having small children represents a significant participation penalty for women as opposed to </w:t>
      </w:r>
      <w:proofErr w:type="spellStart"/>
      <w:r w:rsidR="001F5205" w:rsidRPr="00235ECD">
        <w:rPr>
          <w:b/>
          <w:sz w:val="22"/>
          <w:szCs w:val="22"/>
        </w:rPr>
        <w:t>nonmothers</w:t>
      </w:r>
      <w:proofErr w:type="spellEnd"/>
      <w:r w:rsidR="001F5205" w:rsidRPr="00235ECD">
        <w:rPr>
          <w:b/>
          <w:sz w:val="22"/>
          <w:szCs w:val="22"/>
        </w:rPr>
        <w:t xml:space="preserve">, mothers of older children, and men (fathers and </w:t>
      </w:r>
      <w:proofErr w:type="spellStart"/>
      <w:r w:rsidR="001F5205" w:rsidRPr="00235ECD">
        <w:rPr>
          <w:b/>
          <w:sz w:val="22"/>
          <w:szCs w:val="22"/>
        </w:rPr>
        <w:t>nonfathers</w:t>
      </w:r>
      <w:proofErr w:type="spellEnd"/>
      <w:r w:rsidR="001F5205" w:rsidRPr="00235ECD">
        <w:rPr>
          <w:b/>
          <w:sz w:val="22"/>
          <w:szCs w:val="22"/>
        </w:rPr>
        <w:t>)</w:t>
      </w:r>
      <w:r w:rsidR="00403AB7">
        <w:rPr>
          <w:sz w:val="22"/>
          <w:szCs w:val="22"/>
        </w:rPr>
        <w:t xml:space="preserve">. </w:t>
      </w:r>
      <w:r w:rsidR="00403AB7">
        <w:rPr>
          <w:color w:val="000000"/>
          <w:sz w:val="22"/>
          <w:szCs w:val="22"/>
        </w:rPr>
        <w:t>T</w:t>
      </w:r>
      <w:r w:rsidR="001F5205" w:rsidRPr="004A792A">
        <w:rPr>
          <w:color w:val="000000"/>
          <w:sz w:val="22"/>
          <w:szCs w:val="22"/>
        </w:rPr>
        <w:t>he “maternal care” hypothesis</w:t>
      </w:r>
      <w:r w:rsidR="00403AB7">
        <w:rPr>
          <w:color w:val="000000"/>
          <w:sz w:val="22"/>
          <w:szCs w:val="22"/>
        </w:rPr>
        <w:t xml:space="preserve"> assumes that </w:t>
      </w:r>
      <w:r w:rsidR="001F5205" w:rsidRPr="004A792A">
        <w:rPr>
          <w:color w:val="000000"/>
          <w:sz w:val="22"/>
          <w:szCs w:val="22"/>
        </w:rPr>
        <w:t xml:space="preserve">women may feel a personal responsibility and/or derive pleasure from providing care for their children until they reach school age; </w:t>
      </w:r>
      <w:r w:rsidR="00403AB7" w:rsidRPr="004A792A">
        <w:rPr>
          <w:color w:val="000000"/>
          <w:sz w:val="22"/>
          <w:szCs w:val="22"/>
        </w:rPr>
        <w:t xml:space="preserve">according to </w:t>
      </w:r>
      <w:r w:rsidR="001F5205" w:rsidRPr="004A792A">
        <w:rPr>
          <w:color w:val="000000"/>
          <w:sz w:val="22"/>
          <w:szCs w:val="22"/>
        </w:rPr>
        <w:t>the “cost-of-care” hypothesis</w:t>
      </w:r>
      <w:r w:rsidR="001F5205">
        <w:rPr>
          <w:color w:val="000000"/>
          <w:sz w:val="22"/>
          <w:szCs w:val="22"/>
        </w:rPr>
        <w:t>,</w:t>
      </w:r>
      <w:r w:rsidR="001F5205" w:rsidRPr="004A792A">
        <w:rPr>
          <w:color w:val="000000"/>
          <w:sz w:val="22"/>
          <w:szCs w:val="22"/>
        </w:rPr>
        <w:t xml:space="preserve"> women may prefer to look after their small children because they perceive the benefits from paid work to be lower than the costs of child care</w:t>
      </w:r>
      <w:r w:rsidRPr="003D1A63">
        <w:rPr>
          <w:color w:val="000000"/>
          <w:sz w:val="22"/>
          <w:szCs w:val="22"/>
        </w:rPr>
        <w:t xml:space="preserve"> </w:t>
      </w:r>
      <w:r>
        <w:rPr>
          <w:color w:val="000000"/>
          <w:sz w:val="22"/>
          <w:szCs w:val="22"/>
        </w:rPr>
        <w:t>(</w:t>
      </w:r>
      <w:r w:rsidRPr="004A792A">
        <w:rPr>
          <w:color w:val="000000"/>
          <w:sz w:val="22"/>
          <w:szCs w:val="22"/>
        </w:rPr>
        <w:t>Bruce</w:t>
      </w:r>
      <w:r>
        <w:rPr>
          <w:color w:val="000000"/>
          <w:sz w:val="22"/>
          <w:szCs w:val="22"/>
        </w:rPr>
        <w:t>,</w:t>
      </w:r>
      <w:r w:rsidRPr="004A792A">
        <w:rPr>
          <w:color w:val="000000"/>
          <w:sz w:val="22"/>
          <w:szCs w:val="22"/>
        </w:rPr>
        <w:t xml:space="preserve"> 1978)</w:t>
      </w:r>
      <w:r w:rsidR="001F5205" w:rsidRPr="004A792A">
        <w:rPr>
          <w:color w:val="000000"/>
          <w:sz w:val="22"/>
          <w:szCs w:val="22"/>
        </w:rPr>
        <w:t>.</w:t>
      </w:r>
      <w:r w:rsidR="001F5205">
        <w:rPr>
          <w:color w:val="000000"/>
          <w:sz w:val="22"/>
          <w:szCs w:val="22"/>
        </w:rPr>
        <w:t xml:space="preserve"> </w:t>
      </w:r>
      <w:r w:rsidR="001F5205" w:rsidRPr="00A86CC4">
        <w:rPr>
          <w:sz w:val="22"/>
          <w:szCs w:val="22"/>
        </w:rPr>
        <w:t xml:space="preserve">Both hypotheses hold true in Moldova. In accordance with the “maternal care” hypothesis, Moldovan women choose to provide personal care to their children, at least until they reach 5 years, as </w:t>
      </w:r>
      <w:r w:rsidR="001F5205">
        <w:rPr>
          <w:sz w:val="22"/>
          <w:szCs w:val="22"/>
        </w:rPr>
        <w:t>during</w:t>
      </w:r>
      <w:r w:rsidR="001F5205" w:rsidRPr="00A86CC4">
        <w:rPr>
          <w:sz w:val="22"/>
          <w:szCs w:val="22"/>
        </w:rPr>
        <w:t xml:space="preserve"> the </w:t>
      </w:r>
      <w:r w:rsidR="00403AB7">
        <w:rPr>
          <w:sz w:val="22"/>
          <w:szCs w:val="22"/>
        </w:rPr>
        <w:t xml:space="preserve">child </w:t>
      </w:r>
      <w:r w:rsidR="001F5205" w:rsidRPr="00A86CC4">
        <w:rPr>
          <w:sz w:val="22"/>
          <w:szCs w:val="22"/>
        </w:rPr>
        <w:t xml:space="preserve">age from 0 to 5 </w:t>
      </w:r>
      <w:r w:rsidR="00403AB7">
        <w:rPr>
          <w:sz w:val="22"/>
          <w:szCs w:val="22"/>
        </w:rPr>
        <w:t xml:space="preserve">years </w:t>
      </w:r>
      <w:r w:rsidR="001F5205" w:rsidRPr="00A86CC4">
        <w:rPr>
          <w:sz w:val="22"/>
          <w:szCs w:val="22"/>
        </w:rPr>
        <w:t>care needs are the most demanding. Then children become less dependent of caregivers and less vulnerable to diseases</w:t>
      </w:r>
      <w:r w:rsidR="001F5205">
        <w:rPr>
          <w:sz w:val="22"/>
          <w:szCs w:val="22"/>
        </w:rPr>
        <w:t>,</w:t>
      </w:r>
      <w:r w:rsidR="001F5205" w:rsidRPr="00A86CC4">
        <w:rPr>
          <w:sz w:val="22"/>
          <w:szCs w:val="22"/>
        </w:rPr>
        <w:t xml:space="preserve"> </w:t>
      </w:r>
      <w:r w:rsidR="001F5205">
        <w:rPr>
          <w:sz w:val="22"/>
          <w:szCs w:val="22"/>
        </w:rPr>
        <w:t>so</w:t>
      </w:r>
      <w:r w:rsidR="001F5205" w:rsidRPr="00A86CC4">
        <w:rPr>
          <w:sz w:val="22"/>
          <w:szCs w:val="22"/>
        </w:rPr>
        <w:t xml:space="preserve"> they can attend kindergartens. This choice is often dictated by conservative social norms related to women’s involvement in childcare duties prevailing in post-Soviet countries (World Bank, 2015</w:t>
      </w:r>
      <w:r w:rsidR="004E4EF2">
        <w:rPr>
          <w:sz w:val="22"/>
          <w:szCs w:val="22"/>
        </w:rPr>
        <w:t>a</w:t>
      </w:r>
      <w:r w:rsidR="001F5205" w:rsidRPr="00A86CC4">
        <w:rPr>
          <w:sz w:val="22"/>
          <w:szCs w:val="22"/>
        </w:rPr>
        <w:t>). Despite significantly lower costs of childcare in Moldova than in the US or Canada, the “cost-of-care” hypothesis is also meaningful because childcare options for children under 3 years in public kindergartens are scarce in Moldova,</w:t>
      </w:r>
      <w:r w:rsidR="00403AB7">
        <w:rPr>
          <w:rStyle w:val="af9"/>
          <w:sz w:val="22"/>
          <w:szCs w:val="22"/>
        </w:rPr>
        <w:footnoteReference w:id="16"/>
      </w:r>
      <w:r w:rsidR="001F5205" w:rsidRPr="00A86CC4">
        <w:rPr>
          <w:sz w:val="22"/>
          <w:szCs w:val="22"/>
        </w:rPr>
        <w:t xml:space="preserve"> while private childcare is affordable mainly to higher-income households. ILO (2018) argues that if the only available and affordable childcare services are of poor quality, women may choose to drop out of the labor force or reduce their working hours once their families can earn enough so that women do not need to work. Due to lack of “child-friendly” part-time jobs, many Moldovan women just delay their (re)-entry into the labor force until their children reach late pre-school (5-6 years) or even school age (7-14 years).</w:t>
      </w:r>
    </w:p>
    <w:p w14:paraId="49C5E734" w14:textId="7DB13EE7" w:rsidR="00A8224A" w:rsidRDefault="00235ECD" w:rsidP="00585E53">
      <w:pPr>
        <w:pStyle w:val="61"/>
        <w:shd w:val="clear" w:color="auto" w:fill="auto"/>
        <w:spacing w:before="120" w:line="240" w:lineRule="auto"/>
        <w:jc w:val="both"/>
        <w:rPr>
          <w:color w:val="000000"/>
          <w:sz w:val="22"/>
          <w:szCs w:val="22"/>
        </w:rPr>
      </w:pPr>
      <w:r w:rsidRPr="00235ECD">
        <w:rPr>
          <w:b/>
          <w:color w:val="000000"/>
          <w:sz w:val="22"/>
          <w:szCs w:val="22"/>
        </w:rPr>
        <w:t>A</w:t>
      </w:r>
      <w:r w:rsidR="00585E53" w:rsidRPr="00235ECD">
        <w:rPr>
          <w:b/>
          <w:color w:val="000000"/>
          <w:sz w:val="22"/>
          <w:szCs w:val="22"/>
        </w:rPr>
        <w:t>fter controlling for individual characteristics and place of residence, the probability of women’s labor force participation tends to decrease with the number of children under 7 years</w:t>
      </w:r>
      <w:r w:rsidR="0031338F">
        <w:rPr>
          <w:b/>
          <w:color w:val="000000"/>
          <w:sz w:val="22"/>
          <w:szCs w:val="22"/>
        </w:rPr>
        <w:t xml:space="preserve"> </w:t>
      </w:r>
      <w:r w:rsidR="0031338F" w:rsidRPr="0031338F">
        <w:rPr>
          <w:color w:val="000000"/>
          <w:sz w:val="22"/>
          <w:szCs w:val="22"/>
        </w:rPr>
        <w:t>(</w:t>
      </w:r>
      <w:r w:rsidR="0031338F" w:rsidRPr="0031338F">
        <w:rPr>
          <w:color w:val="000000"/>
          <w:sz w:val="22"/>
          <w:szCs w:val="22"/>
        </w:rPr>
        <w:fldChar w:fldCharType="begin"/>
      </w:r>
      <w:r w:rsidR="0031338F" w:rsidRPr="0031338F">
        <w:rPr>
          <w:color w:val="000000"/>
          <w:sz w:val="22"/>
          <w:szCs w:val="22"/>
        </w:rPr>
        <w:instrText xml:space="preserve"> REF _Ref519253835 \h  \* MERGEFORMAT </w:instrText>
      </w:r>
      <w:r w:rsidR="0031338F" w:rsidRPr="0031338F">
        <w:rPr>
          <w:color w:val="000000"/>
          <w:sz w:val="22"/>
          <w:szCs w:val="22"/>
        </w:rPr>
      </w:r>
      <w:r w:rsidR="0031338F" w:rsidRPr="0031338F">
        <w:rPr>
          <w:color w:val="000000"/>
          <w:sz w:val="22"/>
          <w:szCs w:val="22"/>
        </w:rPr>
        <w:fldChar w:fldCharType="separate"/>
      </w:r>
      <w:r w:rsidR="0031338F" w:rsidRPr="0031338F">
        <w:rPr>
          <w:color w:val="000000"/>
          <w:sz w:val="22"/>
          <w:szCs w:val="22"/>
        </w:rPr>
        <w:t>Table 4</w:t>
      </w:r>
      <w:r w:rsidR="0031338F" w:rsidRPr="0031338F">
        <w:rPr>
          <w:color w:val="000000"/>
          <w:sz w:val="22"/>
          <w:szCs w:val="22"/>
        </w:rPr>
        <w:fldChar w:fldCharType="end"/>
      </w:r>
      <w:r w:rsidR="0031338F">
        <w:rPr>
          <w:color w:val="000000"/>
          <w:sz w:val="22"/>
          <w:szCs w:val="22"/>
        </w:rPr>
        <w:t>)</w:t>
      </w:r>
      <w:r w:rsidR="00585E53">
        <w:rPr>
          <w:color w:val="000000"/>
          <w:sz w:val="22"/>
          <w:szCs w:val="22"/>
        </w:rPr>
        <w:t>.</w:t>
      </w:r>
      <w:r>
        <w:rPr>
          <w:rStyle w:val="af9"/>
          <w:color w:val="000000"/>
          <w:sz w:val="22"/>
          <w:szCs w:val="22"/>
        </w:rPr>
        <w:footnoteReference w:id="17"/>
      </w:r>
      <w:r w:rsidR="00585E53">
        <w:rPr>
          <w:color w:val="000000"/>
          <w:sz w:val="22"/>
          <w:szCs w:val="22"/>
        </w:rPr>
        <w:t xml:space="preserve"> W</w:t>
      </w:r>
      <w:r w:rsidR="00585E53" w:rsidRPr="004A792A">
        <w:rPr>
          <w:color w:val="000000"/>
          <w:sz w:val="22"/>
          <w:szCs w:val="22"/>
        </w:rPr>
        <w:t xml:space="preserve">omen with the youngest child under 3 years are significantly less likely to supply labor than women </w:t>
      </w:r>
      <w:r w:rsidR="00585E53">
        <w:rPr>
          <w:color w:val="000000"/>
          <w:sz w:val="22"/>
          <w:szCs w:val="22"/>
        </w:rPr>
        <w:t>without children under 18 years in both samples</w:t>
      </w:r>
      <w:r w:rsidR="0031338F">
        <w:rPr>
          <w:color w:val="000000"/>
          <w:sz w:val="22"/>
          <w:szCs w:val="22"/>
        </w:rPr>
        <w:t xml:space="preserve"> (with and without international migrants)</w:t>
      </w:r>
      <w:r w:rsidR="00585E53">
        <w:rPr>
          <w:color w:val="000000"/>
          <w:sz w:val="22"/>
          <w:szCs w:val="22"/>
        </w:rPr>
        <w:t xml:space="preserve">, </w:t>
      </w:r>
      <w:r w:rsidR="0031338F" w:rsidRPr="0031338F">
        <w:rPr>
          <w:color w:val="000000"/>
          <w:sz w:val="22"/>
          <w:szCs w:val="22"/>
        </w:rPr>
        <w:t>and women having children from 3 to 6 years are also less likely to participate in the labor force in a smaller sample that excludes international migrants (</w:t>
      </w:r>
      <w:r w:rsidR="0031338F" w:rsidRPr="0031338F">
        <w:rPr>
          <w:color w:val="000000"/>
          <w:sz w:val="22"/>
          <w:szCs w:val="22"/>
        </w:rPr>
        <w:fldChar w:fldCharType="begin"/>
      </w:r>
      <w:r w:rsidR="0031338F" w:rsidRPr="0031338F">
        <w:rPr>
          <w:color w:val="000000"/>
          <w:sz w:val="22"/>
          <w:szCs w:val="22"/>
        </w:rPr>
        <w:instrText xml:space="preserve"> REF _Ref519253835 \h  \* MERGEFORMAT </w:instrText>
      </w:r>
      <w:r w:rsidR="0031338F" w:rsidRPr="0031338F">
        <w:rPr>
          <w:color w:val="000000"/>
          <w:sz w:val="22"/>
          <w:szCs w:val="22"/>
        </w:rPr>
      </w:r>
      <w:r w:rsidR="0031338F" w:rsidRPr="0031338F">
        <w:rPr>
          <w:color w:val="000000"/>
          <w:sz w:val="22"/>
          <w:szCs w:val="22"/>
        </w:rPr>
        <w:fldChar w:fldCharType="separate"/>
      </w:r>
      <w:r w:rsidR="0031338F" w:rsidRPr="0031338F">
        <w:rPr>
          <w:color w:val="000000"/>
          <w:sz w:val="22"/>
          <w:szCs w:val="22"/>
        </w:rPr>
        <w:t>Table 4</w:t>
      </w:r>
      <w:r w:rsidR="0031338F" w:rsidRPr="0031338F">
        <w:rPr>
          <w:color w:val="000000"/>
          <w:sz w:val="22"/>
          <w:szCs w:val="22"/>
        </w:rPr>
        <w:fldChar w:fldCharType="end"/>
      </w:r>
      <w:r w:rsidR="0031338F" w:rsidRPr="0031338F">
        <w:rPr>
          <w:color w:val="000000"/>
          <w:sz w:val="22"/>
          <w:szCs w:val="22"/>
        </w:rPr>
        <w:t>, specification 2b for women)</w:t>
      </w:r>
      <w:r w:rsidR="00585E53" w:rsidRPr="0031338F">
        <w:rPr>
          <w:color w:val="000000"/>
          <w:sz w:val="22"/>
          <w:szCs w:val="22"/>
        </w:rPr>
        <w:t>.</w:t>
      </w:r>
    </w:p>
    <w:p w14:paraId="63492566" w14:textId="28E1737C" w:rsidR="00A8224A" w:rsidRPr="0031338F" w:rsidRDefault="0027541F" w:rsidP="00585E53">
      <w:pPr>
        <w:pStyle w:val="61"/>
        <w:shd w:val="clear" w:color="auto" w:fill="auto"/>
        <w:spacing w:before="120" w:line="240" w:lineRule="auto"/>
        <w:jc w:val="both"/>
        <w:rPr>
          <w:color w:val="000000"/>
          <w:sz w:val="22"/>
          <w:szCs w:val="22"/>
        </w:rPr>
      </w:pPr>
      <w:r w:rsidRPr="0031338F">
        <w:rPr>
          <w:b/>
          <w:color w:val="000000"/>
          <w:sz w:val="22"/>
          <w:szCs w:val="22"/>
        </w:rPr>
        <w:t>N</w:t>
      </w:r>
      <w:r w:rsidR="00585E53" w:rsidRPr="0031338F">
        <w:rPr>
          <w:b/>
          <w:color w:val="000000"/>
          <w:sz w:val="22"/>
          <w:szCs w:val="22"/>
        </w:rPr>
        <w:t xml:space="preserve">either number nor age of the youngest child has a significant impact on the probability of labor force participation and employment of men in 2016 </w:t>
      </w:r>
      <w:r w:rsidRPr="0031338F">
        <w:rPr>
          <w:b/>
          <w:color w:val="000000"/>
          <w:sz w:val="22"/>
          <w:szCs w:val="22"/>
        </w:rPr>
        <w:t>in a larger sample</w:t>
      </w:r>
      <w:r w:rsidR="0031338F">
        <w:rPr>
          <w:b/>
          <w:color w:val="000000"/>
          <w:sz w:val="22"/>
          <w:szCs w:val="22"/>
        </w:rPr>
        <w:t xml:space="preserve"> that includes international migrants among inactive individuals in line with the NBS approach </w:t>
      </w:r>
      <w:r w:rsidR="0031338F" w:rsidRPr="0031338F">
        <w:rPr>
          <w:color w:val="000000"/>
          <w:sz w:val="22"/>
          <w:szCs w:val="22"/>
        </w:rPr>
        <w:t>(</w:t>
      </w:r>
      <w:r w:rsidR="0031338F" w:rsidRPr="0031338F">
        <w:rPr>
          <w:color w:val="000000"/>
          <w:sz w:val="22"/>
          <w:szCs w:val="22"/>
        </w:rPr>
        <w:fldChar w:fldCharType="begin"/>
      </w:r>
      <w:r w:rsidR="0031338F" w:rsidRPr="0031338F">
        <w:rPr>
          <w:color w:val="000000"/>
          <w:sz w:val="22"/>
          <w:szCs w:val="22"/>
        </w:rPr>
        <w:instrText xml:space="preserve"> REF _Ref519253835 \h  \* MERGEFORMAT </w:instrText>
      </w:r>
      <w:r w:rsidR="0031338F" w:rsidRPr="0031338F">
        <w:rPr>
          <w:color w:val="000000"/>
          <w:sz w:val="22"/>
          <w:szCs w:val="22"/>
        </w:rPr>
      </w:r>
      <w:r w:rsidR="0031338F" w:rsidRPr="0031338F">
        <w:rPr>
          <w:color w:val="000000"/>
          <w:sz w:val="22"/>
          <w:szCs w:val="22"/>
        </w:rPr>
        <w:fldChar w:fldCharType="separate"/>
      </w:r>
      <w:r w:rsidR="0031338F" w:rsidRPr="0031338F">
        <w:rPr>
          <w:color w:val="000000"/>
          <w:sz w:val="22"/>
          <w:szCs w:val="22"/>
        </w:rPr>
        <w:t>Table 4</w:t>
      </w:r>
      <w:r w:rsidR="0031338F" w:rsidRPr="0031338F">
        <w:rPr>
          <w:color w:val="000000"/>
          <w:sz w:val="22"/>
          <w:szCs w:val="22"/>
        </w:rPr>
        <w:fldChar w:fldCharType="end"/>
      </w:r>
      <w:r w:rsidR="0031338F" w:rsidRPr="0031338F">
        <w:rPr>
          <w:color w:val="000000"/>
          <w:sz w:val="22"/>
          <w:szCs w:val="22"/>
        </w:rPr>
        <w:t>, specifications 1</w:t>
      </w:r>
      <w:r w:rsidR="0031338F">
        <w:rPr>
          <w:color w:val="000000"/>
          <w:sz w:val="22"/>
          <w:szCs w:val="22"/>
        </w:rPr>
        <w:t>a</w:t>
      </w:r>
      <w:r w:rsidR="0031338F" w:rsidRPr="0031338F">
        <w:rPr>
          <w:color w:val="000000"/>
          <w:sz w:val="22"/>
          <w:szCs w:val="22"/>
        </w:rPr>
        <w:t xml:space="preserve"> and 2</w:t>
      </w:r>
      <w:r w:rsidR="0031338F">
        <w:rPr>
          <w:color w:val="000000"/>
          <w:sz w:val="22"/>
          <w:szCs w:val="22"/>
        </w:rPr>
        <w:t>a</w:t>
      </w:r>
      <w:r w:rsidR="0031338F" w:rsidRPr="0031338F">
        <w:rPr>
          <w:color w:val="000000"/>
          <w:sz w:val="22"/>
          <w:szCs w:val="22"/>
        </w:rPr>
        <w:t xml:space="preserve"> for men)</w:t>
      </w:r>
      <w:r w:rsidR="00A8224A" w:rsidRPr="0031338F">
        <w:rPr>
          <w:color w:val="000000"/>
          <w:sz w:val="22"/>
          <w:szCs w:val="22"/>
        </w:rPr>
        <w:t xml:space="preserve">. </w:t>
      </w:r>
      <w:r w:rsidR="0031338F" w:rsidRPr="0031338F">
        <w:rPr>
          <w:color w:val="000000"/>
          <w:sz w:val="22"/>
          <w:szCs w:val="22"/>
        </w:rPr>
        <w:t>But when international migrants are excluded from the sample</w:t>
      </w:r>
      <w:r w:rsidR="0031338F">
        <w:rPr>
          <w:color w:val="000000"/>
          <w:sz w:val="22"/>
          <w:szCs w:val="22"/>
        </w:rPr>
        <w:t>,</w:t>
      </w:r>
      <w:r w:rsidR="0031338F" w:rsidRPr="0031338F">
        <w:rPr>
          <w:color w:val="000000"/>
          <w:sz w:val="22"/>
          <w:szCs w:val="22"/>
        </w:rPr>
        <w:t xml:space="preserve"> the presence of small children is associated with a larger likelihood of labor force participation and employment of men (</w:t>
      </w:r>
      <w:r w:rsidR="0031338F" w:rsidRPr="0031338F">
        <w:rPr>
          <w:color w:val="000000"/>
          <w:sz w:val="22"/>
          <w:szCs w:val="22"/>
        </w:rPr>
        <w:fldChar w:fldCharType="begin"/>
      </w:r>
      <w:r w:rsidR="0031338F" w:rsidRPr="0031338F">
        <w:rPr>
          <w:color w:val="000000"/>
          <w:sz w:val="22"/>
          <w:szCs w:val="22"/>
        </w:rPr>
        <w:instrText xml:space="preserve"> REF _Ref519253835 \h  \* MERGEFORMAT </w:instrText>
      </w:r>
      <w:r w:rsidR="0031338F" w:rsidRPr="0031338F">
        <w:rPr>
          <w:color w:val="000000"/>
          <w:sz w:val="22"/>
          <w:szCs w:val="22"/>
        </w:rPr>
      </w:r>
      <w:r w:rsidR="0031338F" w:rsidRPr="0031338F">
        <w:rPr>
          <w:color w:val="000000"/>
          <w:sz w:val="22"/>
          <w:szCs w:val="22"/>
        </w:rPr>
        <w:fldChar w:fldCharType="separate"/>
      </w:r>
      <w:r w:rsidR="0031338F" w:rsidRPr="0031338F">
        <w:rPr>
          <w:color w:val="000000"/>
          <w:sz w:val="22"/>
          <w:szCs w:val="22"/>
        </w:rPr>
        <w:t>Table 4</w:t>
      </w:r>
      <w:r w:rsidR="0031338F" w:rsidRPr="0031338F">
        <w:rPr>
          <w:color w:val="000000"/>
          <w:sz w:val="22"/>
          <w:szCs w:val="22"/>
        </w:rPr>
        <w:fldChar w:fldCharType="end"/>
      </w:r>
      <w:r w:rsidR="0031338F" w:rsidRPr="0031338F">
        <w:rPr>
          <w:color w:val="000000"/>
          <w:sz w:val="22"/>
          <w:szCs w:val="22"/>
        </w:rPr>
        <w:t>, specifications 1b and 2b for men). In line with expectations, fathers of two or more children under 7 years and fathers of infants are significantly more likely to supply their labor in Moldova than working-age men not having children under 7 or 18 years.</w:t>
      </w:r>
      <w:r w:rsidR="0031338F">
        <w:rPr>
          <w:color w:val="000000"/>
          <w:sz w:val="22"/>
          <w:szCs w:val="22"/>
        </w:rPr>
        <w:t xml:space="preserve"> </w:t>
      </w:r>
    </w:p>
    <w:p w14:paraId="366173D8" w14:textId="77777777" w:rsidR="00585E53" w:rsidRPr="004A792A" w:rsidRDefault="00585E53" w:rsidP="00816B01">
      <w:pPr>
        <w:pStyle w:val="61"/>
        <w:shd w:val="clear" w:color="auto" w:fill="auto"/>
        <w:spacing w:before="120" w:line="240" w:lineRule="auto"/>
        <w:jc w:val="both"/>
        <w:rPr>
          <w:color w:val="000000"/>
          <w:sz w:val="22"/>
          <w:szCs w:val="22"/>
        </w:rPr>
      </w:pPr>
    </w:p>
    <w:p w14:paraId="1107A9DC" w14:textId="77777777" w:rsidR="00567CCA" w:rsidRDefault="00567CCA" w:rsidP="008007FD">
      <w:pPr>
        <w:pStyle w:val="ad"/>
        <w:spacing w:before="240"/>
        <w:jc w:val="left"/>
        <w:rPr>
          <w:lang w:val="en-US"/>
        </w:rPr>
        <w:sectPr w:rsidR="00567CCA" w:rsidSect="00E13694">
          <w:pgSz w:w="11909" w:h="16834" w:code="9"/>
          <w:pgMar w:top="1440" w:right="1440" w:bottom="1440" w:left="1440" w:header="720" w:footer="720" w:gutter="0"/>
          <w:cols w:space="720"/>
          <w:docGrid w:linePitch="360"/>
        </w:sectPr>
      </w:pPr>
      <w:bookmarkStart w:id="68" w:name="_Ref519253835"/>
    </w:p>
    <w:p w14:paraId="4E19F528" w14:textId="55406B72" w:rsidR="00A53D4C" w:rsidRPr="004A792A" w:rsidRDefault="008007FD" w:rsidP="008007FD">
      <w:pPr>
        <w:pStyle w:val="ad"/>
        <w:spacing w:before="240"/>
        <w:jc w:val="left"/>
        <w:rPr>
          <w:lang w:val="en-US"/>
        </w:rPr>
      </w:pPr>
      <w:bookmarkStart w:id="69" w:name="_Toc533211794"/>
      <w:r w:rsidRPr="0031338F">
        <w:rPr>
          <w:lang w:val="en-US"/>
        </w:rPr>
        <w:lastRenderedPageBreak/>
        <w:t xml:space="preserve">Table </w:t>
      </w:r>
      <w:r w:rsidR="007B7CCA" w:rsidRPr="0031338F">
        <w:rPr>
          <w:lang w:val="en-US"/>
        </w:rPr>
        <w:fldChar w:fldCharType="begin"/>
      </w:r>
      <w:r w:rsidR="007B7CCA" w:rsidRPr="0031338F">
        <w:rPr>
          <w:lang w:val="en-US"/>
        </w:rPr>
        <w:instrText xml:space="preserve"> SEQ Table \* ARABIC </w:instrText>
      </w:r>
      <w:r w:rsidR="007B7CCA" w:rsidRPr="0031338F">
        <w:rPr>
          <w:lang w:val="en-US"/>
        </w:rPr>
        <w:fldChar w:fldCharType="separate"/>
      </w:r>
      <w:r w:rsidR="007B7CCA" w:rsidRPr="0031338F">
        <w:rPr>
          <w:noProof/>
          <w:lang w:val="en-US"/>
        </w:rPr>
        <w:t>4</w:t>
      </w:r>
      <w:r w:rsidR="007B7CCA" w:rsidRPr="0031338F">
        <w:rPr>
          <w:lang w:val="en-US"/>
        </w:rPr>
        <w:fldChar w:fldCharType="end"/>
      </w:r>
      <w:bookmarkEnd w:id="68"/>
      <w:r w:rsidRPr="0031338F">
        <w:rPr>
          <w:lang w:val="en-US"/>
        </w:rPr>
        <w:t xml:space="preserve">: Determinants of labor force participation of women and men (15-64 years): </w:t>
      </w:r>
      <w:proofErr w:type="spellStart"/>
      <w:r w:rsidRPr="0031338F">
        <w:rPr>
          <w:lang w:val="en-US"/>
        </w:rPr>
        <w:t>probit</w:t>
      </w:r>
      <w:proofErr w:type="spellEnd"/>
      <w:r w:rsidRPr="0031338F">
        <w:rPr>
          <w:lang w:val="en-US"/>
        </w:rPr>
        <w:t xml:space="preserve"> model, 2016</w:t>
      </w:r>
      <w:bookmarkEnd w:id="69"/>
    </w:p>
    <w:tbl>
      <w:tblPr>
        <w:tblW w:w="12049" w:type="dxa"/>
        <w:tblLayout w:type="fixed"/>
        <w:tblLook w:val="04A0" w:firstRow="1" w:lastRow="0" w:firstColumn="1" w:lastColumn="0" w:noHBand="0" w:noVBand="1"/>
      </w:tblPr>
      <w:tblGrid>
        <w:gridCol w:w="2977"/>
        <w:gridCol w:w="1134"/>
        <w:gridCol w:w="1134"/>
        <w:gridCol w:w="1134"/>
        <w:gridCol w:w="1134"/>
        <w:gridCol w:w="1134"/>
        <w:gridCol w:w="1134"/>
        <w:gridCol w:w="1134"/>
        <w:gridCol w:w="1134"/>
      </w:tblGrid>
      <w:tr w:rsidR="00501E56" w:rsidRPr="00A86CC4" w14:paraId="59EE3711" w14:textId="77777777" w:rsidTr="00FA38DC">
        <w:tc>
          <w:tcPr>
            <w:tcW w:w="2977" w:type="dxa"/>
            <w:tcBorders>
              <w:top w:val="single" w:sz="4" w:space="0" w:color="auto"/>
              <w:left w:val="nil"/>
              <w:right w:val="single" w:sz="4" w:space="0" w:color="auto"/>
            </w:tcBorders>
            <w:shd w:val="clear" w:color="auto" w:fill="auto"/>
            <w:noWrap/>
            <w:vAlign w:val="bottom"/>
          </w:tcPr>
          <w:p w14:paraId="5B4CE086" w14:textId="77777777" w:rsidR="00501E56" w:rsidRPr="00A86CC4" w:rsidRDefault="00501E56" w:rsidP="008007FD">
            <w:pPr>
              <w:spacing w:before="0"/>
              <w:contextualSpacing/>
              <w:rPr>
                <w:rFonts w:eastAsia="Times New Roman" w:cstheme="minorHAnsi"/>
                <w:sz w:val="20"/>
                <w:szCs w:val="20"/>
                <w:lang w:val="en-US"/>
              </w:rPr>
            </w:pPr>
          </w:p>
        </w:tc>
        <w:tc>
          <w:tcPr>
            <w:tcW w:w="4536" w:type="dxa"/>
            <w:gridSpan w:val="4"/>
            <w:tcBorders>
              <w:top w:val="single" w:sz="4" w:space="0" w:color="auto"/>
              <w:left w:val="single" w:sz="4" w:space="0" w:color="auto"/>
              <w:right w:val="single" w:sz="4" w:space="0" w:color="auto"/>
            </w:tcBorders>
            <w:shd w:val="clear" w:color="auto" w:fill="auto"/>
            <w:noWrap/>
            <w:vAlign w:val="bottom"/>
          </w:tcPr>
          <w:p w14:paraId="788AC4A3" w14:textId="1EDACCCE" w:rsidR="00501E56" w:rsidRPr="00A86CC4" w:rsidRDefault="00501E56" w:rsidP="00D861CA">
            <w:pPr>
              <w:spacing w:before="0"/>
              <w:contextualSpacing/>
              <w:jc w:val="center"/>
              <w:rPr>
                <w:rFonts w:eastAsia="Times New Roman" w:cstheme="minorHAnsi"/>
                <w:b/>
                <w:sz w:val="20"/>
                <w:szCs w:val="20"/>
                <w:lang w:val="en-US"/>
              </w:rPr>
            </w:pPr>
            <w:r>
              <w:rPr>
                <w:rFonts w:eastAsia="Times New Roman" w:cstheme="minorHAnsi"/>
                <w:b/>
                <w:sz w:val="20"/>
                <w:szCs w:val="20"/>
                <w:lang w:val="en-US"/>
              </w:rPr>
              <w:t>Women</w:t>
            </w:r>
          </w:p>
        </w:tc>
        <w:tc>
          <w:tcPr>
            <w:tcW w:w="4536" w:type="dxa"/>
            <w:gridSpan w:val="4"/>
            <w:tcBorders>
              <w:top w:val="single" w:sz="4" w:space="0" w:color="auto"/>
              <w:left w:val="single" w:sz="4" w:space="0" w:color="auto"/>
              <w:right w:val="nil"/>
            </w:tcBorders>
            <w:shd w:val="clear" w:color="auto" w:fill="auto"/>
            <w:noWrap/>
            <w:vAlign w:val="bottom"/>
          </w:tcPr>
          <w:p w14:paraId="5B4DFCF5" w14:textId="4A17F70A" w:rsidR="00501E56" w:rsidRPr="00A86CC4" w:rsidRDefault="00501E56" w:rsidP="008007FD">
            <w:pPr>
              <w:spacing w:before="0"/>
              <w:contextualSpacing/>
              <w:jc w:val="center"/>
              <w:rPr>
                <w:rFonts w:eastAsia="Times New Roman" w:cstheme="minorHAnsi"/>
                <w:b/>
                <w:sz w:val="20"/>
                <w:szCs w:val="20"/>
                <w:lang w:val="en-US"/>
              </w:rPr>
            </w:pPr>
            <w:r>
              <w:rPr>
                <w:rFonts w:eastAsia="Times New Roman" w:cstheme="minorHAnsi"/>
                <w:b/>
                <w:sz w:val="20"/>
                <w:szCs w:val="20"/>
                <w:lang w:val="en-US"/>
              </w:rPr>
              <w:t>Men</w:t>
            </w:r>
          </w:p>
        </w:tc>
      </w:tr>
      <w:tr w:rsidR="00501E56" w:rsidRPr="00A86CC4" w14:paraId="4FFB9766" w14:textId="58AA0B10" w:rsidTr="00501E56">
        <w:tc>
          <w:tcPr>
            <w:tcW w:w="2977" w:type="dxa"/>
            <w:tcBorders>
              <w:left w:val="nil"/>
              <w:bottom w:val="single" w:sz="4" w:space="0" w:color="auto"/>
              <w:right w:val="single" w:sz="4" w:space="0" w:color="auto"/>
            </w:tcBorders>
            <w:shd w:val="clear" w:color="auto" w:fill="auto"/>
            <w:noWrap/>
            <w:vAlign w:val="bottom"/>
            <w:hideMark/>
          </w:tcPr>
          <w:p w14:paraId="2AE713C2" w14:textId="77777777" w:rsidR="00501E56" w:rsidRPr="00A86CC4" w:rsidRDefault="00501E56" w:rsidP="00501E56">
            <w:pPr>
              <w:spacing w:before="0"/>
              <w:contextualSpacing/>
              <w:rPr>
                <w:rFonts w:eastAsia="Times New Roman" w:cstheme="minorHAnsi"/>
                <w:sz w:val="20"/>
                <w:szCs w:val="20"/>
                <w:lang w:val="en-US"/>
              </w:rPr>
            </w:pPr>
            <w:r w:rsidRPr="00A86CC4">
              <w:rPr>
                <w:rFonts w:eastAsia="Times New Roman" w:cstheme="minorHAnsi"/>
                <w:sz w:val="20"/>
                <w:szCs w:val="20"/>
                <w:lang w:val="en-US"/>
              </w:rPr>
              <w:t> </w:t>
            </w:r>
          </w:p>
        </w:tc>
        <w:tc>
          <w:tcPr>
            <w:tcW w:w="1134" w:type="dxa"/>
            <w:tcBorders>
              <w:left w:val="single" w:sz="4" w:space="0" w:color="auto"/>
              <w:bottom w:val="single" w:sz="4" w:space="0" w:color="auto"/>
              <w:right w:val="nil"/>
            </w:tcBorders>
            <w:shd w:val="clear" w:color="auto" w:fill="auto"/>
            <w:noWrap/>
            <w:vAlign w:val="bottom"/>
            <w:hideMark/>
          </w:tcPr>
          <w:p w14:paraId="7DEDCC58" w14:textId="146D0903" w:rsidR="00501E56" w:rsidRPr="00A86CC4" w:rsidRDefault="00501E56" w:rsidP="00501E56">
            <w:pPr>
              <w:spacing w:before="0"/>
              <w:contextualSpacing/>
              <w:jc w:val="center"/>
              <w:rPr>
                <w:rFonts w:eastAsia="Times New Roman" w:cstheme="minorHAnsi"/>
                <w:b/>
                <w:sz w:val="20"/>
                <w:szCs w:val="20"/>
                <w:lang w:val="en-US"/>
              </w:rPr>
            </w:pPr>
            <w:r w:rsidRPr="00A86CC4">
              <w:rPr>
                <w:rFonts w:eastAsia="Times New Roman" w:cstheme="minorHAnsi"/>
                <w:b/>
                <w:sz w:val="20"/>
                <w:szCs w:val="20"/>
                <w:lang w:val="en-US"/>
              </w:rPr>
              <w:t>(1</w:t>
            </w:r>
            <w:r>
              <w:rPr>
                <w:rFonts w:eastAsia="Times New Roman" w:cstheme="minorHAnsi"/>
                <w:b/>
                <w:sz w:val="20"/>
                <w:szCs w:val="20"/>
                <w:lang w:val="en-US"/>
              </w:rPr>
              <w:t>a</w:t>
            </w:r>
            <w:r w:rsidRPr="00A86CC4">
              <w:rPr>
                <w:rFonts w:eastAsia="Times New Roman" w:cstheme="minorHAnsi"/>
                <w:b/>
                <w:sz w:val="20"/>
                <w:szCs w:val="20"/>
                <w:lang w:val="en-US"/>
              </w:rPr>
              <w:t>)</w:t>
            </w:r>
          </w:p>
        </w:tc>
        <w:tc>
          <w:tcPr>
            <w:tcW w:w="1134" w:type="dxa"/>
            <w:tcBorders>
              <w:left w:val="nil"/>
              <w:bottom w:val="single" w:sz="4" w:space="0" w:color="auto"/>
              <w:right w:val="nil"/>
            </w:tcBorders>
          </w:tcPr>
          <w:p w14:paraId="474570A6" w14:textId="5E1DFD06" w:rsidR="00501E56" w:rsidRPr="00183F40" w:rsidRDefault="00501E56" w:rsidP="00501E56">
            <w:pPr>
              <w:spacing w:before="0"/>
              <w:contextualSpacing/>
              <w:jc w:val="center"/>
              <w:rPr>
                <w:rFonts w:eastAsia="Times New Roman" w:cstheme="minorHAnsi"/>
                <w:b/>
                <w:sz w:val="20"/>
                <w:szCs w:val="20"/>
                <w:lang w:val="en-US"/>
              </w:rPr>
            </w:pPr>
            <w:r w:rsidRPr="00183F40">
              <w:rPr>
                <w:rFonts w:eastAsia="Times New Roman" w:cstheme="minorHAnsi"/>
                <w:b/>
                <w:sz w:val="20"/>
                <w:szCs w:val="20"/>
                <w:lang w:val="en-US"/>
              </w:rPr>
              <w:t>(1b)</w:t>
            </w:r>
          </w:p>
        </w:tc>
        <w:tc>
          <w:tcPr>
            <w:tcW w:w="1134" w:type="dxa"/>
            <w:tcBorders>
              <w:left w:val="nil"/>
              <w:bottom w:val="single" w:sz="4" w:space="0" w:color="auto"/>
            </w:tcBorders>
            <w:shd w:val="clear" w:color="auto" w:fill="auto"/>
            <w:noWrap/>
            <w:vAlign w:val="bottom"/>
            <w:hideMark/>
          </w:tcPr>
          <w:p w14:paraId="26C54820" w14:textId="3F80C857" w:rsidR="00501E56" w:rsidRPr="00A86CC4" w:rsidRDefault="00501E56" w:rsidP="00501E56">
            <w:pPr>
              <w:spacing w:before="0"/>
              <w:contextualSpacing/>
              <w:jc w:val="center"/>
              <w:rPr>
                <w:rFonts w:eastAsia="Times New Roman" w:cstheme="minorHAnsi"/>
                <w:b/>
                <w:sz w:val="20"/>
                <w:szCs w:val="20"/>
                <w:lang w:val="en-US"/>
              </w:rPr>
            </w:pPr>
            <w:r w:rsidRPr="00A86CC4">
              <w:rPr>
                <w:rFonts w:eastAsia="Times New Roman" w:cstheme="minorHAnsi"/>
                <w:b/>
                <w:sz w:val="20"/>
                <w:szCs w:val="20"/>
                <w:lang w:val="en-US"/>
              </w:rPr>
              <w:t>(2</w:t>
            </w:r>
            <w:r>
              <w:rPr>
                <w:rFonts w:eastAsia="Times New Roman" w:cstheme="minorHAnsi"/>
                <w:b/>
                <w:sz w:val="20"/>
                <w:szCs w:val="20"/>
                <w:lang w:val="en-US"/>
              </w:rPr>
              <w:t>a</w:t>
            </w:r>
            <w:r w:rsidRPr="00A86CC4">
              <w:rPr>
                <w:rFonts w:eastAsia="Times New Roman" w:cstheme="minorHAnsi"/>
                <w:b/>
                <w:sz w:val="20"/>
                <w:szCs w:val="20"/>
                <w:lang w:val="en-US"/>
              </w:rPr>
              <w:t>)</w:t>
            </w:r>
          </w:p>
        </w:tc>
        <w:tc>
          <w:tcPr>
            <w:tcW w:w="1134" w:type="dxa"/>
            <w:tcBorders>
              <w:left w:val="nil"/>
              <w:bottom w:val="single" w:sz="4" w:space="0" w:color="auto"/>
              <w:right w:val="single" w:sz="4" w:space="0" w:color="auto"/>
            </w:tcBorders>
          </w:tcPr>
          <w:p w14:paraId="2D460CD6" w14:textId="4A92806E" w:rsidR="00501E56" w:rsidRPr="00A86CC4" w:rsidRDefault="00501E56" w:rsidP="00501E56">
            <w:pPr>
              <w:spacing w:before="0"/>
              <w:contextualSpacing/>
              <w:jc w:val="center"/>
              <w:rPr>
                <w:rFonts w:eastAsia="Times New Roman" w:cstheme="minorHAnsi"/>
                <w:b/>
                <w:sz w:val="20"/>
                <w:szCs w:val="20"/>
                <w:lang w:val="en-US"/>
              </w:rPr>
            </w:pPr>
            <w:r>
              <w:rPr>
                <w:rFonts w:eastAsia="Times New Roman" w:cstheme="minorHAnsi"/>
                <w:b/>
                <w:sz w:val="20"/>
                <w:szCs w:val="20"/>
                <w:lang w:val="en-US"/>
              </w:rPr>
              <w:t>(2b)</w:t>
            </w:r>
          </w:p>
        </w:tc>
        <w:tc>
          <w:tcPr>
            <w:tcW w:w="1134" w:type="dxa"/>
            <w:tcBorders>
              <w:left w:val="single" w:sz="4" w:space="0" w:color="auto"/>
              <w:bottom w:val="single" w:sz="4" w:space="0" w:color="auto"/>
              <w:right w:val="nil"/>
            </w:tcBorders>
            <w:shd w:val="clear" w:color="auto" w:fill="auto"/>
            <w:noWrap/>
            <w:vAlign w:val="bottom"/>
            <w:hideMark/>
          </w:tcPr>
          <w:p w14:paraId="796CCCB6" w14:textId="022B6770" w:rsidR="00501E56" w:rsidRPr="00A86CC4" w:rsidRDefault="00501E56" w:rsidP="00501E56">
            <w:pPr>
              <w:spacing w:before="0"/>
              <w:contextualSpacing/>
              <w:jc w:val="center"/>
              <w:rPr>
                <w:rFonts w:eastAsia="Times New Roman" w:cstheme="minorHAnsi"/>
                <w:b/>
                <w:sz w:val="20"/>
                <w:szCs w:val="20"/>
                <w:lang w:val="en-US"/>
              </w:rPr>
            </w:pPr>
            <w:r w:rsidRPr="00A86CC4">
              <w:rPr>
                <w:rFonts w:eastAsia="Times New Roman" w:cstheme="minorHAnsi"/>
                <w:b/>
                <w:sz w:val="20"/>
                <w:szCs w:val="20"/>
                <w:lang w:val="en-US"/>
              </w:rPr>
              <w:t>(1</w:t>
            </w:r>
            <w:r>
              <w:rPr>
                <w:rFonts w:eastAsia="Times New Roman" w:cstheme="minorHAnsi"/>
                <w:b/>
                <w:sz w:val="20"/>
                <w:szCs w:val="20"/>
                <w:lang w:val="en-US"/>
              </w:rPr>
              <w:t>a</w:t>
            </w:r>
            <w:r w:rsidRPr="00A86CC4">
              <w:rPr>
                <w:rFonts w:eastAsia="Times New Roman" w:cstheme="minorHAnsi"/>
                <w:b/>
                <w:sz w:val="20"/>
                <w:szCs w:val="20"/>
                <w:lang w:val="en-US"/>
              </w:rPr>
              <w:t>)</w:t>
            </w:r>
          </w:p>
        </w:tc>
        <w:tc>
          <w:tcPr>
            <w:tcW w:w="1134" w:type="dxa"/>
            <w:tcBorders>
              <w:left w:val="nil"/>
              <w:bottom w:val="single" w:sz="4" w:space="0" w:color="auto"/>
              <w:right w:val="nil"/>
            </w:tcBorders>
          </w:tcPr>
          <w:p w14:paraId="6EB027B3" w14:textId="562BD328" w:rsidR="00501E56" w:rsidRPr="00A86CC4" w:rsidRDefault="00501E56" w:rsidP="00501E56">
            <w:pPr>
              <w:spacing w:before="0"/>
              <w:contextualSpacing/>
              <w:jc w:val="center"/>
              <w:rPr>
                <w:rFonts w:eastAsia="Times New Roman" w:cstheme="minorHAnsi"/>
                <w:b/>
                <w:sz w:val="20"/>
                <w:szCs w:val="20"/>
                <w:lang w:val="en-US"/>
              </w:rPr>
            </w:pPr>
            <w:r w:rsidRPr="00A86CC4">
              <w:rPr>
                <w:rFonts w:eastAsia="Times New Roman" w:cstheme="minorHAnsi"/>
                <w:b/>
                <w:sz w:val="20"/>
                <w:szCs w:val="20"/>
                <w:lang w:val="en-US"/>
              </w:rPr>
              <w:t>(1</w:t>
            </w:r>
            <w:r>
              <w:rPr>
                <w:rFonts w:eastAsia="Times New Roman" w:cstheme="minorHAnsi"/>
                <w:b/>
                <w:sz w:val="20"/>
                <w:szCs w:val="20"/>
                <w:lang w:val="en-US"/>
              </w:rPr>
              <w:t>b</w:t>
            </w:r>
            <w:r w:rsidRPr="00A86CC4">
              <w:rPr>
                <w:rFonts w:eastAsia="Times New Roman" w:cstheme="minorHAnsi"/>
                <w:b/>
                <w:sz w:val="20"/>
                <w:szCs w:val="20"/>
                <w:lang w:val="en-US"/>
              </w:rPr>
              <w:t>)</w:t>
            </w:r>
          </w:p>
        </w:tc>
        <w:tc>
          <w:tcPr>
            <w:tcW w:w="1134" w:type="dxa"/>
            <w:tcBorders>
              <w:left w:val="nil"/>
              <w:bottom w:val="single" w:sz="4" w:space="0" w:color="auto"/>
              <w:right w:val="nil"/>
            </w:tcBorders>
            <w:shd w:val="clear" w:color="auto" w:fill="auto"/>
            <w:noWrap/>
            <w:vAlign w:val="bottom"/>
            <w:hideMark/>
          </w:tcPr>
          <w:p w14:paraId="5DF66132" w14:textId="2EDCB50C" w:rsidR="00501E56" w:rsidRPr="00A86CC4" w:rsidRDefault="00501E56" w:rsidP="00501E56">
            <w:pPr>
              <w:spacing w:before="0"/>
              <w:contextualSpacing/>
              <w:jc w:val="center"/>
              <w:rPr>
                <w:rFonts w:eastAsia="Times New Roman" w:cstheme="minorHAnsi"/>
                <w:b/>
                <w:sz w:val="20"/>
                <w:szCs w:val="20"/>
                <w:lang w:val="en-US"/>
              </w:rPr>
            </w:pPr>
            <w:r w:rsidRPr="00A86CC4">
              <w:rPr>
                <w:rFonts w:eastAsia="Times New Roman" w:cstheme="minorHAnsi"/>
                <w:b/>
                <w:sz w:val="20"/>
                <w:szCs w:val="20"/>
                <w:lang w:val="en-US"/>
              </w:rPr>
              <w:t>(2</w:t>
            </w:r>
            <w:r>
              <w:rPr>
                <w:rFonts w:eastAsia="Times New Roman" w:cstheme="minorHAnsi"/>
                <w:b/>
                <w:sz w:val="20"/>
                <w:szCs w:val="20"/>
                <w:lang w:val="en-US"/>
              </w:rPr>
              <w:t>a</w:t>
            </w:r>
            <w:r w:rsidRPr="00A86CC4">
              <w:rPr>
                <w:rFonts w:eastAsia="Times New Roman" w:cstheme="minorHAnsi"/>
                <w:b/>
                <w:sz w:val="20"/>
                <w:szCs w:val="20"/>
                <w:lang w:val="en-US"/>
              </w:rPr>
              <w:t>)</w:t>
            </w:r>
          </w:p>
        </w:tc>
        <w:tc>
          <w:tcPr>
            <w:tcW w:w="1134" w:type="dxa"/>
            <w:tcBorders>
              <w:left w:val="nil"/>
              <w:bottom w:val="single" w:sz="4" w:space="0" w:color="auto"/>
              <w:right w:val="nil"/>
            </w:tcBorders>
          </w:tcPr>
          <w:p w14:paraId="0E775369" w14:textId="641A6194" w:rsidR="00501E56" w:rsidRPr="00A86CC4" w:rsidRDefault="00501E56" w:rsidP="00501E56">
            <w:pPr>
              <w:spacing w:before="0"/>
              <w:contextualSpacing/>
              <w:jc w:val="center"/>
              <w:rPr>
                <w:rFonts w:eastAsia="Times New Roman" w:cstheme="minorHAnsi"/>
                <w:b/>
                <w:sz w:val="20"/>
                <w:szCs w:val="20"/>
                <w:lang w:val="en-US"/>
              </w:rPr>
            </w:pPr>
            <w:r>
              <w:rPr>
                <w:rFonts w:eastAsia="Times New Roman" w:cstheme="minorHAnsi"/>
                <w:b/>
                <w:sz w:val="20"/>
                <w:szCs w:val="20"/>
                <w:lang w:val="en-US"/>
              </w:rPr>
              <w:t>(2b)</w:t>
            </w:r>
          </w:p>
        </w:tc>
      </w:tr>
      <w:tr w:rsidR="00501E56" w:rsidRPr="00A86CC4" w14:paraId="3B0366B8" w14:textId="12C79A85" w:rsidTr="00501E56">
        <w:tc>
          <w:tcPr>
            <w:tcW w:w="2977" w:type="dxa"/>
            <w:tcBorders>
              <w:top w:val="single" w:sz="4" w:space="0" w:color="auto"/>
              <w:left w:val="nil"/>
              <w:right w:val="single" w:sz="4" w:space="0" w:color="auto"/>
            </w:tcBorders>
            <w:shd w:val="clear" w:color="auto" w:fill="auto"/>
            <w:noWrap/>
            <w:vAlign w:val="bottom"/>
          </w:tcPr>
          <w:p w14:paraId="01EC14E7" w14:textId="77777777" w:rsidR="00501E56" w:rsidRPr="00A86CC4" w:rsidRDefault="00501E56" w:rsidP="00501E56">
            <w:pPr>
              <w:spacing w:before="0"/>
              <w:contextualSpacing/>
              <w:rPr>
                <w:rFonts w:eastAsia="Times New Roman" w:cstheme="minorHAnsi"/>
                <w:i/>
                <w:sz w:val="20"/>
                <w:szCs w:val="20"/>
                <w:lang w:val="en-US"/>
              </w:rPr>
            </w:pPr>
            <w:r w:rsidRPr="00A86CC4">
              <w:rPr>
                <w:rFonts w:eastAsia="Times New Roman" w:cstheme="minorHAnsi"/>
                <w:i/>
                <w:sz w:val="20"/>
                <w:szCs w:val="20"/>
                <w:lang w:val="en-US"/>
              </w:rPr>
              <w:t>Number of children under 7 years</w:t>
            </w:r>
          </w:p>
        </w:tc>
        <w:tc>
          <w:tcPr>
            <w:tcW w:w="1134" w:type="dxa"/>
            <w:tcBorders>
              <w:top w:val="single" w:sz="4" w:space="0" w:color="auto"/>
              <w:left w:val="single" w:sz="4" w:space="0" w:color="auto"/>
              <w:right w:val="nil"/>
            </w:tcBorders>
            <w:shd w:val="clear" w:color="auto" w:fill="auto"/>
            <w:noWrap/>
            <w:vAlign w:val="bottom"/>
          </w:tcPr>
          <w:p w14:paraId="58EA8429" w14:textId="77777777" w:rsidR="00501E56" w:rsidRPr="00A86CC4"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nil"/>
              <w:right w:val="nil"/>
            </w:tcBorders>
          </w:tcPr>
          <w:p w14:paraId="5ADFBBE1" w14:textId="77777777" w:rsidR="00501E56" w:rsidRPr="00183F40"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nil"/>
            </w:tcBorders>
            <w:shd w:val="clear" w:color="auto" w:fill="auto"/>
            <w:noWrap/>
            <w:vAlign w:val="bottom"/>
          </w:tcPr>
          <w:p w14:paraId="37DCF31D" w14:textId="4DFF6C04" w:rsidR="00501E56" w:rsidRPr="00A86CC4"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nil"/>
              <w:right w:val="single" w:sz="4" w:space="0" w:color="auto"/>
            </w:tcBorders>
          </w:tcPr>
          <w:p w14:paraId="5974905B" w14:textId="77777777" w:rsidR="00501E56" w:rsidRPr="00A86CC4"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single" w:sz="4" w:space="0" w:color="auto"/>
              <w:right w:val="nil"/>
            </w:tcBorders>
            <w:shd w:val="clear" w:color="auto" w:fill="auto"/>
            <w:noWrap/>
            <w:vAlign w:val="bottom"/>
          </w:tcPr>
          <w:p w14:paraId="32675E54" w14:textId="7367354C" w:rsidR="00501E56" w:rsidRPr="00A86CC4"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nil"/>
              <w:right w:val="nil"/>
            </w:tcBorders>
          </w:tcPr>
          <w:p w14:paraId="6FCDD10B" w14:textId="77777777" w:rsidR="00501E56" w:rsidRPr="00A86CC4"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nil"/>
              <w:right w:val="nil"/>
            </w:tcBorders>
            <w:shd w:val="clear" w:color="auto" w:fill="auto"/>
            <w:noWrap/>
            <w:vAlign w:val="bottom"/>
          </w:tcPr>
          <w:p w14:paraId="429A783C" w14:textId="76EFFD1A" w:rsidR="00501E56" w:rsidRPr="00A86CC4" w:rsidRDefault="00501E56" w:rsidP="00501E56">
            <w:pPr>
              <w:spacing w:before="0"/>
              <w:contextualSpacing/>
              <w:jc w:val="center"/>
              <w:rPr>
                <w:rFonts w:eastAsia="Times New Roman" w:cstheme="minorHAnsi"/>
                <w:sz w:val="20"/>
                <w:szCs w:val="20"/>
                <w:lang w:val="en-US"/>
              </w:rPr>
            </w:pPr>
          </w:p>
        </w:tc>
        <w:tc>
          <w:tcPr>
            <w:tcW w:w="1134" w:type="dxa"/>
            <w:tcBorders>
              <w:top w:val="single" w:sz="4" w:space="0" w:color="auto"/>
              <w:left w:val="nil"/>
              <w:right w:val="nil"/>
            </w:tcBorders>
          </w:tcPr>
          <w:p w14:paraId="0E7F9CB6" w14:textId="77777777" w:rsidR="00501E56" w:rsidRPr="00A86CC4" w:rsidRDefault="00501E56" w:rsidP="00501E56">
            <w:pPr>
              <w:spacing w:before="0"/>
              <w:contextualSpacing/>
              <w:jc w:val="center"/>
              <w:rPr>
                <w:rFonts w:eastAsia="Times New Roman" w:cstheme="minorHAnsi"/>
                <w:sz w:val="20"/>
                <w:szCs w:val="20"/>
                <w:lang w:val="en-US"/>
              </w:rPr>
            </w:pPr>
          </w:p>
        </w:tc>
      </w:tr>
      <w:tr w:rsidR="00585E53" w:rsidRPr="00A86CC4" w14:paraId="552D76AC" w14:textId="50ABB507" w:rsidTr="00FA38DC">
        <w:tc>
          <w:tcPr>
            <w:tcW w:w="2977" w:type="dxa"/>
            <w:tcBorders>
              <w:left w:val="nil"/>
              <w:bottom w:val="nil"/>
              <w:right w:val="single" w:sz="4" w:space="0" w:color="auto"/>
            </w:tcBorders>
            <w:shd w:val="clear" w:color="auto" w:fill="auto"/>
            <w:noWrap/>
            <w:vAlign w:val="bottom"/>
          </w:tcPr>
          <w:p w14:paraId="0C888148"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1 child under 7 years</w:t>
            </w:r>
          </w:p>
        </w:tc>
        <w:tc>
          <w:tcPr>
            <w:tcW w:w="1134" w:type="dxa"/>
            <w:tcBorders>
              <w:left w:val="single" w:sz="4" w:space="0" w:color="auto"/>
              <w:bottom w:val="nil"/>
              <w:right w:val="nil"/>
            </w:tcBorders>
            <w:shd w:val="clear" w:color="auto" w:fill="auto"/>
            <w:noWrap/>
            <w:vAlign w:val="bottom"/>
          </w:tcPr>
          <w:p w14:paraId="6BD451DD" w14:textId="5808EEC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-0.506***</w:t>
            </w:r>
          </w:p>
        </w:tc>
        <w:tc>
          <w:tcPr>
            <w:tcW w:w="1134" w:type="dxa"/>
            <w:tcBorders>
              <w:left w:val="nil"/>
              <w:bottom w:val="nil"/>
              <w:right w:val="nil"/>
            </w:tcBorders>
            <w:vAlign w:val="bottom"/>
          </w:tcPr>
          <w:p w14:paraId="720A0B64" w14:textId="69BC6EC0"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-0.694***</w:t>
            </w:r>
          </w:p>
        </w:tc>
        <w:tc>
          <w:tcPr>
            <w:tcW w:w="1134" w:type="dxa"/>
            <w:tcBorders>
              <w:left w:val="nil"/>
              <w:bottom w:val="nil"/>
            </w:tcBorders>
            <w:shd w:val="clear" w:color="auto" w:fill="auto"/>
            <w:noWrap/>
            <w:vAlign w:val="bottom"/>
          </w:tcPr>
          <w:p w14:paraId="4B5579A7" w14:textId="54378C31"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left w:val="nil"/>
              <w:bottom w:val="nil"/>
              <w:right w:val="single" w:sz="4" w:space="0" w:color="auto"/>
            </w:tcBorders>
            <w:vAlign w:val="bottom"/>
          </w:tcPr>
          <w:p w14:paraId="1E3657C7"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left w:val="single" w:sz="4" w:space="0" w:color="auto"/>
              <w:bottom w:val="nil"/>
              <w:right w:val="nil"/>
            </w:tcBorders>
            <w:shd w:val="clear" w:color="auto" w:fill="auto"/>
            <w:noWrap/>
            <w:vAlign w:val="bottom"/>
          </w:tcPr>
          <w:p w14:paraId="2928EAF0" w14:textId="606B355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0.027</w:t>
            </w:r>
          </w:p>
        </w:tc>
        <w:tc>
          <w:tcPr>
            <w:tcW w:w="1134" w:type="dxa"/>
            <w:tcBorders>
              <w:left w:val="nil"/>
              <w:bottom w:val="nil"/>
              <w:right w:val="nil"/>
            </w:tcBorders>
            <w:vAlign w:val="bottom"/>
          </w:tcPr>
          <w:p w14:paraId="44A677A8" w14:textId="0BE970E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0.102*</w:t>
            </w:r>
          </w:p>
        </w:tc>
        <w:tc>
          <w:tcPr>
            <w:tcW w:w="1134" w:type="dxa"/>
            <w:tcBorders>
              <w:left w:val="nil"/>
              <w:bottom w:val="nil"/>
              <w:right w:val="nil"/>
            </w:tcBorders>
            <w:shd w:val="clear" w:color="auto" w:fill="auto"/>
            <w:noWrap/>
            <w:vAlign w:val="bottom"/>
          </w:tcPr>
          <w:p w14:paraId="21C9C8EA" w14:textId="45D983EA"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left w:val="nil"/>
              <w:bottom w:val="nil"/>
              <w:right w:val="nil"/>
            </w:tcBorders>
            <w:vAlign w:val="bottom"/>
          </w:tcPr>
          <w:p w14:paraId="664CAF3F" w14:textId="77777777" w:rsidR="00585E53" w:rsidRPr="00A86CC4" w:rsidRDefault="00585E53" w:rsidP="00585E53">
            <w:pPr>
              <w:spacing w:before="0"/>
              <w:contextualSpacing/>
              <w:jc w:val="center"/>
              <w:rPr>
                <w:rFonts w:eastAsia="Times New Roman" w:cstheme="minorHAnsi"/>
                <w:sz w:val="20"/>
                <w:szCs w:val="20"/>
                <w:lang w:val="en-US"/>
              </w:rPr>
            </w:pPr>
          </w:p>
        </w:tc>
      </w:tr>
      <w:tr w:rsidR="00585E53" w:rsidRPr="00A86CC4" w14:paraId="74DC553B" w14:textId="26EBFEB2" w:rsidTr="00FA38DC">
        <w:tc>
          <w:tcPr>
            <w:tcW w:w="2977" w:type="dxa"/>
            <w:tcBorders>
              <w:top w:val="nil"/>
              <w:left w:val="nil"/>
              <w:right w:val="single" w:sz="4" w:space="0" w:color="auto"/>
            </w:tcBorders>
            <w:shd w:val="clear" w:color="auto" w:fill="auto"/>
            <w:noWrap/>
            <w:vAlign w:val="bottom"/>
            <w:hideMark/>
          </w:tcPr>
          <w:p w14:paraId="4C2E9121"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right w:val="nil"/>
            </w:tcBorders>
            <w:shd w:val="clear" w:color="auto" w:fill="auto"/>
            <w:noWrap/>
            <w:vAlign w:val="bottom"/>
            <w:hideMark/>
          </w:tcPr>
          <w:p w14:paraId="3182875D" w14:textId="5D9A425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(0.054)</w:t>
            </w:r>
          </w:p>
        </w:tc>
        <w:tc>
          <w:tcPr>
            <w:tcW w:w="1134" w:type="dxa"/>
            <w:tcBorders>
              <w:top w:val="nil"/>
              <w:left w:val="nil"/>
              <w:right w:val="nil"/>
            </w:tcBorders>
            <w:vAlign w:val="bottom"/>
          </w:tcPr>
          <w:p w14:paraId="40E6EDEB" w14:textId="01F05C01"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(0.053)</w:t>
            </w:r>
          </w:p>
        </w:tc>
        <w:tc>
          <w:tcPr>
            <w:tcW w:w="1134" w:type="dxa"/>
            <w:tcBorders>
              <w:top w:val="nil"/>
              <w:left w:val="nil"/>
            </w:tcBorders>
            <w:shd w:val="clear" w:color="auto" w:fill="auto"/>
            <w:noWrap/>
            <w:vAlign w:val="bottom"/>
            <w:hideMark/>
          </w:tcPr>
          <w:p w14:paraId="778FD598" w14:textId="0663E222"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right w:val="single" w:sz="4" w:space="0" w:color="auto"/>
            </w:tcBorders>
            <w:vAlign w:val="bottom"/>
          </w:tcPr>
          <w:p w14:paraId="0DF1812F"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right w:val="nil"/>
            </w:tcBorders>
            <w:shd w:val="clear" w:color="auto" w:fill="auto"/>
            <w:noWrap/>
            <w:vAlign w:val="bottom"/>
            <w:hideMark/>
          </w:tcPr>
          <w:p w14:paraId="64022E1D" w14:textId="724536B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(0.045)</w:t>
            </w:r>
          </w:p>
        </w:tc>
        <w:tc>
          <w:tcPr>
            <w:tcW w:w="1134" w:type="dxa"/>
            <w:tcBorders>
              <w:top w:val="nil"/>
              <w:left w:val="nil"/>
              <w:right w:val="nil"/>
            </w:tcBorders>
            <w:vAlign w:val="bottom"/>
          </w:tcPr>
          <w:p w14:paraId="32EC7420" w14:textId="6450DC6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(0.052)</w:t>
            </w:r>
          </w:p>
        </w:tc>
        <w:tc>
          <w:tcPr>
            <w:tcW w:w="1134" w:type="dxa"/>
            <w:tcBorders>
              <w:top w:val="nil"/>
              <w:left w:val="nil"/>
              <w:right w:val="nil"/>
            </w:tcBorders>
            <w:shd w:val="clear" w:color="auto" w:fill="auto"/>
            <w:noWrap/>
            <w:vAlign w:val="bottom"/>
            <w:hideMark/>
          </w:tcPr>
          <w:p w14:paraId="42AFFF27" w14:textId="41494518"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right w:val="nil"/>
            </w:tcBorders>
            <w:vAlign w:val="bottom"/>
          </w:tcPr>
          <w:p w14:paraId="4696C157" w14:textId="77777777" w:rsidR="00585E53" w:rsidRPr="00A86CC4" w:rsidRDefault="00585E53" w:rsidP="00585E53">
            <w:pPr>
              <w:spacing w:before="0"/>
              <w:contextualSpacing/>
              <w:jc w:val="center"/>
              <w:rPr>
                <w:rFonts w:eastAsia="Times New Roman" w:cstheme="minorHAnsi"/>
                <w:sz w:val="20"/>
                <w:szCs w:val="20"/>
                <w:lang w:val="en-US"/>
              </w:rPr>
            </w:pPr>
          </w:p>
        </w:tc>
      </w:tr>
      <w:tr w:rsidR="00585E53" w:rsidRPr="00A86CC4" w14:paraId="57C48592" w14:textId="2083F5CF" w:rsidTr="00FA38DC">
        <w:tc>
          <w:tcPr>
            <w:tcW w:w="2977" w:type="dxa"/>
            <w:vMerge w:val="restart"/>
            <w:tcBorders>
              <w:top w:val="nil"/>
              <w:left w:val="nil"/>
              <w:right w:val="single" w:sz="4" w:space="0" w:color="auto"/>
            </w:tcBorders>
            <w:shd w:val="clear" w:color="auto" w:fill="auto"/>
            <w:noWrap/>
            <w:vAlign w:val="bottom"/>
            <w:hideMark/>
          </w:tcPr>
          <w:p w14:paraId="43BE9F03"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2 and more children under 7 years</w:t>
            </w:r>
          </w:p>
        </w:tc>
        <w:tc>
          <w:tcPr>
            <w:tcW w:w="1134" w:type="dxa"/>
            <w:tcBorders>
              <w:top w:val="nil"/>
              <w:left w:val="single" w:sz="4" w:space="0" w:color="auto"/>
              <w:bottom w:val="nil"/>
              <w:right w:val="nil"/>
            </w:tcBorders>
            <w:shd w:val="clear" w:color="auto" w:fill="auto"/>
            <w:noWrap/>
            <w:vAlign w:val="bottom"/>
            <w:hideMark/>
          </w:tcPr>
          <w:p w14:paraId="02E70332" w14:textId="1BF162B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-0.971***</w:t>
            </w:r>
          </w:p>
        </w:tc>
        <w:tc>
          <w:tcPr>
            <w:tcW w:w="1134" w:type="dxa"/>
            <w:tcBorders>
              <w:top w:val="nil"/>
              <w:left w:val="nil"/>
              <w:bottom w:val="nil"/>
              <w:right w:val="nil"/>
            </w:tcBorders>
            <w:vAlign w:val="bottom"/>
          </w:tcPr>
          <w:p w14:paraId="65AD3084" w14:textId="1664F59A"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-1.197***</w:t>
            </w:r>
          </w:p>
        </w:tc>
        <w:tc>
          <w:tcPr>
            <w:tcW w:w="1134" w:type="dxa"/>
            <w:tcBorders>
              <w:top w:val="nil"/>
              <w:left w:val="nil"/>
              <w:bottom w:val="nil"/>
            </w:tcBorders>
            <w:shd w:val="clear" w:color="auto" w:fill="auto"/>
            <w:noWrap/>
            <w:vAlign w:val="bottom"/>
            <w:hideMark/>
          </w:tcPr>
          <w:p w14:paraId="7372451E" w14:textId="764239B8"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single" w:sz="4" w:space="0" w:color="auto"/>
            </w:tcBorders>
            <w:vAlign w:val="bottom"/>
          </w:tcPr>
          <w:p w14:paraId="5DDBBC34"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01D27356" w14:textId="31F0B03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0.064</w:t>
            </w:r>
          </w:p>
        </w:tc>
        <w:tc>
          <w:tcPr>
            <w:tcW w:w="1134" w:type="dxa"/>
            <w:tcBorders>
              <w:top w:val="nil"/>
              <w:left w:val="nil"/>
              <w:bottom w:val="nil"/>
              <w:right w:val="nil"/>
            </w:tcBorders>
            <w:vAlign w:val="bottom"/>
          </w:tcPr>
          <w:p w14:paraId="24B035AD" w14:textId="79A4A6C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0.160**</w:t>
            </w:r>
          </w:p>
        </w:tc>
        <w:tc>
          <w:tcPr>
            <w:tcW w:w="1134" w:type="dxa"/>
            <w:tcBorders>
              <w:top w:val="nil"/>
              <w:left w:val="nil"/>
              <w:bottom w:val="nil"/>
              <w:right w:val="nil"/>
            </w:tcBorders>
            <w:shd w:val="clear" w:color="auto" w:fill="auto"/>
            <w:noWrap/>
            <w:vAlign w:val="bottom"/>
            <w:hideMark/>
          </w:tcPr>
          <w:p w14:paraId="019F4FC9" w14:textId="342FB143"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0179B974" w14:textId="77777777" w:rsidR="00585E53" w:rsidRPr="00A86CC4" w:rsidRDefault="00585E53" w:rsidP="00585E53">
            <w:pPr>
              <w:spacing w:before="0"/>
              <w:contextualSpacing/>
              <w:jc w:val="center"/>
              <w:rPr>
                <w:rFonts w:eastAsia="Times New Roman" w:cstheme="minorHAnsi"/>
                <w:sz w:val="20"/>
                <w:szCs w:val="20"/>
                <w:lang w:val="en-US"/>
              </w:rPr>
            </w:pPr>
          </w:p>
        </w:tc>
      </w:tr>
      <w:tr w:rsidR="00585E53" w:rsidRPr="00A86CC4" w14:paraId="6B47FA0F" w14:textId="35CC53E9" w:rsidTr="00FA38DC">
        <w:tc>
          <w:tcPr>
            <w:tcW w:w="2977" w:type="dxa"/>
            <w:vMerge/>
            <w:tcBorders>
              <w:left w:val="nil"/>
              <w:bottom w:val="single" w:sz="4" w:space="0" w:color="auto"/>
              <w:right w:val="single" w:sz="4" w:space="0" w:color="auto"/>
            </w:tcBorders>
            <w:shd w:val="clear" w:color="auto" w:fill="auto"/>
            <w:noWrap/>
            <w:vAlign w:val="bottom"/>
            <w:hideMark/>
          </w:tcPr>
          <w:p w14:paraId="294521AE"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5C29C94E" w14:textId="48AA126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(0.088)</w:t>
            </w:r>
          </w:p>
        </w:tc>
        <w:tc>
          <w:tcPr>
            <w:tcW w:w="1134" w:type="dxa"/>
            <w:tcBorders>
              <w:top w:val="nil"/>
              <w:left w:val="nil"/>
              <w:bottom w:val="single" w:sz="4" w:space="0" w:color="auto"/>
              <w:right w:val="nil"/>
            </w:tcBorders>
            <w:vAlign w:val="bottom"/>
          </w:tcPr>
          <w:p w14:paraId="53ABF87F" w14:textId="3F919BFD"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(0.089)</w:t>
            </w:r>
          </w:p>
        </w:tc>
        <w:tc>
          <w:tcPr>
            <w:tcW w:w="1134" w:type="dxa"/>
            <w:tcBorders>
              <w:top w:val="nil"/>
              <w:left w:val="nil"/>
              <w:bottom w:val="single" w:sz="4" w:space="0" w:color="auto"/>
            </w:tcBorders>
            <w:shd w:val="clear" w:color="auto" w:fill="auto"/>
            <w:noWrap/>
            <w:vAlign w:val="bottom"/>
            <w:hideMark/>
          </w:tcPr>
          <w:p w14:paraId="4A1C9EE9" w14:textId="402B2EB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single" w:sz="4" w:space="0" w:color="auto"/>
              <w:right w:val="single" w:sz="4" w:space="0" w:color="auto"/>
            </w:tcBorders>
            <w:vAlign w:val="bottom"/>
          </w:tcPr>
          <w:p w14:paraId="32D43647"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470927DC" w14:textId="159E46C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(0.082)</w:t>
            </w:r>
          </w:p>
        </w:tc>
        <w:tc>
          <w:tcPr>
            <w:tcW w:w="1134" w:type="dxa"/>
            <w:tcBorders>
              <w:top w:val="nil"/>
              <w:left w:val="nil"/>
              <w:bottom w:val="single" w:sz="4" w:space="0" w:color="auto"/>
              <w:right w:val="nil"/>
            </w:tcBorders>
            <w:vAlign w:val="bottom"/>
          </w:tcPr>
          <w:p w14:paraId="284CF16F" w14:textId="740E3B1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(0.080)</w:t>
            </w:r>
          </w:p>
        </w:tc>
        <w:tc>
          <w:tcPr>
            <w:tcW w:w="1134" w:type="dxa"/>
            <w:tcBorders>
              <w:top w:val="nil"/>
              <w:left w:val="nil"/>
              <w:bottom w:val="single" w:sz="4" w:space="0" w:color="auto"/>
              <w:right w:val="nil"/>
            </w:tcBorders>
            <w:shd w:val="clear" w:color="auto" w:fill="auto"/>
            <w:noWrap/>
            <w:vAlign w:val="bottom"/>
            <w:hideMark/>
          </w:tcPr>
          <w:p w14:paraId="454B0D3F" w14:textId="1707FBA0"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single" w:sz="4" w:space="0" w:color="auto"/>
              <w:right w:val="nil"/>
            </w:tcBorders>
            <w:vAlign w:val="bottom"/>
          </w:tcPr>
          <w:p w14:paraId="7ABBD108" w14:textId="77777777" w:rsidR="00585E53" w:rsidRPr="00A86CC4" w:rsidRDefault="00585E53" w:rsidP="00585E53">
            <w:pPr>
              <w:spacing w:before="0"/>
              <w:contextualSpacing/>
              <w:jc w:val="center"/>
              <w:rPr>
                <w:rFonts w:eastAsia="Times New Roman" w:cstheme="minorHAnsi"/>
                <w:sz w:val="20"/>
                <w:szCs w:val="20"/>
                <w:lang w:val="en-US"/>
              </w:rPr>
            </w:pPr>
          </w:p>
        </w:tc>
      </w:tr>
      <w:tr w:rsidR="00585E53" w:rsidRPr="00A86CC4" w14:paraId="3266566D" w14:textId="576B192C" w:rsidTr="00FA38DC">
        <w:tc>
          <w:tcPr>
            <w:tcW w:w="2977" w:type="dxa"/>
            <w:tcBorders>
              <w:top w:val="nil"/>
              <w:left w:val="nil"/>
              <w:bottom w:val="nil"/>
              <w:right w:val="single" w:sz="4" w:space="0" w:color="auto"/>
            </w:tcBorders>
            <w:shd w:val="clear" w:color="auto" w:fill="auto"/>
            <w:noWrap/>
            <w:vAlign w:val="bottom"/>
            <w:hideMark/>
          </w:tcPr>
          <w:p w14:paraId="1AC32F82" w14:textId="4E4968A7" w:rsidR="00585E53" w:rsidRPr="00A86CC4" w:rsidRDefault="00585E53" w:rsidP="00585E53">
            <w:pPr>
              <w:spacing w:before="0"/>
              <w:contextualSpacing/>
              <w:rPr>
                <w:rFonts w:eastAsia="Times New Roman" w:cstheme="minorHAnsi"/>
                <w:sz w:val="20"/>
                <w:szCs w:val="20"/>
                <w:lang w:val="en-US"/>
              </w:rPr>
            </w:pPr>
            <w:r>
              <w:rPr>
                <w:rFonts w:eastAsia="Times New Roman" w:cstheme="minorHAnsi"/>
                <w:sz w:val="20"/>
                <w:szCs w:val="20"/>
                <w:lang w:val="en-US"/>
              </w:rPr>
              <w:t>0</w:t>
            </w:r>
            <w:r w:rsidRPr="00A86CC4">
              <w:rPr>
                <w:rFonts w:eastAsia="Times New Roman" w:cstheme="minorHAnsi"/>
                <w:sz w:val="20"/>
                <w:szCs w:val="20"/>
                <w:lang w:val="en-US"/>
              </w:rPr>
              <w:t>-2 years</w:t>
            </w:r>
          </w:p>
        </w:tc>
        <w:tc>
          <w:tcPr>
            <w:tcW w:w="1134" w:type="dxa"/>
            <w:tcBorders>
              <w:top w:val="nil"/>
              <w:left w:val="single" w:sz="4" w:space="0" w:color="auto"/>
              <w:bottom w:val="nil"/>
              <w:right w:val="nil"/>
            </w:tcBorders>
            <w:shd w:val="clear" w:color="auto" w:fill="auto"/>
            <w:noWrap/>
            <w:vAlign w:val="bottom"/>
            <w:hideMark/>
          </w:tcPr>
          <w:p w14:paraId="4D023FD4"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nil"/>
              <w:right w:val="nil"/>
            </w:tcBorders>
            <w:vAlign w:val="bottom"/>
          </w:tcPr>
          <w:p w14:paraId="7619DC61"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tcBorders>
            <w:shd w:val="clear" w:color="auto" w:fill="auto"/>
            <w:noWrap/>
            <w:vAlign w:val="bottom"/>
            <w:hideMark/>
          </w:tcPr>
          <w:p w14:paraId="6A578B4B" w14:textId="10962B9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-1.228***</w:t>
            </w:r>
          </w:p>
        </w:tc>
        <w:tc>
          <w:tcPr>
            <w:tcW w:w="1134" w:type="dxa"/>
            <w:tcBorders>
              <w:top w:val="nil"/>
              <w:left w:val="nil"/>
              <w:bottom w:val="nil"/>
              <w:right w:val="single" w:sz="4" w:space="0" w:color="auto"/>
            </w:tcBorders>
            <w:vAlign w:val="bottom"/>
          </w:tcPr>
          <w:p w14:paraId="63EBEFB0" w14:textId="6C13E73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-1.481***</w:t>
            </w:r>
          </w:p>
        </w:tc>
        <w:tc>
          <w:tcPr>
            <w:tcW w:w="1134" w:type="dxa"/>
            <w:tcBorders>
              <w:top w:val="nil"/>
              <w:left w:val="single" w:sz="4" w:space="0" w:color="auto"/>
              <w:bottom w:val="nil"/>
              <w:right w:val="nil"/>
            </w:tcBorders>
            <w:shd w:val="clear" w:color="auto" w:fill="auto"/>
            <w:noWrap/>
            <w:vAlign w:val="bottom"/>
            <w:hideMark/>
          </w:tcPr>
          <w:p w14:paraId="3B87AFF0" w14:textId="6B923AF0"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6CEEFD12"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shd w:val="clear" w:color="auto" w:fill="auto"/>
            <w:noWrap/>
            <w:vAlign w:val="bottom"/>
            <w:hideMark/>
          </w:tcPr>
          <w:p w14:paraId="5F754F0C" w14:textId="0512BDC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0.102</w:t>
            </w:r>
          </w:p>
        </w:tc>
        <w:tc>
          <w:tcPr>
            <w:tcW w:w="1134" w:type="dxa"/>
            <w:tcBorders>
              <w:top w:val="nil"/>
              <w:left w:val="nil"/>
              <w:bottom w:val="nil"/>
              <w:right w:val="nil"/>
            </w:tcBorders>
            <w:vAlign w:val="bottom"/>
          </w:tcPr>
          <w:p w14:paraId="42B19F40" w14:textId="3B08082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0.196***</w:t>
            </w:r>
          </w:p>
        </w:tc>
      </w:tr>
      <w:tr w:rsidR="00585E53" w:rsidRPr="00A86CC4" w14:paraId="71CA6882" w14:textId="3337342A" w:rsidTr="00FA38DC">
        <w:tc>
          <w:tcPr>
            <w:tcW w:w="2977" w:type="dxa"/>
            <w:tcBorders>
              <w:top w:val="nil"/>
              <w:left w:val="nil"/>
              <w:bottom w:val="nil"/>
              <w:right w:val="single" w:sz="4" w:space="0" w:color="auto"/>
            </w:tcBorders>
            <w:shd w:val="clear" w:color="auto" w:fill="auto"/>
            <w:noWrap/>
            <w:vAlign w:val="bottom"/>
            <w:hideMark/>
          </w:tcPr>
          <w:p w14:paraId="1B0E6FFD"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13EAEEF7"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nil"/>
              <w:right w:val="nil"/>
            </w:tcBorders>
            <w:vAlign w:val="bottom"/>
          </w:tcPr>
          <w:p w14:paraId="7C6B4D0B"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tcBorders>
            <w:shd w:val="clear" w:color="auto" w:fill="auto"/>
            <w:noWrap/>
            <w:vAlign w:val="bottom"/>
            <w:hideMark/>
          </w:tcPr>
          <w:p w14:paraId="36DE3A18" w14:textId="5DE8AB5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(0.089)</w:t>
            </w:r>
          </w:p>
        </w:tc>
        <w:tc>
          <w:tcPr>
            <w:tcW w:w="1134" w:type="dxa"/>
            <w:tcBorders>
              <w:top w:val="nil"/>
              <w:left w:val="nil"/>
              <w:bottom w:val="nil"/>
              <w:right w:val="single" w:sz="4" w:space="0" w:color="auto"/>
            </w:tcBorders>
            <w:vAlign w:val="bottom"/>
          </w:tcPr>
          <w:p w14:paraId="425ADFE4" w14:textId="4202E9A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(0.086)</w:t>
            </w:r>
          </w:p>
        </w:tc>
        <w:tc>
          <w:tcPr>
            <w:tcW w:w="1134" w:type="dxa"/>
            <w:tcBorders>
              <w:top w:val="nil"/>
              <w:left w:val="single" w:sz="4" w:space="0" w:color="auto"/>
              <w:bottom w:val="nil"/>
              <w:right w:val="nil"/>
            </w:tcBorders>
            <w:shd w:val="clear" w:color="auto" w:fill="auto"/>
            <w:noWrap/>
            <w:vAlign w:val="bottom"/>
            <w:hideMark/>
          </w:tcPr>
          <w:p w14:paraId="066785AF" w14:textId="6D571F5B"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7CC29BB4"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shd w:val="clear" w:color="auto" w:fill="auto"/>
            <w:noWrap/>
            <w:vAlign w:val="bottom"/>
            <w:hideMark/>
          </w:tcPr>
          <w:p w14:paraId="4C8051AE" w14:textId="07151CF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(0.068)</w:t>
            </w:r>
          </w:p>
        </w:tc>
        <w:tc>
          <w:tcPr>
            <w:tcW w:w="1134" w:type="dxa"/>
            <w:tcBorders>
              <w:top w:val="nil"/>
              <w:left w:val="nil"/>
              <w:bottom w:val="nil"/>
              <w:right w:val="nil"/>
            </w:tcBorders>
            <w:vAlign w:val="bottom"/>
          </w:tcPr>
          <w:p w14:paraId="67D907E5" w14:textId="5005299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(0.074)</w:t>
            </w:r>
          </w:p>
        </w:tc>
      </w:tr>
      <w:tr w:rsidR="00585E53" w:rsidRPr="00A86CC4" w14:paraId="2B1928A4" w14:textId="0C10D7D4" w:rsidTr="00FA38DC">
        <w:tc>
          <w:tcPr>
            <w:tcW w:w="2977" w:type="dxa"/>
            <w:tcBorders>
              <w:top w:val="nil"/>
              <w:left w:val="nil"/>
              <w:bottom w:val="nil"/>
              <w:right w:val="single" w:sz="4" w:space="0" w:color="auto"/>
            </w:tcBorders>
            <w:shd w:val="clear" w:color="auto" w:fill="auto"/>
            <w:noWrap/>
            <w:vAlign w:val="bottom"/>
            <w:hideMark/>
          </w:tcPr>
          <w:p w14:paraId="7D183D6E"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3-6 years</w:t>
            </w:r>
          </w:p>
        </w:tc>
        <w:tc>
          <w:tcPr>
            <w:tcW w:w="1134" w:type="dxa"/>
            <w:tcBorders>
              <w:top w:val="nil"/>
              <w:left w:val="single" w:sz="4" w:space="0" w:color="auto"/>
              <w:bottom w:val="nil"/>
              <w:right w:val="nil"/>
            </w:tcBorders>
            <w:shd w:val="clear" w:color="auto" w:fill="auto"/>
            <w:noWrap/>
            <w:vAlign w:val="bottom"/>
            <w:hideMark/>
          </w:tcPr>
          <w:p w14:paraId="25F9AF0E"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nil"/>
              <w:right w:val="nil"/>
            </w:tcBorders>
            <w:vAlign w:val="bottom"/>
          </w:tcPr>
          <w:p w14:paraId="76FDDB07"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tcBorders>
            <w:shd w:val="clear" w:color="auto" w:fill="auto"/>
            <w:noWrap/>
            <w:vAlign w:val="bottom"/>
            <w:hideMark/>
          </w:tcPr>
          <w:p w14:paraId="76BD7CEE" w14:textId="4F3A79D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-0.061</w:t>
            </w:r>
          </w:p>
        </w:tc>
        <w:tc>
          <w:tcPr>
            <w:tcW w:w="1134" w:type="dxa"/>
            <w:tcBorders>
              <w:top w:val="nil"/>
              <w:left w:val="nil"/>
              <w:bottom w:val="nil"/>
              <w:right w:val="single" w:sz="4" w:space="0" w:color="auto"/>
            </w:tcBorders>
            <w:vAlign w:val="bottom"/>
          </w:tcPr>
          <w:p w14:paraId="08D46585" w14:textId="1160420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-0.248***</w:t>
            </w:r>
          </w:p>
        </w:tc>
        <w:tc>
          <w:tcPr>
            <w:tcW w:w="1134" w:type="dxa"/>
            <w:tcBorders>
              <w:top w:val="nil"/>
              <w:left w:val="single" w:sz="4" w:space="0" w:color="auto"/>
              <w:bottom w:val="nil"/>
              <w:right w:val="nil"/>
            </w:tcBorders>
            <w:shd w:val="clear" w:color="auto" w:fill="auto"/>
            <w:noWrap/>
            <w:vAlign w:val="bottom"/>
            <w:hideMark/>
          </w:tcPr>
          <w:p w14:paraId="5E6EB649" w14:textId="334C1528"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2F3B5122"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shd w:val="clear" w:color="auto" w:fill="auto"/>
            <w:noWrap/>
            <w:vAlign w:val="bottom"/>
            <w:hideMark/>
          </w:tcPr>
          <w:p w14:paraId="58540A3A" w14:textId="7ADAA23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-0.034</w:t>
            </w:r>
          </w:p>
        </w:tc>
        <w:tc>
          <w:tcPr>
            <w:tcW w:w="1134" w:type="dxa"/>
            <w:tcBorders>
              <w:top w:val="nil"/>
              <w:left w:val="nil"/>
              <w:bottom w:val="nil"/>
              <w:right w:val="nil"/>
            </w:tcBorders>
            <w:vAlign w:val="bottom"/>
          </w:tcPr>
          <w:p w14:paraId="7D348840" w14:textId="308E197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0.057</w:t>
            </w:r>
          </w:p>
        </w:tc>
      </w:tr>
      <w:tr w:rsidR="00585E53" w:rsidRPr="00A86CC4" w14:paraId="6F33F231" w14:textId="635BEDD8" w:rsidTr="00FA38DC">
        <w:tc>
          <w:tcPr>
            <w:tcW w:w="2977" w:type="dxa"/>
            <w:tcBorders>
              <w:top w:val="nil"/>
              <w:left w:val="nil"/>
              <w:bottom w:val="nil"/>
              <w:right w:val="single" w:sz="4" w:space="0" w:color="auto"/>
            </w:tcBorders>
            <w:shd w:val="clear" w:color="auto" w:fill="auto"/>
            <w:noWrap/>
            <w:vAlign w:val="bottom"/>
            <w:hideMark/>
          </w:tcPr>
          <w:p w14:paraId="7F38DFAF"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43EA410C"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nil"/>
              <w:right w:val="nil"/>
            </w:tcBorders>
            <w:vAlign w:val="bottom"/>
          </w:tcPr>
          <w:p w14:paraId="4098F0E4"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tcBorders>
            <w:shd w:val="clear" w:color="auto" w:fill="auto"/>
            <w:noWrap/>
            <w:vAlign w:val="bottom"/>
            <w:hideMark/>
          </w:tcPr>
          <w:p w14:paraId="0CCE4899" w14:textId="25FE44E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(0.069)</w:t>
            </w:r>
          </w:p>
        </w:tc>
        <w:tc>
          <w:tcPr>
            <w:tcW w:w="1134" w:type="dxa"/>
            <w:tcBorders>
              <w:top w:val="nil"/>
              <w:left w:val="nil"/>
              <w:bottom w:val="nil"/>
              <w:right w:val="single" w:sz="4" w:space="0" w:color="auto"/>
            </w:tcBorders>
            <w:vAlign w:val="bottom"/>
          </w:tcPr>
          <w:p w14:paraId="64405E70" w14:textId="26A6BFF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(0.072)</w:t>
            </w:r>
          </w:p>
        </w:tc>
        <w:tc>
          <w:tcPr>
            <w:tcW w:w="1134" w:type="dxa"/>
            <w:tcBorders>
              <w:top w:val="nil"/>
              <w:left w:val="single" w:sz="4" w:space="0" w:color="auto"/>
              <w:bottom w:val="nil"/>
              <w:right w:val="nil"/>
            </w:tcBorders>
            <w:shd w:val="clear" w:color="auto" w:fill="auto"/>
            <w:noWrap/>
            <w:vAlign w:val="bottom"/>
            <w:hideMark/>
          </w:tcPr>
          <w:p w14:paraId="60C3C3E3" w14:textId="57474574"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6AB0C34A"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shd w:val="clear" w:color="auto" w:fill="auto"/>
            <w:noWrap/>
            <w:vAlign w:val="bottom"/>
            <w:hideMark/>
          </w:tcPr>
          <w:p w14:paraId="513EBF0B" w14:textId="58674DE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(0.069)</w:t>
            </w:r>
          </w:p>
        </w:tc>
        <w:tc>
          <w:tcPr>
            <w:tcW w:w="1134" w:type="dxa"/>
            <w:tcBorders>
              <w:top w:val="nil"/>
              <w:left w:val="nil"/>
              <w:bottom w:val="nil"/>
              <w:right w:val="nil"/>
            </w:tcBorders>
            <w:vAlign w:val="bottom"/>
          </w:tcPr>
          <w:p w14:paraId="58C05534" w14:textId="0E25577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(0.083)</w:t>
            </w:r>
          </w:p>
        </w:tc>
      </w:tr>
      <w:tr w:rsidR="00585E53" w:rsidRPr="00A86CC4" w14:paraId="279EC62E" w14:textId="65918EA5" w:rsidTr="00FA38DC">
        <w:tc>
          <w:tcPr>
            <w:tcW w:w="2977" w:type="dxa"/>
            <w:tcBorders>
              <w:top w:val="nil"/>
              <w:left w:val="nil"/>
              <w:bottom w:val="nil"/>
              <w:right w:val="single" w:sz="4" w:space="0" w:color="auto"/>
            </w:tcBorders>
            <w:shd w:val="clear" w:color="auto" w:fill="auto"/>
            <w:noWrap/>
            <w:vAlign w:val="bottom"/>
            <w:hideMark/>
          </w:tcPr>
          <w:p w14:paraId="36DF42E7"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7-14 years</w:t>
            </w:r>
          </w:p>
        </w:tc>
        <w:tc>
          <w:tcPr>
            <w:tcW w:w="1134" w:type="dxa"/>
            <w:tcBorders>
              <w:top w:val="nil"/>
              <w:left w:val="single" w:sz="4" w:space="0" w:color="auto"/>
              <w:bottom w:val="nil"/>
              <w:right w:val="nil"/>
            </w:tcBorders>
            <w:shd w:val="clear" w:color="auto" w:fill="auto"/>
            <w:noWrap/>
            <w:vAlign w:val="bottom"/>
            <w:hideMark/>
          </w:tcPr>
          <w:p w14:paraId="2E16708F"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nil"/>
              <w:right w:val="nil"/>
            </w:tcBorders>
            <w:vAlign w:val="bottom"/>
          </w:tcPr>
          <w:p w14:paraId="284AE7F5"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tcBorders>
            <w:shd w:val="clear" w:color="auto" w:fill="auto"/>
            <w:noWrap/>
            <w:vAlign w:val="bottom"/>
            <w:hideMark/>
          </w:tcPr>
          <w:p w14:paraId="2DE8F338" w14:textId="1351E48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0.113*</w:t>
            </w:r>
          </w:p>
        </w:tc>
        <w:tc>
          <w:tcPr>
            <w:tcW w:w="1134" w:type="dxa"/>
            <w:tcBorders>
              <w:top w:val="nil"/>
              <w:left w:val="nil"/>
              <w:bottom w:val="nil"/>
              <w:right w:val="single" w:sz="4" w:space="0" w:color="auto"/>
            </w:tcBorders>
            <w:vAlign w:val="bottom"/>
          </w:tcPr>
          <w:p w14:paraId="3981AD79" w14:textId="47B99FB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0.006</w:t>
            </w:r>
          </w:p>
        </w:tc>
        <w:tc>
          <w:tcPr>
            <w:tcW w:w="1134" w:type="dxa"/>
            <w:tcBorders>
              <w:top w:val="nil"/>
              <w:left w:val="single" w:sz="4" w:space="0" w:color="auto"/>
              <w:bottom w:val="nil"/>
              <w:right w:val="nil"/>
            </w:tcBorders>
            <w:shd w:val="clear" w:color="auto" w:fill="auto"/>
            <w:noWrap/>
            <w:vAlign w:val="bottom"/>
            <w:hideMark/>
          </w:tcPr>
          <w:p w14:paraId="5CC779F1" w14:textId="1473CCBA"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444E9DF4"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shd w:val="clear" w:color="auto" w:fill="auto"/>
            <w:noWrap/>
            <w:vAlign w:val="bottom"/>
            <w:hideMark/>
          </w:tcPr>
          <w:p w14:paraId="6B9E0125" w14:textId="63B1858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0.012</w:t>
            </w:r>
          </w:p>
        </w:tc>
        <w:tc>
          <w:tcPr>
            <w:tcW w:w="1134" w:type="dxa"/>
            <w:tcBorders>
              <w:top w:val="nil"/>
              <w:left w:val="nil"/>
              <w:bottom w:val="nil"/>
              <w:right w:val="nil"/>
            </w:tcBorders>
            <w:vAlign w:val="bottom"/>
          </w:tcPr>
          <w:p w14:paraId="1C1A3938" w14:textId="2C5CC6C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0.057</w:t>
            </w:r>
          </w:p>
        </w:tc>
      </w:tr>
      <w:tr w:rsidR="00585E53" w:rsidRPr="00A86CC4" w14:paraId="2033CC38" w14:textId="3511D4B0" w:rsidTr="00FA38DC">
        <w:tc>
          <w:tcPr>
            <w:tcW w:w="2977" w:type="dxa"/>
            <w:tcBorders>
              <w:top w:val="nil"/>
              <w:left w:val="nil"/>
              <w:bottom w:val="nil"/>
              <w:right w:val="single" w:sz="4" w:space="0" w:color="auto"/>
            </w:tcBorders>
            <w:shd w:val="clear" w:color="auto" w:fill="auto"/>
            <w:noWrap/>
            <w:vAlign w:val="bottom"/>
            <w:hideMark/>
          </w:tcPr>
          <w:p w14:paraId="11258F2E"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8F2A197"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nil"/>
              <w:right w:val="nil"/>
            </w:tcBorders>
            <w:vAlign w:val="bottom"/>
          </w:tcPr>
          <w:p w14:paraId="1D0060A3"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tcBorders>
            <w:shd w:val="clear" w:color="auto" w:fill="auto"/>
            <w:noWrap/>
            <w:vAlign w:val="bottom"/>
            <w:hideMark/>
          </w:tcPr>
          <w:p w14:paraId="3F2DFB71" w14:textId="48DB39F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(0.058)</w:t>
            </w:r>
          </w:p>
        </w:tc>
        <w:tc>
          <w:tcPr>
            <w:tcW w:w="1134" w:type="dxa"/>
            <w:tcBorders>
              <w:top w:val="nil"/>
              <w:left w:val="nil"/>
              <w:bottom w:val="nil"/>
              <w:right w:val="single" w:sz="4" w:space="0" w:color="auto"/>
            </w:tcBorders>
            <w:vAlign w:val="bottom"/>
          </w:tcPr>
          <w:p w14:paraId="05102998" w14:textId="1D4ADF5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(0.065)</w:t>
            </w:r>
          </w:p>
        </w:tc>
        <w:tc>
          <w:tcPr>
            <w:tcW w:w="1134" w:type="dxa"/>
            <w:tcBorders>
              <w:top w:val="nil"/>
              <w:left w:val="single" w:sz="4" w:space="0" w:color="auto"/>
              <w:bottom w:val="nil"/>
              <w:right w:val="nil"/>
            </w:tcBorders>
            <w:shd w:val="clear" w:color="auto" w:fill="auto"/>
            <w:noWrap/>
            <w:vAlign w:val="bottom"/>
            <w:hideMark/>
          </w:tcPr>
          <w:p w14:paraId="6213F2DE" w14:textId="3EE8D3BF"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vAlign w:val="bottom"/>
          </w:tcPr>
          <w:p w14:paraId="211A9FBA"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nil"/>
              <w:right w:val="nil"/>
            </w:tcBorders>
            <w:shd w:val="clear" w:color="auto" w:fill="auto"/>
            <w:noWrap/>
            <w:vAlign w:val="bottom"/>
            <w:hideMark/>
          </w:tcPr>
          <w:p w14:paraId="3259202A" w14:textId="7461010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(0.062)</w:t>
            </w:r>
          </w:p>
        </w:tc>
        <w:tc>
          <w:tcPr>
            <w:tcW w:w="1134" w:type="dxa"/>
            <w:tcBorders>
              <w:top w:val="nil"/>
              <w:left w:val="nil"/>
              <w:bottom w:val="nil"/>
              <w:right w:val="nil"/>
            </w:tcBorders>
            <w:vAlign w:val="bottom"/>
          </w:tcPr>
          <w:p w14:paraId="08193863" w14:textId="4871C36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(0.064)</w:t>
            </w:r>
          </w:p>
        </w:tc>
      </w:tr>
      <w:tr w:rsidR="00585E53" w:rsidRPr="00A86CC4" w14:paraId="5FB5E65C" w14:textId="4A94D647" w:rsidTr="00FA38DC">
        <w:tc>
          <w:tcPr>
            <w:tcW w:w="2977" w:type="dxa"/>
            <w:tcBorders>
              <w:top w:val="nil"/>
              <w:left w:val="nil"/>
              <w:right w:val="single" w:sz="4" w:space="0" w:color="auto"/>
            </w:tcBorders>
            <w:shd w:val="clear" w:color="auto" w:fill="auto"/>
            <w:noWrap/>
            <w:vAlign w:val="bottom"/>
            <w:hideMark/>
          </w:tcPr>
          <w:p w14:paraId="7E2E3577"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15-17 years</w:t>
            </w:r>
          </w:p>
        </w:tc>
        <w:tc>
          <w:tcPr>
            <w:tcW w:w="1134" w:type="dxa"/>
            <w:tcBorders>
              <w:top w:val="nil"/>
              <w:left w:val="single" w:sz="4" w:space="0" w:color="auto"/>
              <w:right w:val="nil"/>
            </w:tcBorders>
            <w:shd w:val="clear" w:color="auto" w:fill="auto"/>
            <w:noWrap/>
            <w:vAlign w:val="bottom"/>
            <w:hideMark/>
          </w:tcPr>
          <w:p w14:paraId="4DC60E1D"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right w:val="nil"/>
            </w:tcBorders>
            <w:vAlign w:val="bottom"/>
          </w:tcPr>
          <w:p w14:paraId="2B38424E"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tcBorders>
            <w:shd w:val="clear" w:color="auto" w:fill="auto"/>
            <w:noWrap/>
            <w:vAlign w:val="bottom"/>
            <w:hideMark/>
          </w:tcPr>
          <w:p w14:paraId="4218605A" w14:textId="31B0B5F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-0.017</w:t>
            </w:r>
          </w:p>
        </w:tc>
        <w:tc>
          <w:tcPr>
            <w:tcW w:w="1134" w:type="dxa"/>
            <w:tcBorders>
              <w:top w:val="nil"/>
              <w:left w:val="nil"/>
              <w:right w:val="single" w:sz="4" w:space="0" w:color="auto"/>
            </w:tcBorders>
            <w:vAlign w:val="bottom"/>
          </w:tcPr>
          <w:p w14:paraId="3CF060BF" w14:textId="6341870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0.095</w:t>
            </w:r>
          </w:p>
        </w:tc>
        <w:tc>
          <w:tcPr>
            <w:tcW w:w="1134" w:type="dxa"/>
            <w:tcBorders>
              <w:top w:val="nil"/>
              <w:left w:val="single" w:sz="4" w:space="0" w:color="auto"/>
              <w:right w:val="nil"/>
            </w:tcBorders>
            <w:shd w:val="clear" w:color="auto" w:fill="auto"/>
            <w:noWrap/>
            <w:vAlign w:val="bottom"/>
            <w:hideMark/>
          </w:tcPr>
          <w:p w14:paraId="3C35332A" w14:textId="58187293"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right w:val="nil"/>
            </w:tcBorders>
            <w:vAlign w:val="bottom"/>
          </w:tcPr>
          <w:p w14:paraId="48A510F7"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right w:val="nil"/>
            </w:tcBorders>
            <w:shd w:val="clear" w:color="auto" w:fill="auto"/>
            <w:noWrap/>
            <w:vAlign w:val="bottom"/>
            <w:hideMark/>
          </w:tcPr>
          <w:p w14:paraId="5FF89D42" w14:textId="1CFBF5D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-0.066</w:t>
            </w:r>
          </w:p>
        </w:tc>
        <w:tc>
          <w:tcPr>
            <w:tcW w:w="1134" w:type="dxa"/>
            <w:tcBorders>
              <w:top w:val="nil"/>
              <w:left w:val="nil"/>
              <w:right w:val="nil"/>
            </w:tcBorders>
            <w:vAlign w:val="bottom"/>
          </w:tcPr>
          <w:p w14:paraId="4AED30FE" w14:textId="091304C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-0.104</w:t>
            </w:r>
          </w:p>
        </w:tc>
      </w:tr>
      <w:tr w:rsidR="00585E53" w:rsidRPr="00A86CC4" w14:paraId="6418AD92" w14:textId="087D59E4" w:rsidTr="00FA38DC">
        <w:tc>
          <w:tcPr>
            <w:tcW w:w="2977" w:type="dxa"/>
            <w:tcBorders>
              <w:top w:val="nil"/>
              <w:left w:val="nil"/>
              <w:bottom w:val="single" w:sz="4" w:space="0" w:color="auto"/>
              <w:right w:val="single" w:sz="4" w:space="0" w:color="auto"/>
            </w:tcBorders>
            <w:shd w:val="clear" w:color="auto" w:fill="auto"/>
            <w:noWrap/>
            <w:vAlign w:val="bottom"/>
            <w:hideMark/>
          </w:tcPr>
          <w:p w14:paraId="60533B26"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741117F0" w14:textId="77777777" w:rsidR="00585E53" w:rsidRPr="00A86CC4" w:rsidRDefault="00585E53" w:rsidP="00585E53">
            <w:pPr>
              <w:spacing w:before="0"/>
              <w:contextualSpacing/>
              <w:rPr>
                <w:rFonts w:eastAsia="Times New Roman" w:cstheme="minorHAnsi"/>
                <w:sz w:val="20"/>
                <w:szCs w:val="20"/>
                <w:lang w:val="en-US"/>
              </w:rPr>
            </w:pPr>
          </w:p>
        </w:tc>
        <w:tc>
          <w:tcPr>
            <w:tcW w:w="1134" w:type="dxa"/>
            <w:tcBorders>
              <w:top w:val="nil"/>
              <w:left w:val="nil"/>
              <w:bottom w:val="single" w:sz="4" w:space="0" w:color="auto"/>
              <w:right w:val="nil"/>
            </w:tcBorders>
            <w:vAlign w:val="bottom"/>
          </w:tcPr>
          <w:p w14:paraId="49F88B34" w14:textId="77777777" w:rsidR="00585E53" w:rsidRPr="00183F40"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single" w:sz="4" w:space="0" w:color="auto"/>
            </w:tcBorders>
            <w:shd w:val="clear" w:color="auto" w:fill="auto"/>
            <w:noWrap/>
            <w:vAlign w:val="bottom"/>
            <w:hideMark/>
          </w:tcPr>
          <w:p w14:paraId="4ED04B0C" w14:textId="7D5CE98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(0.075)</w:t>
            </w:r>
          </w:p>
        </w:tc>
        <w:tc>
          <w:tcPr>
            <w:tcW w:w="1134" w:type="dxa"/>
            <w:tcBorders>
              <w:top w:val="nil"/>
              <w:left w:val="nil"/>
              <w:bottom w:val="single" w:sz="4" w:space="0" w:color="auto"/>
              <w:right w:val="single" w:sz="4" w:space="0" w:color="auto"/>
            </w:tcBorders>
            <w:vAlign w:val="bottom"/>
          </w:tcPr>
          <w:p w14:paraId="103F1D2D" w14:textId="7078740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(0.075)</w:t>
            </w:r>
          </w:p>
        </w:tc>
        <w:tc>
          <w:tcPr>
            <w:tcW w:w="1134" w:type="dxa"/>
            <w:tcBorders>
              <w:top w:val="nil"/>
              <w:left w:val="single" w:sz="4" w:space="0" w:color="auto"/>
              <w:bottom w:val="single" w:sz="4" w:space="0" w:color="auto"/>
              <w:right w:val="nil"/>
            </w:tcBorders>
            <w:shd w:val="clear" w:color="auto" w:fill="auto"/>
            <w:noWrap/>
            <w:vAlign w:val="bottom"/>
            <w:hideMark/>
          </w:tcPr>
          <w:p w14:paraId="27DBE4C0" w14:textId="6CBC5614"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single" w:sz="4" w:space="0" w:color="auto"/>
              <w:right w:val="nil"/>
            </w:tcBorders>
            <w:vAlign w:val="bottom"/>
          </w:tcPr>
          <w:p w14:paraId="3AB69D5B"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nil"/>
              <w:bottom w:val="single" w:sz="4" w:space="0" w:color="auto"/>
              <w:right w:val="nil"/>
            </w:tcBorders>
            <w:shd w:val="clear" w:color="auto" w:fill="auto"/>
            <w:noWrap/>
            <w:vAlign w:val="bottom"/>
            <w:hideMark/>
          </w:tcPr>
          <w:p w14:paraId="39E367FA" w14:textId="24EDB1A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(0.072)</w:t>
            </w:r>
          </w:p>
        </w:tc>
        <w:tc>
          <w:tcPr>
            <w:tcW w:w="1134" w:type="dxa"/>
            <w:tcBorders>
              <w:top w:val="nil"/>
              <w:left w:val="nil"/>
              <w:bottom w:val="single" w:sz="4" w:space="0" w:color="auto"/>
              <w:right w:val="nil"/>
            </w:tcBorders>
            <w:vAlign w:val="bottom"/>
          </w:tcPr>
          <w:p w14:paraId="4BEE3C98" w14:textId="4DC5EE7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(0.080)</w:t>
            </w:r>
          </w:p>
        </w:tc>
      </w:tr>
      <w:tr w:rsidR="00585E53" w:rsidRPr="00A86CC4" w14:paraId="52468EB6" w14:textId="0D9778FA" w:rsidTr="00FA38DC">
        <w:tc>
          <w:tcPr>
            <w:tcW w:w="2977" w:type="dxa"/>
            <w:tcBorders>
              <w:top w:val="single" w:sz="4" w:space="0" w:color="auto"/>
              <w:left w:val="nil"/>
              <w:bottom w:val="nil"/>
              <w:right w:val="single" w:sz="4" w:space="0" w:color="auto"/>
            </w:tcBorders>
            <w:shd w:val="clear" w:color="auto" w:fill="auto"/>
            <w:noWrap/>
            <w:vAlign w:val="bottom"/>
            <w:hideMark/>
          </w:tcPr>
          <w:p w14:paraId="21C7AC62"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Respondent's age</w:t>
            </w:r>
          </w:p>
        </w:tc>
        <w:tc>
          <w:tcPr>
            <w:tcW w:w="1134" w:type="dxa"/>
            <w:tcBorders>
              <w:top w:val="single" w:sz="4" w:space="0" w:color="auto"/>
              <w:left w:val="single" w:sz="4" w:space="0" w:color="auto"/>
              <w:bottom w:val="nil"/>
              <w:right w:val="nil"/>
            </w:tcBorders>
            <w:shd w:val="clear" w:color="auto" w:fill="auto"/>
            <w:noWrap/>
            <w:vAlign w:val="bottom"/>
            <w:hideMark/>
          </w:tcPr>
          <w:p w14:paraId="042CE620" w14:textId="2C7F5E6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0.206***</w:t>
            </w:r>
          </w:p>
        </w:tc>
        <w:tc>
          <w:tcPr>
            <w:tcW w:w="1134" w:type="dxa"/>
            <w:tcBorders>
              <w:top w:val="single" w:sz="4" w:space="0" w:color="auto"/>
              <w:left w:val="nil"/>
              <w:bottom w:val="nil"/>
              <w:right w:val="nil"/>
            </w:tcBorders>
            <w:vAlign w:val="bottom"/>
          </w:tcPr>
          <w:p w14:paraId="4CDB0B0A" w14:textId="2D556944"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0.244***</w:t>
            </w:r>
          </w:p>
        </w:tc>
        <w:tc>
          <w:tcPr>
            <w:tcW w:w="1134" w:type="dxa"/>
            <w:tcBorders>
              <w:top w:val="single" w:sz="4" w:space="0" w:color="auto"/>
              <w:left w:val="nil"/>
              <w:bottom w:val="nil"/>
            </w:tcBorders>
            <w:shd w:val="clear" w:color="auto" w:fill="auto"/>
            <w:noWrap/>
            <w:vAlign w:val="bottom"/>
            <w:hideMark/>
          </w:tcPr>
          <w:p w14:paraId="498507C8" w14:textId="57498A7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0.188***</w:t>
            </w:r>
          </w:p>
        </w:tc>
        <w:tc>
          <w:tcPr>
            <w:tcW w:w="1134" w:type="dxa"/>
            <w:tcBorders>
              <w:top w:val="single" w:sz="4" w:space="0" w:color="auto"/>
              <w:left w:val="nil"/>
              <w:bottom w:val="nil"/>
              <w:right w:val="single" w:sz="4" w:space="0" w:color="auto"/>
            </w:tcBorders>
            <w:vAlign w:val="bottom"/>
          </w:tcPr>
          <w:p w14:paraId="53D92137" w14:textId="3B50E7A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0.226***</w:t>
            </w:r>
          </w:p>
        </w:tc>
        <w:tc>
          <w:tcPr>
            <w:tcW w:w="1134" w:type="dxa"/>
            <w:tcBorders>
              <w:top w:val="single" w:sz="4" w:space="0" w:color="auto"/>
              <w:left w:val="single" w:sz="4" w:space="0" w:color="auto"/>
              <w:bottom w:val="nil"/>
              <w:right w:val="nil"/>
            </w:tcBorders>
            <w:shd w:val="clear" w:color="auto" w:fill="auto"/>
            <w:noWrap/>
            <w:vAlign w:val="bottom"/>
            <w:hideMark/>
          </w:tcPr>
          <w:p w14:paraId="0F88594D" w14:textId="540F849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0.108***</w:t>
            </w:r>
          </w:p>
        </w:tc>
        <w:tc>
          <w:tcPr>
            <w:tcW w:w="1134" w:type="dxa"/>
            <w:tcBorders>
              <w:top w:val="single" w:sz="4" w:space="0" w:color="auto"/>
              <w:left w:val="nil"/>
              <w:bottom w:val="nil"/>
              <w:right w:val="nil"/>
            </w:tcBorders>
            <w:vAlign w:val="bottom"/>
          </w:tcPr>
          <w:p w14:paraId="70E255D4" w14:textId="725E795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0.147***</w:t>
            </w:r>
          </w:p>
        </w:tc>
        <w:tc>
          <w:tcPr>
            <w:tcW w:w="1134" w:type="dxa"/>
            <w:tcBorders>
              <w:top w:val="single" w:sz="4" w:space="0" w:color="auto"/>
              <w:left w:val="nil"/>
              <w:bottom w:val="nil"/>
              <w:right w:val="nil"/>
            </w:tcBorders>
            <w:shd w:val="clear" w:color="auto" w:fill="auto"/>
            <w:noWrap/>
            <w:vAlign w:val="bottom"/>
            <w:hideMark/>
          </w:tcPr>
          <w:p w14:paraId="7CD6AA0C" w14:textId="158F9D1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0.110***</w:t>
            </w:r>
          </w:p>
        </w:tc>
        <w:tc>
          <w:tcPr>
            <w:tcW w:w="1134" w:type="dxa"/>
            <w:tcBorders>
              <w:top w:val="single" w:sz="4" w:space="0" w:color="auto"/>
              <w:left w:val="nil"/>
              <w:bottom w:val="nil"/>
              <w:right w:val="nil"/>
            </w:tcBorders>
            <w:vAlign w:val="bottom"/>
          </w:tcPr>
          <w:p w14:paraId="0708B590" w14:textId="418AF1D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0.148***</w:t>
            </w:r>
          </w:p>
        </w:tc>
      </w:tr>
      <w:tr w:rsidR="00585E53" w:rsidRPr="00A86CC4" w14:paraId="17EBB787" w14:textId="742A0544" w:rsidTr="00FA38DC">
        <w:tc>
          <w:tcPr>
            <w:tcW w:w="2977" w:type="dxa"/>
            <w:tcBorders>
              <w:top w:val="nil"/>
              <w:left w:val="nil"/>
              <w:right w:val="single" w:sz="4" w:space="0" w:color="auto"/>
            </w:tcBorders>
            <w:shd w:val="clear" w:color="auto" w:fill="auto"/>
            <w:noWrap/>
            <w:vAlign w:val="bottom"/>
            <w:hideMark/>
          </w:tcPr>
          <w:p w14:paraId="77DDBBCC"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right w:val="nil"/>
            </w:tcBorders>
            <w:shd w:val="clear" w:color="auto" w:fill="auto"/>
            <w:noWrap/>
            <w:vAlign w:val="bottom"/>
            <w:hideMark/>
          </w:tcPr>
          <w:p w14:paraId="107A7F97" w14:textId="2FC8448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(0.009)</w:t>
            </w:r>
          </w:p>
        </w:tc>
        <w:tc>
          <w:tcPr>
            <w:tcW w:w="1134" w:type="dxa"/>
            <w:tcBorders>
              <w:top w:val="nil"/>
              <w:left w:val="nil"/>
              <w:right w:val="nil"/>
            </w:tcBorders>
            <w:vAlign w:val="bottom"/>
          </w:tcPr>
          <w:p w14:paraId="57382E03" w14:textId="30F90D90"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(0.010)</w:t>
            </w:r>
          </w:p>
        </w:tc>
        <w:tc>
          <w:tcPr>
            <w:tcW w:w="1134" w:type="dxa"/>
            <w:tcBorders>
              <w:top w:val="nil"/>
              <w:left w:val="nil"/>
            </w:tcBorders>
            <w:shd w:val="clear" w:color="auto" w:fill="auto"/>
            <w:noWrap/>
            <w:vAlign w:val="bottom"/>
            <w:hideMark/>
          </w:tcPr>
          <w:p w14:paraId="467D8EB5" w14:textId="163E09A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(0.010)</w:t>
            </w:r>
          </w:p>
        </w:tc>
        <w:tc>
          <w:tcPr>
            <w:tcW w:w="1134" w:type="dxa"/>
            <w:tcBorders>
              <w:top w:val="nil"/>
              <w:left w:val="nil"/>
              <w:right w:val="single" w:sz="4" w:space="0" w:color="auto"/>
            </w:tcBorders>
            <w:vAlign w:val="bottom"/>
          </w:tcPr>
          <w:p w14:paraId="57E62DA1" w14:textId="65057D1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(0.011)</w:t>
            </w:r>
          </w:p>
        </w:tc>
        <w:tc>
          <w:tcPr>
            <w:tcW w:w="1134" w:type="dxa"/>
            <w:tcBorders>
              <w:top w:val="nil"/>
              <w:left w:val="single" w:sz="4" w:space="0" w:color="auto"/>
              <w:right w:val="nil"/>
            </w:tcBorders>
            <w:shd w:val="clear" w:color="auto" w:fill="auto"/>
            <w:noWrap/>
            <w:vAlign w:val="bottom"/>
            <w:hideMark/>
          </w:tcPr>
          <w:p w14:paraId="59D8A133" w14:textId="0917842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(0.007)</w:t>
            </w:r>
          </w:p>
        </w:tc>
        <w:tc>
          <w:tcPr>
            <w:tcW w:w="1134" w:type="dxa"/>
            <w:tcBorders>
              <w:top w:val="nil"/>
              <w:left w:val="nil"/>
              <w:right w:val="nil"/>
            </w:tcBorders>
            <w:vAlign w:val="bottom"/>
          </w:tcPr>
          <w:p w14:paraId="413B3010" w14:textId="6634C42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(0.008)</w:t>
            </w:r>
          </w:p>
        </w:tc>
        <w:tc>
          <w:tcPr>
            <w:tcW w:w="1134" w:type="dxa"/>
            <w:tcBorders>
              <w:top w:val="nil"/>
              <w:left w:val="nil"/>
              <w:right w:val="nil"/>
            </w:tcBorders>
            <w:shd w:val="clear" w:color="auto" w:fill="auto"/>
            <w:noWrap/>
            <w:vAlign w:val="bottom"/>
            <w:hideMark/>
          </w:tcPr>
          <w:p w14:paraId="66AD0D7F" w14:textId="45FEABF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(0.008)</w:t>
            </w:r>
          </w:p>
        </w:tc>
        <w:tc>
          <w:tcPr>
            <w:tcW w:w="1134" w:type="dxa"/>
            <w:tcBorders>
              <w:top w:val="nil"/>
              <w:left w:val="nil"/>
              <w:right w:val="nil"/>
            </w:tcBorders>
            <w:vAlign w:val="bottom"/>
          </w:tcPr>
          <w:p w14:paraId="0B18E523" w14:textId="5618C68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(0.009)</w:t>
            </w:r>
          </w:p>
        </w:tc>
      </w:tr>
      <w:tr w:rsidR="00585E53" w:rsidRPr="00A86CC4" w14:paraId="59844582" w14:textId="551B24B0" w:rsidTr="00FA38DC">
        <w:tc>
          <w:tcPr>
            <w:tcW w:w="2977" w:type="dxa"/>
            <w:tcBorders>
              <w:top w:val="nil"/>
              <w:left w:val="nil"/>
              <w:bottom w:val="nil"/>
              <w:right w:val="single" w:sz="4" w:space="0" w:color="auto"/>
            </w:tcBorders>
            <w:shd w:val="clear" w:color="auto" w:fill="auto"/>
            <w:noWrap/>
            <w:vAlign w:val="bottom"/>
            <w:hideMark/>
          </w:tcPr>
          <w:p w14:paraId="48EC6938"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Age squared (divided by 100)</w:t>
            </w:r>
          </w:p>
        </w:tc>
        <w:tc>
          <w:tcPr>
            <w:tcW w:w="1134" w:type="dxa"/>
            <w:tcBorders>
              <w:top w:val="nil"/>
              <w:left w:val="single" w:sz="4" w:space="0" w:color="auto"/>
              <w:bottom w:val="nil"/>
              <w:right w:val="nil"/>
            </w:tcBorders>
            <w:shd w:val="clear" w:color="auto" w:fill="auto"/>
            <w:noWrap/>
            <w:vAlign w:val="bottom"/>
            <w:hideMark/>
          </w:tcPr>
          <w:p w14:paraId="308D6582" w14:textId="565464D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-0.254***</w:t>
            </w:r>
          </w:p>
        </w:tc>
        <w:tc>
          <w:tcPr>
            <w:tcW w:w="1134" w:type="dxa"/>
            <w:tcBorders>
              <w:top w:val="nil"/>
              <w:left w:val="nil"/>
              <w:bottom w:val="nil"/>
              <w:right w:val="nil"/>
            </w:tcBorders>
            <w:vAlign w:val="bottom"/>
          </w:tcPr>
          <w:p w14:paraId="319B3C66" w14:textId="7EAD8CE7"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-0.304***</w:t>
            </w:r>
          </w:p>
        </w:tc>
        <w:tc>
          <w:tcPr>
            <w:tcW w:w="1134" w:type="dxa"/>
            <w:tcBorders>
              <w:top w:val="nil"/>
              <w:left w:val="nil"/>
              <w:bottom w:val="nil"/>
            </w:tcBorders>
            <w:shd w:val="clear" w:color="auto" w:fill="auto"/>
            <w:noWrap/>
            <w:vAlign w:val="bottom"/>
            <w:hideMark/>
          </w:tcPr>
          <w:p w14:paraId="3B7BEFBD" w14:textId="18D2592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-0.233***</w:t>
            </w:r>
          </w:p>
        </w:tc>
        <w:tc>
          <w:tcPr>
            <w:tcW w:w="1134" w:type="dxa"/>
            <w:tcBorders>
              <w:top w:val="nil"/>
              <w:left w:val="nil"/>
              <w:bottom w:val="nil"/>
              <w:right w:val="single" w:sz="4" w:space="0" w:color="auto"/>
            </w:tcBorders>
            <w:vAlign w:val="bottom"/>
          </w:tcPr>
          <w:p w14:paraId="7B5A0664" w14:textId="58B3F28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-0.284***</w:t>
            </w:r>
          </w:p>
        </w:tc>
        <w:tc>
          <w:tcPr>
            <w:tcW w:w="1134" w:type="dxa"/>
            <w:tcBorders>
              <w:top w:val="nil"/>
              <w:left w:val="single" w:sz="4" w:space="0" w:color="auto"/>
              <w:bottom w:val="nil"/>
              <w:right w:val="nil"/>
            </w:tcBorders>
            <w:shd w:val="clear" w:color="auto" w:fill="auto"/>
            <w:noWrap/>
            <w:vAlign w:val="bottom"/>
            <w:hideMark/>
          </w:tcPr>
          <w:p w14:paraId="1CA8F264" w14:textId="4D8D95C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-0.123***</w:t>
            </w:r>
          </w:p>
        </w:tc>
        <w:tc>
          <w:tcPr>
            <w:tcW w:w="1134" w:type="dxa"/>
            <w:tcBorders>
              <w:top w:val="nil"/>
              <w:left w:val="nil"/>
              <w:bottom w:val="nil"/>
              <w:right w:val="nil"/>
            </w:tcBorders>
            <w:vAlign w:val="bottom"/>
          </w:tcPr>
          <w:p w14:paraId="6B2F1FA4" w14:textId="4BB89BE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-0.180***</w:t>
            </w:r>
          </w:p>
        </w:tc>
        <w:tc>
          <w:tcPr>
            <w:tcW w:w="1134" w:type="dxa"/>
            <w:tcBorders>
              <w:top w:val="nil"/>
              <w:left w:val="nil"/>
              <w:bottom w:val="nil"/>
              <w:right w:val="nil"/>
            </w:tcBorders>
            <w:shd w:val="clear" w:color="auto" w:fill="auto"/>
            <w:noWrap/>
            <w:vAlign w:val="bottom"/>
            <w:hideMark/>
          </w:tcPr>
          <w:p w14:paraId="186799CE" w14:textId="191A58C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-0.125***</w:t>
            </w:r>
          </w:p>
        </w:tc>
        <w:tc>
          <w:tcPr>
            <w:tcW w:w="1134" w:type="dxa"/>
            <w:tcBorders>
              <w:top w:val="nil"/>
              <w:left w:val="nil"/>
              <w:bottom w:val="nil"/>
              <w:right w:val="nil"/>
            </w:tcBorders>
            <w:vAlign w:val="bottom"/>
          </w:tcPr>
          <w:p w14:paraId="0D5B5DE4" w14:textId="22CD7CE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-0.181***</w:t>
            </w:r>
          </w:p>
        </w:tc>
      </w:tr>
      <w:tr w:rsidR="00585E53" w:rsidRPr="00A86CC4" w14:paraId="37E65D4E" w14:textId="052DA12A" w:rsidTr="00FA38DC">
        <w:tc>
          <w:tcPr>
            <w:tcW w:w="2977" w:type="dxa"/>
            <w:tcBorders>
              <w:top w:val="nil"/>
              <w:left w:val="nil"/>
              <w:bottom w:val="single" w:sz="4" w:space="0" w:color="auto"/>
              <w:right w:val="single" w:sz="4" w:space="0" w:color="auto"/>
            </w:tcBorders>
            <w:shd w:val="clear" w:color="auto" w:fill="auto"/>
            <w:noWrap/>
            <w:vAlign w:val="bottom"/>
            <w:hideMark/>
          </w:tcPr>
          <w:p w14:paraId="426B659E"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2D262CA0" w14:textId="0EC72B4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(0.011)</w:t>
            </w:r>
          </w:p>
        </w:tc>
        <w:tc>
          <w:tcPr>
            <w:tcW w:w="1134" w:type="dxa"/>
            <w:tcBorders>
              <w:top w:val="nil"/>
              <w:left w:val="nil"/>
              <w:bottom w:val="single" w:sz="4" w:space="0" w:color="auto"/>
              <w:right w:val="nil"/>
            </w:tcBorders>
            <w:vAlign w:val="bottom"/>
          </w:tcPr>
          <w:p w14:paraId="71659299" w14:textId="09D35ADF"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(0.011)</w:t>
            </w:r>
          </w:p>
        </w:tc>
        <w:tc>
          <w:tcPr>
            <w:tcW w:w="1134" w:type="dxa"/>
            <w:tcBorders>
              <w:top w:val="nil"/>
              <w:left w:val="nil"/>
              <w:bottom w:val="single" w:sz="4" w:space="0" w:color="auto"/>
            </w:tcBorders>
            <w:shd w:val="clear" w:color="auto" w:fill="auto"/>
            <w:noWrap/>
            <w:vAlign w:val="bottom"/>
            <w:hideMark/>
          </w:tcPr>
          <w:p w14:paraId="2C8AC1E1" w14:textId="3A16F8D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(0.013)</w:t>
            </w:r>
          </w:p>
        </w:tc>
        <w:tc>
          <w:tcPr>
            <w:tcW w:w="1134" w:type="dxa"/>
            <w:tcBorders>
              <w:top w:val="nil"/>
              <w:left w:val="nil"/>
              <w:bottom w:val="single" w:sz="4" w:space="0" w:color="auto"/>
              <w:right w:val="single" w:sz="4" w:space="0" w:color="auto"/>
            </w:tcBorders>
            <w:vAlign w:val="bottom"/>
          </w:tcPr>
          <w:p w14:paraId="63FECA1A" w14:textId="1E542E6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(0.013)</w:t>
            </w:r>
          </w:p>
        </w:tc>
        <w:tc>
          <w:tcPr>
            <w:tcW w:w="1134" w:type="dxa"/>
            <w:tcBorders>
              <w:top w:val="nil"/>
              <w:left w:val="single" w:sz="4" w:space="0" w:color="auto"/>
              <w:bottom w:val="single" w:sz="4" w:space="0" w:color="auto"/>
              <w:right w:val="nil"/>
            </w:tcBorders>
            <w:shd w:val="clear" w:color="auto" w:fill="auto"/>
            <w:noWrap/>
            <w:vAlign w:val="bottom"/>
            <w:hideMark/>
          </w:tcPr>
          <w:p w14:paraId="623CA0B7" w14:textId="7ADD92E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(0.009)</w:t>
            </w:r>
          </w:p>
        </w:tc>
        <w:tc>
          <w:tcPr>
            <w:tcW w:w="1134" w:type="dxa"/>
            <w:tcBorders>
              <w:top w:val="nil"/>
              <w:left w:val="nil"/>
              <w:bottom w:val="single" w:sz="4" w:space="0" w:color="auto"/>
              <w:right w:val="nil"/>
            </w:tcBorders>
            <w:vAlign w:val="bottom"/>
          </w:tcPr>
          <w:p w14:paraId="1DADF208" w14:textId="215A64A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(0.010)</w:t>
            </w:r>
          </w:p>
        </w:tc>
        <w:tc>
          <w:tcPr>
            <w:tcW w:w="1134" w:type="dxa"/>
            <w:tcBorders>
              <w:top w:val="nil"/>
              <w:left w:val="nil"/>
              <w:bottom w:val="single" w:sz="4" w:space="0" w:color="auto"/>
              <w:right w:val="nil"/>
            </w:tcBorders>
            <w:shd w:val="clear" w:color="auto" w:fill="auto"/>
            <w:noWrap/>
            <w:vAlign w:val="bottom"/>
            <w:hideMark/>
          </w:tcPr>
          <w:p w14:paraId="4AEE6D5D" w14:textId="0C8504F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(0.010)</w:t>
            </w:r>
          </w:p>
        </w:tc>
        <w:tc>
          <w:tcPr>
            <w:tcW w:w="1134" w:type="dxa"/>
            <w:tcBorders>
              <w:top w:val="nil"/>
              <w:left w:val="nil"/>
              <w:bottom w:val="single" w:sz="4" w:space="0" w:color="auto"/>
              <w:right w:val="nil"/>
            </w:tcBorders>
            <w:vAlign w:val="bottom"/>
          </w:tcPr>
          <w:p w14:paraId="428C779D" w14:textId="661D644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(0.011)</w:t>
            </w:r>
          </w:p>
        </w:tc>
      </w:tr>
      <w:tr w:rsidR="00585E53" w:rsidRPr="00A86CC4" w14:paraId="5A19C8CB" w14:textId="21D59415" w:rsidTr="00FA38DC">
        <w:tc>
          <w:tcPr>
            <w:tcW w:w="2977" w:type="dxa"/>
            <w:tcBorders>
              <w:top w:val="single" w:sz="4" w:space="0" w:color="auto"/>
              <w:left w:val="nil"/>
              <w:bottom w:val="nil"/>
              <w:right w:val="single" w:sz="4" w:space="0" w:color="auto"/>
            </w:tcBorders>
            <w:shd w:val="clear" w:color="auto" w:fill="auto"/>
            <w:noWrap/>
            <w:vAlign w:val="bottom"/>
            <w:hideMark/>
          </w:tcPr>
          <w:p w14:paraId="1B964EFB"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Married</w:t>
            </w:r>
          </w:p>
        </w:tc>
        <w:tc>
          <w:tcPr>
            <w:tcW w:w="1134" w:type="dxa"/>
            <w:tcBorders>
              <w:top w:val="single" w:sz="4" w:space="0" w:color="auto"/>
              <w:left w:val="single" w:sz="4" w:space="0" w:color="auto"/>
              <w:bottom w:val="nil"/>
              <w:right w:val="nil"/>
            </w:tcBorders>
            <w:shd w:val="clear" w:color="auto" w:fill="auto"/>
            <w:noWrap/>
            <w:vAlign w:val="bottom"/>
            <w:hideMark/>
          </w:tcPr>
          <w:p w14:paraId="7060BE42" w14:textId="4C8FC5A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0.333***</w:t>
            </w:r>
          </w:p>
        </w:tc>
        <w:tc>
          <w:tcPr>
            <w:tcW w:w="1134" w:type="dxa"/>
            <w:tcBorders>
              <w:top w:val="single" w:sz="4" w:space="0" w:color="auto"/>
              <w:left w:val="nil"/>
              <w:bottom w:val="nil"/>
              <w:right w:val="nil"/>
            </w:tcBorders>
            <w:vAlign w:val="bottom"/>
          </w:tcPr>
          <w:p w14:paraId="3C4975DF" w14:textId="429F6ACB"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0.262***</w:t>
            </w:r>
          </w:p>
        </w:tc>
        <w:tc>
          <w:tcPr>
            <w:tcW w:w="1134" w:type="dxa"/>
            <w:tcBorders>
              <w:top w:val="single" w:sz="4" w:space="0" w:color="auto"/>
              <w:left w:val="nil"/>
              <w:bottom w:val="nil"/>
            </w:tcBorders>
            <w:shd w:val="clear" w:color="auto" w:fill="auto"/>
            <w:noWrap/>
            <w:vAlign w:val="bottom"/>
            <w:hideMark/>
          </w:tcPr>
          <w:p w14:paraId="4A6FEA54" w14:textId="7D20D02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0.361***</w:t>
            </w:r>
          </w:p>
        </w:tc>
        <w:tc>
          <w:tcPr>
            <w:tcW w:w="1134" w:type="dxa"/>
            <w:tcBorders>
              <w:top w:val="single" w:sz="4" w:space="0" w:color="auto"/>
              <w:left w:val="nil"/>
              <w:bottom w:val="nil"/>
              <w:right w:val="single" w:sz="4" w:space="0" w:color="auto"/>
            </w:tcBorders>
            <w:vAlign w:val="bottom"/>
          </w:tcPr>
          <w:p w14:paraId="43FFF94D" w14:textId="6EDF55B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0.326***</w:t>
            </w:r>
          </w:p>
        </w:tc>
        <w:tc>
          <w:tcPr>
            <w:tcW w:w="1134" w:type="dxa"/>
            <w:tcBorders>
              <w:top w:val="single" w:sz="4" w:space="0" w:color="auto"/>
              <w:left w:val="single" w:sz="4" w:space="0" w:color="auto"/>
              <w:bottom w:val="nil"/>
              <w:right w:val="nil"/>
            </w:tcBorders>
            <w:shd w:val="clear" w:color="auto" w:fill="auto"/>
            <w:noWrap/>
            <w:vAlign w:val="bottom"/>
            <w:hideMark/>
          </w:tcPr>
          <w:p w14:paraId="427D7833" w14:textId="76C4E80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0.422***</w:t>
            </w:r>
          </w:p>
        </w:tc>
        <w:tc>
          <w:tcPr>
            <w:tcW w:w="1134" w:type="dxa"/>
            <w:tcBorders>
              <w:top w:val="single" w:sz="4" w:space="0" w:color="auto"/>
              <w:left w:val="nil"/>
              <w:bottom w:val="nil"/>
              <w:right w:val="nil"/>
            </w:tcBorders>
            <w:vAlign w:val="bottom"/>
          </w:tcPr>
          <w:p w14:paraId="46CB2E4C" w14:textId="7B06499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0.483***</w:t>
            </w:r>
          </w:p>
        </w:tc>
        <w:tc>
          <w:tcPr>
            <w:tcW w:w="1134" w:type="dxa"/>
            <w:tcBorders>
              <w:top w:val="single" w:sz="4" w:space="0" w:color="auto"/>
              <w:left w:val="nil"/>
              <w:bottom w:val="nil"/>
              <w:right w:val="nil"/>
            </w:tcBorders>
            <w:shd w:val="clear" w:color="auto" w:fill="auto"/>
            <w:noWrap/>
            <w:vAlign w:val="bottom"/>
            <w:hideMark/>
          </w:tcPr>
          <w:p w14:paraId="627914A4" w14:textId="60E937F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0.413***</w:t>
            </w:r>
          </w:p>
        </w:tc>
        <w:tc>
          <w:tcPr>
            <w:tcW w:w="1134" w:type="dxa"/>
            <w:tcBorders>
              <w:top w:val="single" w:sz="4" w:space="0" w:color="auto"/>
              <w:left w:val="nil"/>
              <w:bottom w:val="nil"/>
              <w:right w:val="nil"/>
            </w:tcBorders>
            <w:vAlign w:val="bottom"/>
          </w:tcPr>
          <w:p w14:paraId="199EBF80" w14:textId="6E1420C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0.461***</w:t>
            </w:r>
          </w:p>
        </w:tc>
      </w:tr>
      <w:tr w:rsidR="00585E53" w:rsidRPr="00A86CC4" w14:paraId="4A605BC1" w14:textId="7A254B1E" w:rsidTr="00FA38DC">
        <w:tc>
          <w:tcPr>
            <w:tcW w:w="2977" w:type="dxa"/>
            <w:tcBorders>
              <w:top w:val="nil"/>
              <w:left w:val="nil"/>
              <w:bottom w:val="nil"/>
              <w:right w:val="single" w:sz="4" w:space="0" w:color="auto"/>
            </w:tcBorders>
            <w:shd w:val="clear" w:color="auto" w:fill="auto"/>
            <w:noWrap/>
            <w:vAlign w:val="bottom"/>
            <w:hideMark/>
          </w:tcPr>
          <w:p w14:paraId="2A38FF32"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7A2E6C5" w14:textId="6E4FBBC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(0.072)</w:t>
            </w:r>
          </w:p>
        </w:tc>
        <w:tc>
          <w:tcPr>
            <w:tcW w:w="1134" w:type="dxa"/>
            <w:tcBorders>
              <w:top w:val="nil"/>
              <w:left w:val="nil"/>
              <w:bottom w:val="nil"/>
              <w:right w:val="nil"/>
            </w:tcBorders>
            <w:vAlign w:val="bottom"/>
          </w:tcPr>
          <w:p w14:paraId="36A61C69" w14:textId="03E3E4F1"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(0.072)</w:t>
            </w:r>
          </w:p>
        </w:tc>
        <w:tc>
          <w:tcPr>
            <w:tcW w:w="1134" w:type="dxa"/>
            <w:tcBorders>
              <w:top w:val="nil"/>
              <w:left w:val="nil"/>
              <w:bottom w:val="nil"/>
            </w:tcBorders>
            <w:shd w:val="clear" w:color="auto" w:fill="auto"/>
            <w:noWrap/>
            <w:vAlign w:val="bottom"/>
            <w:hideMark/>
          </w:tcPr>
          <w:p w14:paraId="6F7C09F3" w14:textId="225CE2E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(0.070)</w:t>
            </w:r>
          </w:p>
        </w:tc>
        <w:tc>
          <w:tcPr>
            <w:tcW w:w="1134" w:type="dxa"/>
            <w:tcBorders>
              <w:top w:val="nil"/>
              <w:left w:val="nil"/>
              <w:bottom w:val="nil"/>
              <w:right w:val="single" w:sz="4" w:space="0" w:color="auto"/>
            </w:tcBorders>
            <w:vAlign w:val="bottom"/>
          </w:tcPr>
          <w:p w14:paraId="34BDB570" w14:textId="60786AF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(0.070)</w:t>
            </w:r>
          </w:p>
        </w:tc>
        <w:tc>
          <w:tcPr>
            <w:tcW w:w="1134" w:type="dxa"/>
            <w:tcBorders>
              <w:top w:val="nil"/>
              <w:left w:val="single" w:sz="4" w:space="0" w:color="auto"/>
              <w:bottom w:val="nil"/>
              <w:right w:val="nil"/>
            </w:tcBorders>
            <w:shd w:val="clear" w:color="auto" w:fill="auto"/>
            <w:noWrap/>
            <w:vAlign w:val="bottom"/>
            <w:hideMark/>
          </w:tcPr>
          <w:p w14:paraId="0496AF2F" w14:textId="4192FA5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(0.055)</w:t>
            </w:r>
          </w:p>
        </w:tc>
        <w:tc>
          <w:tcPr>
            <w:tcW w:w="1134" w:type="dxa"/>
            <w:tcBorders>
              <w:top w:val="nil"/>
              <w:left w:val="nil"/>
              <w:bottom w:val="nil"/>
              <w:right w:val="nil"/>
            </w:tcBorders>
            <w:vAlign w:val="bottom"/>
          </w:tcPr>
          <w:p w14:paraId="7771122D" w14:textId="3E9A26B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(0.060)</w:t>
            </w:r>
          </w:p>
        </w:tc>
        <w:tc>
          <w:tcPr>
            <w:tcW w:w="1134" w:type="dxa"/>
            <w:tcBorders>
              <w:top w:val="nil"/>
              <w:left w:val="nil"/>
              <w:bottom w:val="nil"/>
              <w:right w:val="nil"/>
            </w:tcBorders>
            <w:shd w:val="clear" w:color="auto" w:fill="auto"/>
            <w:noWrap/>
            <w:vAlign w:val="bottom"/>
            <w:hideMark/>
          </w:tcPr>
          <w:p w14:paraId="23CB53F3" w14:textId="355633A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(0.065)</w:t>
            </w:r>
          </w:p>
        </w:tc>
        <w:tc>
          <w:tcPr>
            <w:tcW w:w="1134" w:type="dxa"/>
            <w:tcBorders>
              <w:top w:val="nil"/>
              <w:left w:val="nil"/>
              <w:bottom w:val="nil"/>
              <w:right w:val="nil"/>
            </w:tcBorders>
            <w:vAlign w:val="bottom"/>
          </w:tcPr>
          <w:p w14:paraId="03BFB1E4" w14:textId="4709048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(0.072)</w:t>
            </w:r>
          </w:p>
        </w:tc>
      </w:tr>
      <w:tr w:rsidR="00585E53" w:rsidRPr="00A86CC4" w14:paraId="453DFE83" w14:textId="6C183232" w:rsidTr="00FA38DC">
        <w:tc>
          <w:tcPr>
            <w:tcW w:w="2977" w:type="dxa"/>
            <w:tcBorders>
              <w:top w:val="nil"/>
              <w:left w:val="nil"/>
              <w:bottom w:val="nil"/>
              <w:right w:val="single" w:sz="4" w:space="0" w:color="auto"/>
            </w:tcBorders>
            <w:shd w:val="clear" w:color="auto" w:fill="auto"/>
            <w:noWrap/>
            <w:vAlign w:val="bottom"/>
            <w:hideMark/>
          </w:tcPr>
          <w:p w14:paraId="6DACEA14"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Widowed</w:t>
            </w:r>
          </w:p>
        </w:tc>
        <w:tc>
          <w:tcPr>
            <w:tcW w:w="1134" w:type="dxa"/>
            <w:tcBorders>
              <w:top w:val="nil"/>
              <w:left w:val="single" w:sz="4" w:space="0" w:color="auto"/>
              <w:bottom w:val="nil"/>
              <w:right w:val="nil"/>
            </w:tcBorders>
            <w:shd w:val="clear" w:color="auto" w:fill="auto"/>
            <w:noWrap/>
            <w:vAlign w:val="bottom"/>
            <w:hideMark/>
          </w:tcPr>
          <w:p w14:paraId="1D9D01D8" w14:textId="7459C6C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0.282***</w:t>
            </w:r>
          </w:p>
        </w:tc>
        <w:tc>
          <w:tcPr>
            <w:tcW w:w="1134" w:type="dxa"/>
            <w:tcBorders>
              <w:top w:val="nil"/>
              <w:left w:val="nil"/>
              <w:bottom w:val="nil"/>
              <w:right w:val="nil"/>
            </w:tcBorders>
            <w:vAlign w:val="bottom"/>
          </w:tcPr>
          <w:p w14:paraId="1ED6B43C" w14:textId="332B7A24"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0.204**</w:t>
            </w:r>
          </w:p>
        </w:tc>
        <w:tc>
          <w:tcPr>
            <w:tcW w:w="1134" w:type="dxa"/>
            <w:tcBorders>
              <w:top w:val="nil"/>
              <w:left w:val="nil"/>
              <w:bottom w:val="nil"/>
            </w:tcBorders>
            <w:shd w:val="clear" w:color="auto" w:fill="auto"/>
            <w:noWrap/>
            <w:vAlign w:val="bottom"/>
            <w:hideMark/>
          </w:tcPr>
          <w:p w14:paraId="2B5C899F" w14:textId="6DC70C4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0.302***</w:t>
            </w:r>
          </w:p>
        </w:tc>
        <w:tc>
          <w:tcPr>
            <w:tcW w:w="1134" w:type="dxa"/>
            <w:tcBorders>
              <w:top w:val="nil"/>
              <w:left w:val="nil"/>
              <w:bottom w:val="nil"/>
              <w:right w:val="single" w:sz="4" w:space="0" w:color="auto"/>
            </w:tcBorders>
            <w:vAlign w:val="bottom"/>
          </w:tcPr>
          <w:p w14:paraId="5C00F52C" w14:textId="082E07B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0.258***</w:t>
            </w:r>
          </w:p>
        </w:tc>
        <w:tc>
          <w:tcPr>
            <w:tcW w:w="1134" w:type="dxa"/>
            <w:tcBorders>
              <w:top w:val="nil"/>
              <w:left w:val="single" w:sz="4" w:space="0" w:color="auto"/>
              <w:bottom w:val="nil"/>
              <w:right w:val="nil"/>
            </w:tcBorders>
            <w:shd w:val="clear" w:color="auto" w:fill="auto"/>
            <w:noWrap/>
            <w:vAlign w:val="bottom"/>
            <w:hideMark/>
          </w:tcPr>
          <w:p w14:paraId="18185D8C" w14:textId="6477E54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0.139</w:t>
            </w:r>
          </w:p>
        </w:tc>
        <w:tc>
          <w:tcPr>
            <w:tcW w:w="1134" w:type="dxa"/>
            <w:tcBorders>
              <w:top w:val="nil"/>
              <w:left w:val="nil"/>
              <w:bottom w:val="nil"/>
              <w:right w:val="nil"/>
            </w:tcBorders>
            <w:vAlign w:val="bottom"/>
          </w:tcPr>
          <w:p w14:paraId="0CD5BA87" w14:textId="66A49D8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0.156</w:t>
            </w:r>
          </w:p>
        </w:tc>
        <w:tc>
          <w:tcPr>
            <w:tcW w:w="1134" w:type="dxa"/>
            <w:tcBorders>
              <w:top w:val="nil"/>
              <w:left w:val="nil"/>
              <w:bottom w:val="nil"/>
              <w:right w:val="nil"/>
            </w:tcBorders>
            <w:shd w:val="clear" w:color="auto" w:fill="auto"/>
            <w:noWrap/>
            <w:vAlign w:val="bottom"/>
            <w:hideMark/>
          </w:tcPr>
          <w:p w14:paraId="79C993F4" w14:textId="7E02EF8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0.127</w:t>
            </w:r>
          </w:p>
        </w:tc>
        <w:tc>
          <w:tcPr>
            <w:tcW w:w="1134" w:type="dxa"/>
            <w:tcBorders>
              <w:top w:val="nil"/>
              <w:left w:val="nil"/>
              <w:bottom w:val="nil"/>
              <w:right w:val="nil"/>
            </w:tcBorders>
            <w:vAlign w:val="bottom"/>
          </w:tcPr>
          <w:p w14:paraId="774A951B" w14:textId="51AAFB2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0.133</w:t>
            </w:r>
          </w:p>
        </w:tc>
      </w:tr>
      <w:tr w:rsidR="00585E53" w:rsidRPr="00A86CC4" w14:paraId="6A8D9461" w14:textId="03473136" w:rsidTr="00FA38DC">
        <w:tc>
          <w:tcPr>
            <w:tcW w:w="2977" w:type="dxa"/>
            <w:tcBorders>
              <w:top w:val="nil"/>
              <w:left w:val="nil"/>
              <w:bottom w:val="nil"/>
              <w:right w:val="single" w:sz="4" w:space="0" w:color="auto"/>
            </w:tcBorders>
            <w:shd w:val="clear" w:color="auto" w:fill="auto"/>
            <w:noWrap/>
            <w:vAlign w:val="bottom"/>
            <w:hideMark/>
          </w:tcPr>
          <w:p w14:paraId="7659BFA1"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C196DBC" w14:textId="04B8CAB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(0.081)</w:t>
            </w:r>
          </w:p>
        </w:tc>
        <w:tc>
          <w:tcPr>
            <w:tcW w:w="1134" w:type="dxa"/>
            <w:tcBorders>
              <w:top w:val="nil"/>
              <w:left w:val="nil"/>
              <w:bottom w:val="nil"/>
              <w:right w:val="nil"/>
            </w:tcBorders>
            <w:vAlign w:val="bottom"/>
          </w:tcPr>
          <w:p w14:paraId="31178032" w14:textId="4045A27A"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(0.081)</w:t>
            </w:r>
          </w:p>
        </w:tc>
        <w:tc>
          <w:tcPr>
            <w:tcW w:w="1134" w:type="dxa"/>
            <w:tcBorders>
              <w:top w:val="nil"/>
              <w:left w:val="nil"/>
              <w:bottom w:val="nil"/>
            </w:tcBorders>
            <w:shd w:val="clear" w:color="auto" w:fill="auto"/>
            <w:noWrap/>
            <w:vAlign w:val="bottom"/>
            <w:hideMark/>
          </w:tcPr>
          <w:p w14:paraId="2693B504" w14:textId="4F83FBC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(0.079)</w:t>
            </w:r>
          </w:p>
        </w:tc>
        <w:tc>
          <w:tcPr>
            <w:tcW w:w="1134" w:type="dxa"/>
            <w:tcBorders>
              <w:top w:val="nil"/>
              <w:left w:val="nil"/>
              <w:bottom w:val="nil"/>
              <w:right w:val="single" w:sz="4" w:space="0" w:color="auto"/>
            </w:tcBorders>
            <w:vAlign w:val="bottom"/>
          </w:tcPr>
          <w:p w14:paraId="137839BD" w14:textId="155F256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(0.079)</w:t>
            </w:r>
          </w:p>
        </w:tc>
        <w:tc>
          <w:tcPr>
            <w:tcW w:w="1134" w:type="dxa"/>
            <w:tcBorders>
              <w:top w:val="nil"/>
              <w:left w:val="single" w:sz="4" w:space="0" w:color="auto"/>
              <w:bottom w:val="nil"/>
              <w:right w:val="nil"/>
            </w:tcBorders>
            <w:shd w:val="clear" w:color="auto" w:fill="auto"/>
            <w:noWrap/>
            <w:vAlign w:val="bottom"/>
            <w:hideMark/>
          </w:tcPr>
          <w:p w14:paraId="0B942DB4" w14:textId="30089E3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(0.105)</w:t>
            </w:r>
          </w:p>
        </w:tc>
        <w:tc>
          <w:tcPr>
            <w:tcW w:w="1134" w:type="dxa"/>
            <w:tcBorders>
              <w:top w:val="nil"/>
              <w:left w:val="nil"/>
              <w:bottom w:val="nil"/>
              <w:right w:val="nil"/>
            </w:tcBorders>
            <w:vAlign w:val="bottom"/>
          </w:tcPr>
          <w:p w14:paraId="7FBCC6C4" w14:textId="55AA8C3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(0.111)</w:t>
            </w:r>
          </w:p>
        </w:tc>
        <w:tc>
          <w:tcPr>
            <w:tcW w:w="1134" w:type="dxa"/>
            <w:tcBorders>
              <w:top w:val="nil"/>
              <w:left w:val="nil"/>
              <w:bottom w:val="nil"/>
              <w:right w:val="nil"/>
            </w:tcBorders>
            <w:shd w:val="clear" w:color="auto" w:fill="auto"/>
            <w:noWrap/>
            <w:vAlign w:val="bottom"/>
            <w:hideMark/>
          </w:tcPr>
          <w:p w14:paraId="4EA9FE4C" w14:textId="2612CBC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(0.110)</w:t>
            </w:r>
          </w:p>
        </w:tc>
        <w:tc>
          <w:tcPr>
            <w:tcW w:w="1134" w:type="dxa"/>
            <w:tcBorders>
              <w:top w:val="nil"/>
              <w:left w:val="nil"/>
              <w:bottom w:val="nil"/>
              <w:right w:val="nil"/>
            </w:tcBorders>
            <w:vAlign w:val="bottom"/>
          </w:tcPr>
          <w:p w14:paraId="5D379698" w14:textId="3A1FE7A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(0.117)</w:t>
            </w:r>
          </w:p>
        </w:tc>
      </w:tr>
      <w:tr w:rsidR="00585E53" w:rsidRPr="00A86CC4" w14:paraId="2582F163" w14:textId="389924FB" w:rsidTr="00FA38DC">
        <w:tc>
          <w:tcPr>
            <w:tcW w:w="2977" w:type="dxa"/>
            <w:tcBorders>
              <w:top w:val="nil"/>
              <w:left w:val="nil"/>
              <w:bottom w:val="nil"/>
              <w:right w:val="single" w:sz="4" w:space="0" w:color="auto"/>
            </w:tcBorders>
            <w:shd w:val="clear" w:color="auto" w:fill="auto"/>
            <w:noWrap/>
            <w:vAlign w:val="bottom"/>
            <w:hideMark/>
          </w:tcPr>
          <w:p w14:paraId="54824738"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Divorced</w:t>
            </w:r>
          </w:p>
        </w:tc>
        <w:tc>
          <w:tcPr>
            <w:tcW w:w="1134" w:type="dxa"/>
            <w:tcBorders>
              <w:top w:val="nil"/>
              <w:left w:val="single" w:sz="4" w:space="0" w:color="auto"/>
              <w:bottom w:val="nil"/>
              <w:right w:val="nil"/>
            </w:tcBorders>
            <w:shd w:val="clear" w:color="auto" w:fill="auto"/>
            <w:noWrap/>
            <w:vAlign w:val="bottom"/>
            <w:hideMark/>
          </w:tcPr>
          <w:p w14:paraId="24F32475" w14:textId="0406D67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0.168**</w:t>
            </w:r>
          </w:p>
        </w:tc>
        <w:tc>
          <w:tcPr>
            <w:tcW w:w="1134" w:type="dxa"/>
            <w:tcBorders>
              <w:top w:val="nil"/>
              <w:left w:val="nil"/>
              <w:bottom w:val="nil"/>
              <w:right w:val="nil"/>
            </w:tcBorders>
            <w:vAlign w:val="bottom"/>
          </w:tcPr>
          <w:p w14:paraId="5A29DEE8" w14:textId="155E0F90"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0.182**</w:t>
            </w:r>
          </w:p>
        </w:tc>
        <w:tc>
          <w:tcPr>
            <w:tcW w:w="1134" w:type="dxa"/>
            <w:tcBorders>
              <w:top w:val="nil"/>
              <w:left w:val="nil"/>
              <w:bottom w:val="nil"/>
            </w:tcBorders>
            <w:shd w:val="clear" w:color="auto" w:fill="auto"/>
            <w:noWrap/>
            <w:vAlign w:val="bottom"/>
            <w:hideMark/>
          </w:tcPr>
          <w:p w14:paraId="1ECA72AC" w14:textId="76A8427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0.162*</w:t>
            </w:r>
          </w:p>
        </w:tc>
        <w:tc>
          <w:tcPr>
            <w:tcW w:w="1134" w:type="dxa"/>
            <w:tcBorders>
              <w:top w:val="nil"/>
              <w:left w:val="nil"/>
              <w:bottom w:val="nil"/>
              <w:right w:val="single" w:sz="4" w:space="0" w:color="auto"/>
            </w:tcBorders>
            <w:vAlign w:val="bottom"/>
          </w:tcPr>
          <w:p w14:paraId="21DE44D2" w14:textId="300A6FE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0.213**</w:t>
            </w:r>
          </w:p>
        </w:tc>
        <w:tc>
          <w:tcPr>
            <w:tcW w:w="1134" w:type="dxa"/>
            <w:tcBorders>
              <w:top w:val="nil"/>
              <w:left w:val="single" w:sz="4" w:space="0" w:color="auto"/>
              <w:bottom w:val="nil"/>
              <w:right w:val="nil"/>
            </w:tcBorders>
            <w:shd w:val="clear" w:color="auto" w:fill="auto"/>
            <w:noWrap/>
            <w:vAlign w:val="bottom"/>
            <w:hideMark/>
          </w:tcPr>
          <w:p w14:paraId="579E05FA" w14:textId="3F95FB6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0.192***</w:t>
            </w:r>
          </w:p>
        </w:tc>
        <w:tc>
          <w:tcPr>
            <w:tcW w:w="1134" w:type="dxa"/>
            <w:tcBorders>
              <w:top w:val="nil"/>
              <w:left w:val="nil"/>
              <w:bottom w:val="nil"/>
              <w:right w:val="nil"/>
            </w:tcBorders>
            <w:vAlign w:val="bottom"/>
          </w:tcPr>
          <w:p w14:paraId="273F9DAF" w14:textId="77DB8E3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0.084</w:t>
            </w:r>
          </w:p>
        </w:tc>
        <w:tc>
          <w:tcPr>
            <w:tcW w:w="1134" w:type="dxa"/>
            <w:tcBorders>
              <w:top w:val="nil"/>
              <w:left w:val="nil"/>
              <w:bottom w:val="nil"/>
              <w:right w:val="nil"/>
            </w:tcBorders>
            <w:shd w:val="clear" w:color="auto" w:fill="auto"/>
            <w:noWrap/>
            <w:vAlign w:val="bottom"/>
            <w:hideMark/>
          </w:tcPr>
          <w:p w14:paraId="64582B53" w14:textId="5ED6490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0.183**</w:t>
            </w:r>
          </w:p>
        </w:tc>
        <w:tc>
          <w:tcPr>
            <w:tcW w:w="1134" w:type="dxa"/>
            <w:tcBorders>
              <w:top w:val="nil"/>
              <w:left w:val="nil"/>
              <w:bottom w:val="nil"/>
              <w:right w:val="nil"/>
            </w:tcBorders>
            <w:vAlign w:val="bottom"/>
          </w:tcPr>
          <w:p w14:paraId="662C80E8" w14:textId="5DBD752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0.071</w:t>
            </w:r>
          </w:p>
        </w:tc>
      </w:tr>
      <w:tr w:rsidR="00585E53" w:rsidRPr="00A86CC4" w14:paraId="7FF43A59" w14:textId="545A284F" w:rsidTr="00FA38DC">
        <w:tc>
          <w:tcPr>
            <w:tcW w:w="2977" w:type="dxa"/>
            <w:tcBorders>
              <w:top w:val="nil"/>
              <w:left w:val="nil"/>
              <w:bottom w:val="nil"/>
              <w:right w:val="single" w:sz="4" w:space="0" w:color="auto"/>
            </w:tcBorders>
            <w:shd w:val="clear" w:color="auto" w:fill="auto"/>
            <w:noWrap/>
            <w:vAlign w:val="bottom"/>
            <w:hideMark/>
          </w:tcPr>
          <w:p w14:paraId="2B731B76"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79F1560E" w14:textId="7BC760F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(0.085)</w:t>
            </w:r>
          </w:p>
        </w:tc>
        <w:tc>
          <w:tcPr>
            <w:tcW w:w="1134" w:type="dxa"/>
            <w:tcBorders>
              <w:top w:val="nil"/>
              <w:left w:val="nil"/>
              <w:bottom w:val="nil"/>
              <w:right w:val="nil"/>
            </w:tcBorders>
            <w:vAlign w:val="bottom"/>
          </w:tcPr>
          <w:p w14:paraId="6491142C" w14:textId="2AE123BA"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(0.087)</w:t>
            </w:r>
          </w:p>
        </w:tc>
        <w:tc>
          <w:tcPr>
            <w:tcW w:w="1134" w:type="dxa"/>
            <w:tcBorders>
              <w:top w:val="nil"/>
              <w:left w:val="nil"/>
              <w:bottom w:val="nil"/>
            </w:tcBorders>
            <w:shd w:val="clear" w:color="auto" w:fill="auto"/>
            <w:noWrap/>
            <w:vAlign w:val="bottom"/>
            <w:hideMark/>
          </w:tcPr>
          <w:p w14:paraId="3A7F4F46" w14:textId="03273BC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(0.085)</w:t>
            </w:r>
          </w:p>
        </w:tc>
        <w:tc>
          <w:tcPr>
            <w:tcW w:w="1134" w:type="dxa"/>
            <w:tcBorders>
              <w:top w:val="nil"/>
              <w:left w:val="nil"/>
              <w:bottom w:val="nil"/>
              <w:right w:val="single" w:sz="4" w:space="0" w:color="auto"/>
            </w:tcBorders>
            <w:vAlign w:val="bottom"/>
          </w:tcPr>
          <w:p w14:paraId="772F12C4" w14:textId="132BF29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(0.087)</w:t>
            </w:r>
          </w:p>
        </w:tc>
        <w:tc>
          <w:tcPr>
            <w:tcW w:w="1134" w:type="dxa"/>
            <w:tcBorders>
              <w:top w:val="nil"/>
              <w:left w:val="single" w:sz="4" w:space="0" w:color="auto"/>
              <w:bottom w:val="nil"/>
              <w:right w:val="nil"/>
            </w:tcBorders>
            <w:shd w:val="clear" w:color="auto" w:fill="auto"/>
            <w:noWrap/>
            <w:vAlign w:val="bottom"/>
            <w:hideMark/>
          </w:tcPr>
          <w:p w14:paraId="4110F165" w14:textId="24FBE05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(0.072)</w:t>
            </w:r>
          </w:p>
        </w:tc>
        <w:tc>
          <w:tcPr>
            <w:tcW w:w="1134" w:type="dxa"/>
            <w:tcBorders>
              <w:top w:val="nil"/>
              <w:left w:val="nil"/>
              <w:bottom w:val="nil"/>
              <w:right w:val="nil"/>
            </w:tcBorders>
            <w:vAlign w:val="bottom"/>
          </w:tcPr>
          <w:p w14:paraId="2EDF4CFC" w14:textId="6DD9C90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(0.078)</w:t>
            </w:r>
          </w:p>
        </w:tc>
        <w:tc>
          <w:tcPr>
            <w:tcW w:w="1134" w:type="dxa"/>
            <w:tcBorders>
              <w:top w:val="nil"/>
              <w:left w:val="nil"/>
              <w:bottom w:val="nil"/>
              <w:right w:val="nil"/>
            </w:tcBorders>
            <w:shd w:val="clear" w:color="auto" w:fill="auto"/>
            <w:noWrap/>
            <w:vAlign w:val="bottom"/>
            <w:hideMark/>
          </w:tcPr>
          <w:p w14:paraId="420975AD" w14:textId="689CCA0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(0.075)</w:t>
            </w:r>
          </w:p>
        </w:tc>
        <w:tc>
          <w:tcPr>
            <w:tcW w:w="1134" w:type="dxa"/>
            <w:tcBorders>
              <w:top w:val="nil"/>
              <w:left w:val="nil"/>
              <w:bottom w:val="nil"/>
              <w:right w:val="nil"/>
            </w:tcBorders>
            <w:vAlign w:val="bottom"/>
          </w:tcPr>
          <w:p w14:paraId="21C94B59" w14:textId="61FFB18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(0.080)</w:t>
            </w:r>
          </w:p>
        </w:tc>
      </w:tr>
      <w:tr w:rsidR="00585E53" w:rsidRPr="00A86CC4" w14:paraId="0EEF6CF1" w14:textId="425C5758" w:rsidTr="00FA38DC">
        <w:tc>
          <w:tcPr>
            <w:tcW w:w="2977" w:type="dxa"/>
            <w:tcBorders>
              <w:top w:val="nil"/>
              <w:left w:val="nil"/>
              <w:right w:val="single" w:sz="4" w:space="0" w:color="auto"/>
            </w:tcBorders>
            <w:shd w:val="clear" w:color="auto" w:fill="auto"/>
            <w:noWrap/>
            <w:vAlign w:val="bottom"/>
            <w:hideMark/>
          </w:tcPr>
          <w:p w14:paraId="576F53A1"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Cohabitating</w:t>
            </w:r>
          </w:p>
        </w:tc>
        <w:tc>
          <w:tcPr>
            <w:tcW w:w="1134" w:type="dxa"/>
            <w:tcBorders>
              <w:top w:val="nil"/>
              <w:left w:val="single" w:sz="4" w:space="0" w:color="auto"/>
              <w:right w:val="nil"/>
            </w:tcBorders>
            <w:shd w:val="clear" w:color="auto" w:fill="auto"/>
            <w:noWrap/>
            <w:vAlign w:val="bottom"/>
            <w:hideMark/>
          </w:tcPr>
          <w:p w14:paraId="64E82585" w14:textId="06B9106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0.445***</w:t>
            </w:r>
          </w:p>
        </w:tc>
        <w:tc>
          <w:tcPr>
            <w:tcW w:w="1134" w:type="dxa"/>
            <w:tcBorders>
              <w:top w:val="nil"/>
              <w:left w:val="nil"/>
              <w:right w:val="nil"/>
            </w:tcBorders>
            <w:vAlign w:val="bottom"/>
          </w:tcPr>
          <w:p w14:paraId="5227EBE4" w14:textId="04B7C200"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0.328***</w:t>
            </w:r>
          </w:p>
        </w:tc>
        <w:tc>
          <w:tcPr>
            <w:tcW w:w="1134" w:type="dxa"/>
            <w:tcBorders>
              <w:top w:val="nil"/>
              <w:left w:val="nil"/>
            </w:tcBorders>
            <w:shd w:val="clear" w:color="auto" w:fill="auto"/>
            <w:noWrap/>
            <w:vAlign w:val="bottom"/>
            <w:hideMark/>
          </w:tcPr>
          <w:p w14:paraId="38F45DF2" w14:textId="6CE69D7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0.479***</w:t>
            </w:r>
          </w:p>
        </w:tc>
        <w:tc>
          <w:tcPr>
            <w:tcW w:w="1134" w:type="dxa"/>
            <w:tcBorders>
              <w:top w:val="nil"/>
              <w:left w:val="nil"/>
              <w:right w:val="single" w:sz="4" w:space="0" w:color="auto"/>
            </w:tcBorders>
            <w:vAlign w:val="bottom"/>
          </w:tcPr>
          <w:p w14:paraId="02E8EE6A" w14:textId="6633D28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0.399***</w:t>
            </w:r>
          </w:p>
        </w:tc>
        <w:tc>
          <w:tcPr>
            <w:tcW w:w="1134" w:type="dxa"/>
            <w:tcBorders>
              <w:top w:val="nil"/>
              <w:left w:val="single" w:sz="4" w:space="0" w:color="auto"/>
              <w:right w:val="nil"/>
            </w:tcBorders>
            <w:shd w:val="clear" w:color="auto" w:fill="auto"/>
            <w:noWrap/>
            <w:vAlign w:val="bottom"/>
            <w:hideMark/>
          </w:tcPr>
          <w:p w14:paraId="11C4E5B5" w14:textId="01DB606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0.513***</w:t>
            </w:r>
          </w:p>
        </w:tc>
        <w:tc>
          <w:tcPr>
            <w:tcW w:w="1134" w:type="dxa"/>
            <w:tcBorders>
              <w:top w:val="nil"/>
              <w:left w:val="nil"/>
              <w:right w:val="nil"/>
            </w:tcBorders>
            <w:vAlign w:val="bottom"/>
          </w:tcPr>
          <w:p w14:paraId="5A109598" w14:textId="580E7BA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0.473***</w:t>
            </w:r>
          </w:p>
        </w:tc>
        <w:tc>
          <w:tcPr>
            <w:tcW w:w="1134" w:type="dxa"/>
            <w:tcBorders>
              <w:top w:val="nil"/>
              <w:left w:val="nil"/>
              <w:right w:val="nil"/>
            </w:tcBorders>
            <w:shd w:val="clear" w:color="auto" w:fill="auto"/>
            <w:noWrap/>
            <w:vAlign w:val="bottom"/>
            <w:hideMark/>
          </w:tcPr>
          <w:p w14:paraId="49AD0D98" w14:textId="5635C26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0.503***</w:t>
            </w:r>
          </w:p>
        </w:tc>
        <w:tc>
          <w:tcPr>
            <w:tcW w:w="1134" w:type="dxa"/>
            <w:tcBorders>
              <w:top w:val="nil"/>
              <w:left w:val="nil"/>
              <w:right w:val="nil"/>
            </w:tcBorders>
            <w:vAlign w:val="bottom"/>
          </w:tcPr>
          <w:p w14:paraId="6B8FA5C8" w14:textId="6770B13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0.454***</w:t>
            </w:r>
          </w:p>
        </w:tc>
      </w:tr>
      <w:tr w:rsidR="00585E53" w:rsidRPr="00A86CC4" w14:paraId="00972AA3" w14:textId="00D7C932" w:rsidTr="00FA38DC">
        <w:tc>
          <w:tcPr>
            <w:tcW w:w="2977" w:type="dxa"/>
            <w:tcBorders>
              <w:top w:val="nil"/>
              <w:left w:val="nil"/>
              <w:bottom w:val="single" w:sz="4" w:space="0" w:color="auto"/>
              <w:right w:val="single" w:sz="4" w:space="0" w:color="auto"/>
            </w:tcBorders>
            <w:shd w:val="clear" w:color="auto" w:fill="auto"/>
            <w:noWrap/>
            <w:vAlign w:val="bottom"/>
            <w:hideMark/>
          </w:tcPr>
          <w:p w14:paraId="12332289"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4EC09219" w14:textId="218C4A7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(0.096)</w:t>
            </w:r>
          </w:p>
        </w:tc>
        <w:tc>
          <w:tcPr>
            <w:tcW w:w="1134" w:type="dxa"/>
            <w:tcBorders>
              <w:top w:val="nil"/>
              <w:left w:val="nil"/>
              <w:bottom w:val="single" w:sz="4" w:space="0" w:color="auto"/>
              <w:right w:val="nil"/>
            </w:tcBorders>
            <w:vAlign w:val="bottom"/>
          </w:tcPr>
          <w:p w14:paraId="4766C93D" w14:textId="1E109FE1"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(0.099)</w:t>
            </w:r>
          </w:p>
        </w:tc>
        <w:tc>
          <w:tcPr>
            <w:tcW w:w="1134" w:type="dxa"/>
            <w:tcBorders>
              <w:top w:val="nil"/>
              <w:left w:val="nil"/>
              <w:bottom w:val="single" w:sz="4" w:space="0" w:color="auto"/>
            </w:tcBorders>
            <w:shd w:val="clear" w:color="auto" w:fill="auto"/>
            <w:noWrap/>
            <w:vAlign w:val="bottom"/>
            <w:hideMark/>
          </w:tcPr>
          <w:p w14:paraId="4CB1A8FD" w14:textId="60C23FF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(0.099)</w:t>
            </w:r>
          </w:p>
        </w:tc>
        <w:tc>
          <w:tcPr>
            <w:tcW w:w="1134" w:type="dxa"/>
            <w:tcBorders>
              <w:top w:val="nil"/>
              <w:left w:val="nil"/>
              <w:bottom w:val="single" w:sz="4" w:space="0" w:color="auto"/>
              <w:right w:val="single" w:sz="4" w:space="0" w:color="auto"/>
            </w:tcBorders>
            <w:vAlign w:val="bottom"/>
          </w:tcPr>
          <w:p w14:paraId="071A5F67" w14:textId="171CA46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(0.102)</w:t>
            </w:r>
          </w:p>
        </w:tc>
        <w:tc>
          <w:tcPr>
            <w:tcW w:w="1134" w:type="dxa"/>
            <w:tcBorders>
              <w:top w:val="nil"/>
              <w:left w:val="single" w:sz="4" w:space="0" w:color="auto"/>
              <w:bottom w:val="single" w:sz="4" w:space="0" w:color="auto"/>
              <w:right w:val="nil"/>
            </w:tcBorders>
            <w:shd w:val="clear" w:color="auto" w:fill="auto"/>
            <w:noWrap/>
            <w:vAlign w:val="bottom"/>
            <w:hideMark/>
          </w:tcPr>
          <w:p w14:paraId="56ACDEEE" w14:textId="4516029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(0.089)</w:t>
            </w:r>
          </w:p>
        </w:tc>
        <w:tc>
          <w:tcPr>
            <w:tcW w:w="1134" w:type="dxa"/>
            <w:tcBorders>
              <w:top w:val="nil"/>
              <w:left w:val="nil"/>
              <w:bottom w:val="single" w:sz="4" w:space="0" w:color="auto"/>
              <w:right w:val="nil"/>
            </w:tcBorders>
            <w:vAlign w:val="bottom"/>
          </w:tcPr>
          <w:p w14:paraId="65113B66" w14:textId="786F423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(0.102)</w:t>
            </w:r>
          </w:p>
        </w:tc>
        <w:tc>
          <w:tcPr>
            <w:tcW w:w="1134" w:type="dxa"/>
            <w:tcBorders>
              <w:top w:val="nil"/>
              <w:left w:val="nil"/>
              <w:bottom w:val="single" w:sz="4" w:space="0" w:color="auto"/>
              <w:right w:val="nil"/>
            </w:tcBorders>
            <w:shd w:val="clear" w:color="auto" w:fill="auto"/>
            <w:noWrap/>
            <w:vAlign w:val="bottom"/>
            <w:hideMark/>
          </w:tcPr>
          <w:p w14:paraId="40F13551" w14:textId="7F6F2F6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(0.094)</w:t>
            </w:r>
          </w:p>
        </w:tc>
        <w:tc>
          <w:tcPr>
            <w:tcW w:w="1134" w:type="dxa"/>
            <w:tcBorders>
              <w:top w:val="nil"/>
              <w:left w:val="nil"/>
              <w:bottom w:val="single" w:sz="4" w:space="0" w:color="auto"/>
              <w:right w:val="nil"/>
            </w:tcBorders>
            <w:vAlign w:val="bottom"/>
          </w:tcPr>
          <w:p w14:paraId="714E270D" w14:textId="677B1C4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(0.107)</w:t>
            </w:r>
          </w:p>
        </w:tc>
      </w:tr>
      <w:tr w:rsidR="00585E53" w:rsidRPr="00A86CC4" w14:paraId="27E2A385" w14:textId="5E3D1E26" w:rsidTr="00FA38DC">
        <w:tc>
          <w:tcPr>
            <w:tcW w:w="2977" w:type="dxa"/>
            <w:tcBorders>
              <w:top w:val="single" w:sz="4" w:space="0" w:color="auto"/>
              <w:left w:val="nil"/>
              <w:bottom w:val="nil"/>
              <w:right w:val="single" w:sz="4" w:space="0" w:color="auto"/>
            </w:tcBorders>
            <w:shd w:val="clear" w:color="auto" w:fill="auto"/>
            <w:noWrap/>
            <w:vAlign w:val="bottom"/>
            <w:hideMark/>
          </w:tcPr>
          <w:p w14:paraId="424B6A42"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Lower secondary</w:t>
            </w:r>
          </w:p>
        </w:tc>
        <w:tc>
          <w:tcPr>
            <w:tcW w:w="1134" w:type="dxa"/>
            <w:tcBorders>
              <w:top w:val="single" w:sz="4" w:space="0" w:color="auto"/>
              <w:left w:val="single" w:sz="4" w:space="0" w:color="auto"/>
              <w:bottom w:val="nil"/>
              <w:right w:val="nil"/>
            </w:tcBorders>
            <w:shd w:val="clear" w:color="auto" w:fill="auto"/>
            <w:noWrap/>
            <w:vAlign w:val="bottom"/>
            <w:hideMark/>
          </w:tcPr>
          <w:p w14:paraId="623844E9" w14:textId="153D9C3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0.662***</w:t>
            </w:r>
          </w:p>
        </w:tc>
        <w:tc>
          <w:tcPr>
            <w:tcW w:w="1134" w:type="dxa"/>
            <w:tcBorders>
              <w:top w:val="single" w:sz="4" w:space="0" w:color="auto"/>
              <w:left w:val="nil"/>
              <w:bottom w:val="nil"/>
              <w:right w:val="nil"/>
            </w:tcBorders>
            <w:vAlign w:val="bottom"/>
          </w:tcPr>
          <w:p w14:paraId="1D8F376B" w14:textId="779E6482"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0.800***</w:t>
            </w:r>
          </w:p>
        </w:tc>
        <w:tc>
          <w:tcPr>
            <w:tcW w:w="1134" w:type="dxa"/>
            <w:tcBorders>
              <w:top w:val="single" w:sz="4" w:space="0" w:color="auto"/>
              <w:left w:val="nil"/>
              <w:bottom w:val="nil"/>
            </w:tcBorders>
            <w:shd w:val="clear" w:color="auto" w:fill="auto"/>
            <w:noWrap/>
            <w:vAlign w:val="bottom"/>
            <w:hideMark/>
          </w:tcPr>
          <w:p w14:paraId="23B88945" w14:textId="3DDE31F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0.668***</w:t>
            </w:r>
          </w:p>
        </w:tc>
        <w:tc>
          <w:tcPr>
            <w:tcW w:w="1134" w:type="dxa"/>
            <w:tcBorders>
              <w:top w:val="single" w:sz="4" w:space="0" w:color="auto"/>
              <w:left w:val="nil"/>
              <w:bottom w:val="nil"/>
              <w:right w:val="single" w:sz="4" w:space="0" w:color="auto"/>
            </w:tcBorders>
            <w:vAlign w:val="bottom"/>
          </w:tcPr>
          <w:p w14:paraId="0FFA4078" w14:textId="10305C8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0.802***</w:t>
            </w:r>
          </w:p>
        </w:tc>
        <w:tc>
          <w:tcPr>
            <w:tcW w:w="1134" w:type="dxa"/>
            <w:tcBorders>
              <w:top w:val="single" w:sz="4" w:space="0" w:color="auto"/>
              <w:left w:val="single" w:sz="4" w:space="0" w:color="auto"/>
              <w:bottom w:val="nil"/>
              <w:right w:val="nil"/>
            </w:tcBorders>
            <w:shd w:val="clear" w:color="auto" w:fill="auto"/>
            <w:noWrap/>
            <w:vAlign w:val="bottom"/>
            <w:hideMark/>
          </w:tcPr>
          <w:p w14:paraId="7976E1BF" w14:textId="685DA5D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0.455***</w:t>
            </w:r>
          </w:p>
        </w:tc>
        <w:tc>
          <w:tcPr>
            <w:tcW w:w="1134" w:type="dxa"/>
            <w:tcBorders>
              <w:top w:val="single" w:sz="4" w:space="0" w:color="auto"/>
              <w:left w:val="nil"/>
              <w:bottom w:val="nil"/>
              <w:right w:val="nil"/>
            </w:tcBorders>
            <w:vAlign w:val="bottom"/>
          </w:tcPr>
          <w:p w14:paraId="3B8C58B7" w14:textId="6BAFB20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0.672***</w:t>
            </w:r>
          </w:p>
        </w:tc>
        <w:tc>
          <w:tcPr>
            <w:tcW w:w="1134" w:type="dxa"/>
            <w:tcBorders>
              <w:top w:val="single" w:sz="4" w:space="0" w:color="auto"/>
              <w:left w:val="nil"/>
              <w:bottom w:val="nil"/>
              <w:right w:val="nil"/>
            </w:tcBorders>
            <w:shd w:val="clear" w:color="auto" w:fill="auto"/>
            <w:noWrap/>
            <w:vAlign w:val="bottom"/>
            <w:hideMark/>
          </w:tcPr>
          <w:p w14:paraId="60BF59BD" w14:textId="08B2CD1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0.450***</w:t>
            </w:r>
          </w:p>
        </w:tc>
        <w:tc>
          <w:tcPr>
            <w:tcW w:w="1134" w:type="dxa"/>
            <w:tcBorders>
              <w:top w:val="single" w:sz="4" w:space="0" w:color="auto"/>
              <w:left w:val="nil"/>
              <w:bottom w:val="nil"/>
              <w:right w:val="nil"/>
            </w:tcBorders>
            <w:vAlign w:val="bottom"/>
          </w:tcPr>
          <w:p w14:paraId="69BA89EB" w14:textId="4E73BF1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0.670***</w:t>
            </w:r>
          </w:p>
        </w:tc>
      </w:tr>
      <w:tr w:rsidR="00585E53" w:rsidRPr="00A86CC4" w14:paraId="287673DF" w14:textId="3449EEB6" w:rsidTr="00FA38DC">
        <w:tc>
          <w:tcPr>
            <w:tcW w:w="2977" w:type="dxa"/>
            <w:tcBorders>
              <w:top w:val="nil"/>
              <w:left w:val="nil"/>
              <w:bottom w:val="nil"/>
              <w:right w:val="single" w:sz="4" w:space="0" w:color="auto"/>
            </w:tcBorders>
            <w:shd w:val="clear" w:color="auto" w:fill="auto"/>
            <w:noWrap/>
            <w:vAlign w:val="bottom"/>
            <w:hideMark/>
          </w:tcPr>
          <w:p w14:paraId="3CA7E275"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0FA784BD" w14:textId="5B22C47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(0.152)</w:t>
            </w:r>
          </w:p>
        </w:tc>
        <w:tc>
          <w:tcPr>
            <w:tcW w:w="1134" w:type="dxa"/>
            <w:tcBorders>
              <w:top w:val="nil"/>
              <w:left w:val="nil"/>
              <w:bottom w:val="nil"/>
              <w:right w:val="nil"/>
            </w:tcBorders>
            <w:vAlign w:val="bottom"/>
          </w:tcPr>
          <w:p w14:paraId="33D8937C" w14:textId="5FD8F9CD"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(0.159)</w:t>
            </w:r>
          </w:p>
        </w:tc>
        <w:tc>
          <w:tcPr>
            <w:tcW w:w="1134" w:type="dxa"/>
            <w:tcBorders>
              <w:top w:val="nil"/>
              <w:left w:val="nil"/>
              <w:bottom w:val="nil"/>
            </w:tcBorders>
            <w:shd w:val="clear" w:color="auto" w:fill="auto"/>
            <w:noWrap/>
            <w:vAlign w:val="bottom"/>
            <w:hideMark/>
          </w:tcPr>
          <w:p w14:paraId="289BFF28" w14:textId="2C9AD94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(0.156)</w:t>
            </w:r>
          </w:p>
        </w:tc>
        <w:tc>
          <w:tcPr>
            <w:tcW w:w="1134" w:type="dxa"/>
            <w:tcBorders>
              <w:top w:val="nil"/>
              <w:left w:val="nil"/>
              <w:bottom w:val="nil"/>
              <w:right w:val="single" w:sz="4" w:space="0" w:color="auto"/>
            </w:tcBorders>
            <w:vAlign w:val="bottom"/>
          </w:tcPr>
          <w:p w14:paraId="0F335F7E" w14:textId="4B8E2D3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(0.162)</w:t>
            </w:r>
          </w:p>
        </w:tc>
        <w:tc>
          <w:tcPr>
            <w:tcW w:w="1134" w:type="dxa"/>
            <w:tcBorders>
              <w:top w:val="nil"/>
              <w:left w:val="single" w:sz="4" w:space="0" w:color="auto"/>
              <w:bottom w:val="nil"/>
              <w:right w:val="nil"/>
            </w:tcBorders>
            <w:shd w:val="clear" w:color="auto" w:fill="auto"/>
            <w:noWrap/>
            <w:vAlign w:val="bottom"/>
            <w:hideMark/>
          </w:tcPr>
          <w:p w14:paraId="039879BA" w14:textId="1932A0A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(0.122)</w:t>
            </w:r>
          </w:p>
        </w:tc>
        <w:tc>
          <w:tcPr>
            <w:tcW w:w="1134" w:type="dxa"/>
            <w:tcBorders>
              <w:top w:val="nil"/>
              <w:left w:val="nil"/>
              <w:bottom w:val="nil"/>
              <w:right w:val="nil"/>
            </w:tcBorders>
            <w:vAlign w:val="bottom"/>
          </w:tcPr>
          <w:p w14:paraId="77E6115D" w14:textId="4649139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(0.117)</w:t>
            </w:r>
          </w:p>
        </w:tc>
        <w:tc>
          <w:tcPr>
            <w:tcW w:w="1134" w:type="dxa"/>
            <w:tcBorders>
              <w:top w:val="nil"/>
              <w:left w:val="nil"/>
              <w:bottom w:val="nil"/>
              <w:right w:val="nil"/>
            </w:tcBorders>
            <w:shd w:val="clear" w:color="auto" w:fill="auto"/>
            <w:noWrap/>
            <w:vAlign w:val="bottom"/>
            <w:hideMark/>
          </w:tcPr>
          <w:p w14:paraId="0B828008" w14:textId="019502A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(0.122)</w:t>
            </w:r>
          </w:p>
        </w:tc>
        <w:tc>
          <w:tcPr>
            <w:tcW w:w="1134" w:type="dxa"/>
            <w:tcBorders>
              <w:top w:val="nil"/>
              <w:left w:val="nil"/>
              <w:bottom w:val="nil"/>
              <w:right w:val="nil"/>
            </w:tcBorders>
            <w:vAlign w:val="bottom"/>
          </w:tcPr>
          <w:p w14:paraId="13579D01" w14:textId="4C942D1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(0.118)</w:t>
            </w:r>
          </w:p>
        </w:tc>
      </w:tr>
      <w:tr w:rsidR="00585E53" w:rsidRPr="00A86CC4" w14:paraId="2616A37E" w14:textId="232EDD85" w:rsidTr="00FA38DC">
        <w:tc>
          <w:tcPr>
            <w:tcW w:w="2977" w:type="dxa"/>
            <w:tcBorders>
              <w:top w:val="nil"/>
              <w:left w:val="nil"/>
              <w:bottom w:val="nil"/>
              <w:right w:val="single" w:sz="4" w:space="0" w:color="auto"/>
            </w:tcBorders>
            <w:shd w:val="clear" w:color="auto" w:fill="auto"/>
            <w:noWrap/>
            <w:vAlign w:val="bottom"/>
            <w:hideMark/>
          </w:tcPr>
          <w:p w14:paraId="6347F7FE"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 xml:space="preserve">Upper secondary general </w:t>
            </w:r>
          </w:p>
        </w:tc>
        <w:tc>
          <w:tcPr>
            <w:tcW w:w="1134" w:type="dxa"/>
            <w:tcBorders>
              <w:top w:val="nil"/>
              <w:left w:val="single" w:sz="4" w:space="0" w:color="auto"/>
              <w:bottom w:val="nil"/>
              <w:right w:val="nil"/>
            </w:tcBorders>
            <w:shd w:val="clear" w:color="auto" w:fill="auto"/>
            <w:noWrap/>
            <w:vAlign w:val="bottom"/>
            <w:hideMark/>
          </w:tcPr>
          <w:p w14:paraId="5B01BE23" w14:textId="51C9F48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0.603***</w:t>
            </w:r>
          </w:p>
        </w:tc>
        <w:tc>
          <w:tcPr>
            <w:tcW w:w="1134" w:type="dxa"/>
            <w:tcBorders>
              <w:top w:val="nil"/>
              <w:left w:val="nil"/>
              <w:bottom w:val="nil"/>
              <w:right w:val="nil"/>
            </w:tcBorders>
            <w:vAlign w:val="bottom"/>
          </w:tcPr>
          <w:p w14:paraId="670FF0AB" w14:textId="4BB7691D"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0.778***</w:t>
            </w:r>
          </w:p>
        </w:tc>
        <w:tc>
          <w:tcPr>
            <w:tcW w:w="1134" w:type="dxa"/>
            <w:tcBorders>
              <w:top w:val="nil"/>
              <w:left w:val="nil"/>
              <w:bottom w:val="nil"/>
            </w:tcBorders>
            <w:shd w:val="clear" w:color="auto" w:fill="auto"/>
            <w:noWrap/>
            <w:vAlign w:val="bottom"/>
            <w:hideMark/>
          </w:tcPr>
          <w:p w14:paraId="6CE83002" w14:textId="30556F2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0.631***</w:t>
            </w:r>
          </w:p>
        </w:tc>
        <w:tc>
          <w:tcPr>
            <w:tcW w:w="1134" w:type="dxa"/>
            <w:tcBorders>
              <w:top w:val="nil"/>
              <w:left w:val="nil"/>
              <w:bottom w:val="nil"/>
              <w:right w:val="single" w:sz="4" w:space="0" w:color="auto"/>
            </w:tcBorders>
            <w:vAlign w:val="bottom"/>
          </w:tcPr>
          <w:p w14:paraId="625CE9F9" w14:textId="589644E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0.802***</w:t>
            </w:r>
          </w:p>
        </w:tc>
        <w:tc>
          <w:tcPr>
            <w:tcW w:w="1134" w:type="dxa"/>
            <w:tcBorders>
              <w:top w:val="nil"/>
              <w:left w:val="single" w:sz="4" w:space="0" w:color="auto"/>
              <w:bottom w:val="nil"/>
              <w:right w:val="nil"/>
            </w:tcBorders>
            <w:shd w:val="clear" w:color="auto" w:fill="auto"/>
            <w:noWrap/>
            <w:vAlign w:val="bottom"/>
            <w:hideMark/>
          </w:tcPr>
          <w:p w14:paraId="2286C121" w14:textId="5C6DCA2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0.500***</w:t>
            </w:r>
          </w:p>
        </w:tc>
        <w:tc>
          <w:tcPr>
            <w:tcW w:w="1134" w:type="dxa"/>
            <w:tcBorders>
              <w:top w:val="nil"/>
              <w:left w:val="nil"/>
              <w:bottom w:val="nil"/>
              <w:right w:val="nil"/>
            </w:tcBorders>
            <w:vAlign w:val="bottom"/>
          </w:tcPr>
          <w:p w14:paraId="21CDFA6A" w14:textId="7AF2219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0.803***</w:t>
            </w:r>
          </w:p>
        </w:tc>
        <w:tc>
          <w:tcPr>
            <w:tcW w:w="1134" w:type="dxa"/>
            <w:tcBorders>
              <w:top w:val="nil"/>
              <w:left w:val="nil"/>
              <w:bottom w:val="nil"/>
              <w:right w:val="nil"/>
            </w:tcBorders>
            <w:shd w:val="clear" w:color="auto" w:fill="auto"/>
            <w:noWrap/>
            <w:vAlign w:val="bottom"/>
            <w:hideMark/>
          </w:tcPr>
          <w:p w14:paraId="26ABC0F8" w14:textId="3204FF0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0.495***</w:t>
            </w:r>
          </w:p>
        </w:tc>
        <w:tc>
          <w:tcPr>
            <w:tcW w:w="1134" w:type="dxa"/>
            <w:tcBorders>
              <w:top w:val="nil"/>
              <w:left w:val="nil"/>
              <w:bottom w:val="nil"/>
              <w:right w:val="nil"/>
            </w:tcBorders>
            <w:vAlign w:val="bottom"/>
          </w:tcPr>
          <w:p w14:paraId="57F50CF5" w14:textId="04B9693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0.802***</w:t>
            </w:r>
          </w:p>
        </w:tc>
      </w:tr>
      <w:tr w:rsidR="00585E53" w:rsidRPr="00A86CC4" w14:paraId="74561772" w14:textId="6EFF0471" w:rsidTr="00FA38DC">
        <w:tc>
          <w:tcPr>
            <w:tcW w:w="2977" w:type="dxa"/>
            <w:tcBorders>
              <w:top w:val="nil"/>
              <w:left w:val="nil"/>
              <w:bottom w:val="nil"/>
              <w:right w:val="single" w:sz="4" w:space="0" w:color="auto"/>
            </w:tcBorders>
            <w:shd w:val="clear" w:color="auto" w:fill="auto"/>
            <w:noWrap/>
            <w:vAlign w:val="bottom"/>
            <w:hideMark/>
          </w:tcPr>
          <w:p w14:paraId="4D8AD17E"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193BBDE" w14:textId="61D94C3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(0.151)</w:t>
            </w:r>
          </w:p>
        </w:tc>
        <w:tc>
          <w:tcPr>
            <w:tcW w:w="1134" w:type="dxa"/>
            <w:tcBorders>
              <w:top w:val="nil"/>
              <w:left w:val="nil"/>
              <w:bottom w:val="nil"/>
              <w:right w:val="nil"/>
            </w:tcBorders>
            <w:vAlign w:val="bottom"/>
          </w:tcPr>
          <w:p w14:paraId="71616B2B" w14:textId="684E482D"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(0.159)</w:t>
            </w:r>
          </w:p>
        </w:tc>
        <w:tc>
          <w:tcPr>
            <w:tcW w:w="1134" w:type="dxa"/>
            <w:tcBorders>
              <w:top w:val="nil"/>
              <w:left w:val="nil"/>
              <w:bottom w:val="nil"/>
            </w:tcBorders>
            <w:shd w:val="clear" w:color="auto" w:fill="auto"/>
            <w:noWrap/>
            <w:vAlign w:val="bottom"/>
            <w:hideMark/>
          </w:tcPr>
          <w:p w14:paraId="7B9B1F78" w14:textId="44E1C64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(0.156)</w:t>
            </w:r>
          </w:p>
        </w:tc>
        <w:tc>
          <w:tcPr>
            <w:tcW w:w="1134" w:type="dxa"/>
            <w:tcBorders>
              <w:top w:val="nil"/>
              <w:left w:val="nil"/>
              <w:bottom w:val="nil"/>
              <w:right w:val="single" w:sz="4" w:space="0" w:color="auto"/>
            </w:tcBorders>
            <w:vAlign w:val="bottom"/>
          </w:tcPr>
          <w:p w14:paraId="1B70C6A9" w14:textId="2480202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(0.163)</w:t>
            </w:r>
          </w:p>
        </w:tc>
        <w:tc>
          <w:tcPr>
            <w:tcW w:w="1134" w:type="dxa"/>
            <w:tcBorders>
              <w:top w:val="nil"/>
              <w:left w:val="single" w:sz="4" w:space="0" w:color="auto"/>
              <w:bottom w:val="nil"/>
              <w:right w:val="nil"/>
            </w:tcBorders>
            <w:shd w:val="clear" w:color="auto" w:fill="auto"/>
            <w:noWrap/>
            <w:vAlign w:val="bottom"/>
            <w:hideMark/>
          </w:tcPr>
          <w:p w14:paraId="0913270C" w14:textId="7F03212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(0.130)</w:t>
            </w:r>
          </w:p>
        </w:tc>
        <w:tc>
          <w:tcPr>
            <w:tcW w:w="1134" w:type="dxa"/>
            <w:tcBorders>
              <w:top w:val="nil"/>
              <w:left w:val="nil"/>
              <w:bottom w:val="nil"/>
              <w:right w:val="nil"/>
            </w:tcBorders>
            <w:vAlign w:val="bottom"/>
          </w:tcPr>
          <w:p w14:paraId="56A48D35" w14:textId="361C699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(0.128)</w:t>
            </w:r>
          </w:p>
        </w:tc>
        <w:tc>
          <w:tcPr>
            <w:tcW w:w="1134" w:type="dxa"/>
            <w:tcBorders>
              <w:top w:val="nil"/>
              <w:left w:val="nil"/>
              <w:bottom w:val="nil"/>
              <w:right w:val="nil"/>
            </w:tcBorders>
            <w:shd w:val="clear" w:color="auto" w:fill="auto"/>
            <w:noWrap/>
            <w:vAlign w:val="bottom"/>
            <w:hideMark/>
          </w:tcPr>
          <w:p w14:paraId="3ECDB2EE" w14:textId="7728431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(0.130)</w:t>
            </w:r>
          </w:p>
        </w:tc>
        <w:tc>
          <w:tcPr>
            <w:tcW w:w="1134" w:type="dxa"/>
            <w:tcBorders>
              <w:top w:val="nil"/>
              <w:left w:val="nil"/>
              <w:bottom w:val="nil"/>
              <w:right w:val="nil"/>
            </w:tcBorders>
            <w:vAlign w:val="bottom"/>
          </w:tcPr>
          <w:p w14:paraId="485A6367" w14:textId="5EA1B96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(0.128)</w:t>
            </w:r>
          </w:p>
        </w:tc>
      </w:tr>
      <w:tr w:rsidR="00585E53" w:rsidRPr="00A86CC4" w14:paraId="5AC5062C" w14:textId="4EA4461A" w:rsidTr="00FA38DC">
        <w:tc>
          <w:tcPr>
            <w:tcW w:w="2977" w:type="dxa"/>
            <w:tcBorders>
              <w:top w:val="nil"/>
              <w:left w:val="nil"/>
              <w:bottom w:val="nil"/>
              <w:right w:val="single" w:sz="4" w:space="0" w:color="auto"/>
            </w:tcBorders>
            <w:shd w:val="clear" w:color="auto" w:fill="auto"/>
            <w:noWrap/>
            <w:vAlign w:val="bottom"/>
            <w:hideMark/>
          </w:tcPr>
          <w:p w14:paraId="25CE5917"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 xml:space="preserve">Upper secondary vocational </w:t>
            </w:r>
          </w:p>
        </w:tc>
        <w:tc>
          <w:tcPr>
            <w:tcW w:w="1134" w:type="dxa"/>
            <w:tcBorders>
              <w:top w:val="nil"/>
              <w:left w:val="single" w:sz="4" w:space="0" w:color="auto"/>
              <w:bottom w:val="nil"/>
              <w:right w:val="nil"/>
            </w:tcBorders>
            <w:shd w:val="clear" w:color="auto" w:fill="auto"/>
            <w:noWrap/>
            <w:vAlign w:val="bottom"/>
            <w:hideMark/>
          </w:tcPr>
          <w:p w14:paraId="783C97C0" w14:textId="7828EE2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0.756***</w:t>
            </w:r>
          </w:p>
        </w:tc>
        <w:tc>
          <w:tcPr>
            <w:tcW w:w="1134" w:type="dxa"/>
            <w:tcBorders>
              <w:top w:val="nil"/>
              <w:left w:val="nil"/>
              <w:bottom w:val="nil"/>
              <w:right w:val="nil"/>
            </w:tcBorders>
            <w:vAlign w:val="bottom"/>
          </w:tcPr>
          <w:p w14:paraId="1ABDBD8E" w14:textId="55446CFC"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0.959***</w:t>
            </w:r>
          </w:p>
        </w:tc>
        <w:tc>
          <w:tcPr>
            <w:tcW w:w="1134" w:type="dxa"/>
            <w:tcBorders>
              <w:top w:val="nil"/>
              <w:left w:val="nil"/>
              <w:bottom w:val="nil"/>
            </w:tcBorders>
            <w:shd w:val="clear" w:color="auto" w:fill="auto"/>
            <w:noWrap/>
            <w:vAlign w:val="bottom"/>
            <w:hideMark/>
          </w:tcPr>
          <w:p w14:paraId="47969D21" w14:textId="0CA2E13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0.780***</w:t>
            </w:r>
          </w:p>
        </w:tc>
        <w:tc>
          <w:tcPr>
            <w:tcW w:w="1134" w:type="dxa"/>
            <w:tcBorders>
              <w:top w:val="nil"/>
              <w:left w:val="nil"/>
              <w:bottom w:val="nil"/>
              <w:right w:val="single" w:sz="4" w:space="0" w:color="auto"/>
            </w:tcBorders>
            <w:vAlign w:val="bottom"/>
          </w:tcPr>
          <w:p w14:paraId="24F21CCE" w14:textId="5FA7036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0.973***</w:t>
            </w:r>
          </w:p>
        </w:tc>
        <w:tc>
          <w:tcPr>
            <w:tcW w:w="1134" w:type="dxa"/>
            <w:tcBorders>
              <w:top w:val="nil"/>
              <w:left w:val="single" w:sz="4" w:space="0" w:color="auto"/>
              <w:bottom w:val="nil"/>
              <w:right w:val="nil"/>
            </w:tcBorders>
            <w:shd w:val="clear" w:color="auto" w:fill="auto"/>
            <w:noWrap/>
            <w:vAlign w:val="bottom"/>
            <w:hideMark/>
          </w:tcPr>
          <w:p w14:paraId="7816E8E8" w14:textId="6CB3F7B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0.656***</w:t>
            </w:r>
          </w:p>
        </w:tc>
        <w:tc>
          <w:tcPr>
            <w:tcW w:w="1134" w:type="dxa"/>
            <w:tcBorders>
              <w:top w:val="nil"/>
              <w:left w:val="nil"/>
              <w:bottom w:val="nil"/>
              <w:right w:val="nil"/>
            </w:tcBorders>
            <w:vAlign w:val="bottom"/>
          </w:tcPr>
          <w:p w14:paraId="3F311133" w14:textId="4F3451D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0.962***</w:t>
            </w:r>
          </w:p>
        </w:tc>
        <w:tc>
          <w:tcPr>
            <w:tcW w:w="1134" w:type="dxa"/>
            <w:tcBorders>
              <w:top w:val="nil"/>
              <w:left w:val="nil"/>
              <w:bottom w:val="nil"/>
              <w:right w:val="nil"/>
            </w:tcBorders>
            <w:shd w:val="clear" w:color="auto" w:fill="auto"/>
            <w:noWrap/>
            <w:vAlign w:val="bottom"/>
            <w:hideMark/>
          </w:tcPr>
          <w:p w14:paraId="21F1F808" w14:textId="505182F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0.651***</w:t>
            </w:r>
          </w:p>
        </w:tc>
        <w:tc>
          <w:tcPr>
            <w:tcW w:w="1134" w:type="dxa"/>
            <w:tcBorders>
              <w:top w:val="nil"/>
              <w:left w:val="nil"/>
              <w:bottom w:val="nil"/>
              <w:right w:val="nil"/>
            </w:tcBorders>
            <w:vAlign w:val="bottom"/>
          </w:tcPr>
          <w:p w14:paraId="0F222B90" w14:textId="621A249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0.961***</w:t>
            </w:r>
          </w:p>
        </w:tc>
      </w:tr>
      <w:tr w:rsidR="00585E53" w:rsidRPr="00A86CC4" w14:paraId="59178FE1" w14:textId="2CEDFE2B" w:rsidTr="00FA38DC">
        <w:tc>
          <w:tcPr>
            <w:tcW w:w="2977" w:type="dxa"/>
            <w:tcBorders>
              <w:top w:val="nil"/>
              <w:left w:val="nil"/>
              <w:bottom w:val="nil"/>
              <w:right w:val="single" w:sz="4" w:space="0" w:color="auto"/>
            </w:tcBorders>
            <w:shd w:val="clear" w:color="auto" w:fill="auto"/>
            <w:noWrap/>
            <w:vAlign w:val="bottom"/>
            <w:hideMark/>
          </w:tcPr>
          <w:p w14:paraId="538AB9D3"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0C07A674" w14:textId="0381D17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(0.153)</w:t>
            </w:r>
          </w:p>
        </w:tc>
        <w:tc>
          <w:tcPr>
            <w:tcW w:w="1134" w:type="dxa"/>
            <w:tcBorders>
              <w:top w:val="nil"/>
              <w:left w:val="nil"/>
              <w:bottom w:val="nil"/>
              <w:right w:val="nil"/>
            </w:tcBorders>
            <w:vAlign w:val="bottom"/>
          </w:tcPr>
          <w:p w14:paraId="1CCEF613" w14:textId="264E44BC"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(0.162)</w:t>
            </w:r>
          </w:p>
        </w:tc>
        <w:tc>
          <w:tcPr>
            <w:tcW w:w="1134" w:type="dxa"/>
            <w:tcBorders>
              <w:top w:val="nil"/>
              <w:left w:val="nil"/>
              <w:bottom w:val="nil"/>
            </w:tcBorders>
            <w:shd w:val="clear" w:color="auto" w:fill="auto"/>
            <w:noWrap/>
            <w:vAlign w:val="bottom"/>
            <w:hideMark/>
          </w:tcPr>
          <w:p w14:paraId="1C89589B" w14:textId="259078E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(0.157)</w:t>
            </w:r>
          </w:p>
        </w:tc>
        <w:tc>
          <w:tcPr>
            <w:tcW w:w="1134" w:type="dxa"/>
            <w:tcBorders>
              <w:top w:val="nil"/>
              <w:left w:val="nil"/>
              <w:bottom w:val="nil"/>
              <w:right w:val="single" w:sz="4" w:space="0" w:color="auto"/>
            </w:tcBorders>
            <w:vAlign w:val="bottom"/>
          </w:tcPr>
          <w:p w14:paraId="1AC3A20B" w14:textId="327A906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(0.165)</w:t>
            </w:r>
          </w:p>
        </w:tc>
        <w:tc>
          <w:tcPr>
            <w:tcW w:w="1134" w:type="dxa"/>
            <w:tcBorders>
              <w:top w:val="nil"/>
              <w:left w:val="single" w:sz="4" w:space="0" w:color="auto"/>
              <w:bottom w:val="nil"/>
              <w:right w:val="nil"/>
            </w:tcBorders>
            <w:shd w:val="clear" w:color="auto" w:fill="auto"/>
            <w:noWrap/>
            <w:vAlign w:val="bottom"/>
            <w:hideMark/>
          </w:tcPr>
          <w:p w14:paraId="5C18E914" w14:textId="133CF81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(0.130)</w:t>
            </w:r>
          </w:p>
        </w:tc>
        <w:tc>
          <w:tcPr>
            <w:tcW w:w="1134" w:type="dxa"/>
            <w:tcBorders>
              <w:top w:val="nil"/>
              <w:left w:val="nil"/>
              <w:bottom w:val="nil"/>
              <w:right w:val="nil"/>
            </w:tcBorders>
            <w:vAlign w:val="bottom"/>
          </w:tcPr>
          <w:p w14:paraId="02821BC2" w14:textId="250581B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(0.126)</w:t>
            </w:r>
          </w:p>
        </w:tc>
        <w:tc>
          <w:tcPr>
            <w:tcW w:w="1134" w:type="dxa"/>
            <w:tcBorders>
              <w:top w:val="nil"/>
              <w:left w:val="nil"/>
              <w:bottom w:val="nil"/>
              <w:right w:val="nil"/>
            </w:tcBorders>
            <w:shd w:val="clear" w:color="auto" w:fill="auto"/>
            <w:noWrap/>
            <w:vAlign w:val="bottom"/>
            <w:hideMark/>
          </w:tcPr>
          <w:p w14:paraId="42B29C00" w14:textId="29A3B6A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(0.130)</w:t>
            </w:r>
          </w:p>
        </w:tc>
        <w:tc>
          <w:tcPr>
            <w:tcW w:w="1134" w:type="dxa"/>
            <w:tcBorders>
              <w:top w:val="nil"/>
              <w:left w:val="nil"/>
              <w:bottom w:val="nil"/>
              <w:right w:val="nil"/>
            </w:tcBorders>
            <w:vAlign w:val="bottom"/>
          </w:tcPr>
          <w:p w14:paraId="413C7CB5" w14:textId="08A32B9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(0.126)</w:t>
            </w:r>
          </w:p>
        </w:tc>
      </w:tr>
      <w:tr w:rsidR="00585E53" w:rsidRPr="00A86CC4" w14:paraId="37001909" w14:textId="4888F15D" w:rsidTr="00FA38DC">
        <w:tc>
          <w:tcPr>
            <w:tcW w:w="2977" w:type="dxa"/>
            <w:tcBorders>
              <w:top w:val="nil"/>
              <w:left w:val="nil"/>
              <w:bottom w:val="nil"/>
              <w:right w:val="single" w:sz="4" w:space="0" w:color="auto"/>
            </w:tcBorders>
            <w:shd w:val="clear" w:color="auto" w:fill="auto"/>
            <w:noWrap/>
            <w:vAlign w:val="bottom"/>
            <w:hideMark/>
          </w:tcPr>
          <w:p w14:paraId="77F78972"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Post-secondary</w:t>
            </w:r>
          </w:p>
        </w:tc>
        <w:tc>
          <w:tcPr>
            <w:tcW w:w="1134" w:type="dxa"/>
            <w:tcBorders>
              <w:top w:val="nil"/>
              <w:left w:val="single" w:sz="4" w:space="0" w:color="auto"/>
              <w:bottom w:val="nil"/>
              <w:right w:val="nil"/>
            </w:tcBorders>
            <w:shd w:val="clear" w:color="auto" w:fill="auto"/>
            <w:noWrap/>
            <w:vAlign w:val="bottom"/>
            <w:hideMark/>
          </w:tcPr>
          <w:p w14:paraId="6E60CB07" w14:textId="32475D2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0.834***</w:t>
            </w:r>
          </w:p>
        </w:tc>
        <w:tc>
          <w:tcPr>
            <w:tcW w:w="1134" w:type="dxa"/>
            <w:tcBorders>
              <w:top w:val="nil"/>
              <w:left w:val="nil"/>
              <w:bottom w:val="nil"/>
              <w:right w:val="nil"/>
            </w:tcBorders>
            <w:vAlign w:val="bottom"/>
          </w:tcPr>
          <w:p w14:paraId="363E3387" w14:textId="76CC5E47"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1.060***</w:t>
            </w:r>
          </w:p>
        </w:tc>
        <w:tc>
          <w:tcPr>
            <w:tcW w:w="1134" w:type="dxa"/>
            <w:tcBorders>
              <w:top w:val="nil"/>
              <w:left w:val="nil"/>
              <w:bottom w:val="nil"/>
            </w:tcBorders>
            <w:shd w:val="clear" w:color="auto" w:fill="auto"/>
            <w:noWrap/>
            <w:vAlign w:val="bottom"/>
            <w:hideMark/>
          </w:tcPr>
          <w:p w14:paraId="1259CC0C" w14:textId="3C44CB1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0.873***</w:t>
            </w:r>
          </w:p>
        </w:tc>
        <w:tc>
          <w:tcPr>
            <w:tcW w:w="1134" w:type="dxa"/>
            <w:tcBorders>
              <w:top w:val="nil"/>
              <w:left w:val="nil"/>
              <w:bottom w:val="nil"/>
              <w:right w:val="single" w:sz="4" w:space="0" w:color="auto"/>
            </w:tcBorders>
            <w:vAlign w:val="bottom"/>
          </w:tcPr>
          <w:p w14:paraId="60130263" w14:textId="362F6FD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1.095***</w:t>
            </w:r>
          </w:p>
        </w:tc>
        <w:tc>
          <w:tcPr>
            <w:tcW w:w="1134" w:type="dxa"/>
            <w:tcBorders>
              <w:top w:val="nil"/>
              <w:left w:val="single" w:sz="4" w:space="0" w:color="auto"/>
              <w:bottom w:val="nil"/>
              <w:right w:val="nil"/>
            </w:tcBorders>
            <w:shd w:val="clear" w:color="auto" w:fill="auto"/>
            <w:noWrap/>
            <w:vAlign w:val="bottom"/>
            <w:hideMark/>
          </w:tcPr>
          <w:p w14:paraId="19F5AF9E" w14:textId="35EFC9C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0.698***</w:t>
            </w:r>
          </w:p>
        </w:tc>
        <w:tc>
          <w:tcPr>
            <w:tcW w:w="1134" w:type="dxa"/>
            <w:tcBorders>
              <w:top w:val="nil"/>
              <w:left w:val="nil"/>
              <w:bottom w:val="nil"/>
              <w:right w:val="nil"/>
            </w:tcBorders>
            <w:vAlign w:val="bottom"/>
          </w:tcPr>
          <w:p w14:paraId="57E3041D" w14:textId="4B1D0F3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0.991***</w:t>
            </w:r>
          </w:p>
        </w:tc>
        <w:tc>
          <w:tcPr>
            <w:tcW w:w="1134" w:type="dxa"/>
            <w:tcBorders>
              <w:top w:val="nil"/>
              <w:left w:val="nil"/>
              <w:bottom w:val="nil"/>
              <w:right w:val="nil"/>
            </w:tcBorders>
            <w:shd w:val="clear" w:color="auto" w:fill="auto"/>
            <w:noWrap/>
            <w:vAlign w:val="bottom"/>
            <w:hideMark/>
          </w:tcPr>
          <w:p w14:paraId="015F1047" w14:textId="59F7413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0.694***</w:t>
            </w:r>
          </w:p>
        </w:tc>
        <w:tc>
          <w:tcPr>
            <w:tcW w:w="1134" w:type="dxa"/>
            <w:tcBorders>
              <w:top w:val="nil"/>
              <w:left w:val="nil"/>
              <w:bottom w:val="nil"/>
              <w:right w:val="nil"/>
            </w:tcBorders>
            <w:vAlign w:val="bottom"/>
          </w:tcPr>
          <w:p w14:paraId="48A04CCF" w14:textId="7D8EBFE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0.988***</w:t>
            </w:r>
          </w:p>
        </w:tc>
      </w:tr>
      <w:tr w:rsidR="00585E53" w:rsidRPr="00A86CC4" w14:paraId="189871FD" w14:textId="48AF7ABD" w:rsidTr="00FA38DC">
        <w:tc>
          <w:tcPr>
            <w:tcW w:w="2977" w:type="dxa"/>
            <w:tcBorders>
              <w:top w:val="nil"/>
              <w:left w:val="nil"/>
              <w:bottom w:val="nil"/>
              <w:right w:val="single" w:sz="4" w:space="0" w:color="auto"/>
            </w:tcBorders>
            <w:shd w:val="clear" w:color="auto" w:fill="auto"/>
            <w:noWrap/>
            <w:vAlign w:val="bottom"/>
            <w:hideMark/>
          </w:tcPr>
          <w:p w14:paraId="19CD2C50"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F29C749" w14:textId="35D52C0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(0.153)</w:t>
            </w:r>
          </w:p>
        </w:tc>
        <w:tc>
          <w:tcPr>
            <w:tcW w:w="1134" w:type="dxa"/>
            <w:tcBorders>
              <w:top w:val="nil"/>
              <w:left w:val="nil"/>
              <w:bottom w:val="nil"/>
              <w:right w:val="nil"/>
            </w:tcBorders>
            <w:vAlign w:val="bottom"/>
          </w:tcPr>
          <w:p w14:paraId="6C6ED861" w14:textId="4E07966F"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(0.160)</w:t>
            </w:r>
          </w:p>
        </w:tc>
        <w:tc>
          <w:tcPr>
            <w:tcW w:w="1134" w:type="dxa"/>
            <w:tcBorders>
              <w:top w:val="nil"/>
              <w:left w:val="nil"/>
              <w:bottom w:val="nil"/>
            </w:tcBorders>
            <w:shd w:val="clear" w:color="auto" w:fill="auto"/>
            <w:noWrap/>
            <w:vAlign w:val="bottom"/>
            <w:hideMark/>
          </w:tcPr>
          <w:p w14:paraId="30CF2DA3" w14:textId="1E709D1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(0.159)</w:t>
            </w:r>
          </w:p>
        </w:tc>
        <w:tc>
          <w:tcPr>
            <w:tcW w:w="1134" w:type="dxa"/>
            <w:tcBorders>
              <w:top w:val="nil"/>
              <w:left w:val="nil"/>
              <w:bottom w:val="nil"/>
              <w:right w:val="single" w:sz="4" w:space="0" w:color="auto"/>
            </w:tcBorders>
            <w:vAlign w:val="bottom"/>
          </w:tcPr>
          <w:p w14:paraId="0818F8CD" w14:textId="61470EC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(0.165)</w:t>
            </w:r>
          </w:p>
        </w:tc>
        <w:tc>
          <w:tcPr>
            <w:tcW w:w="1134" w:type="dxa"/>
            <w:tcBorders>
              <w:top w:val="nil"/>
              <w:left w:val="single" w:sz="4" w:space="0" w:color="auto"/>
              <w:bottom w:val="nil"/>
              <w:right w:val="nil"/>
            </w:tcBorders>
            <w:shd w:val="clear" w:color="auto" w:fill="auto"/>
            <w:noWrap/>
            <w:vAlign w:val="bottom"/>
            <w:hideMark/>
          </w:tcPr>
          <w:p w14:paraId="17169245" w14:textId="007D89E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(0.129)</w:t>
            </w:r>
          </w:p>
        </w:tc>
        <w:tc>
          <w:tcPr>
            <w:tcW w:w="1134" w:type="dxa"/>
            <w:tcBorders>
              <w:top w:val="nil"/>
              <w:left w:val="nil"/>
              <w:bottom w:val="nil"/>
              <w:right w:val="nil"/>
            </w:tcBorders>
            <w:vAlign w:val="bottom"/>
          </w:tcPr>
          <w:p w14:paraId="1959901D" w14:textId="6B20770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(0.128)</w:t>
            </w:r>
          </w:p>
        </w:tc>
        <w:tc>
          <w:tcPr>
            <w:tcW w:w="1134" w:type="dxa"/>
            <w:tcBorders>
              <w:top w:val="nil"/>
              <w:left w:val="nil"/>
              <w:bottom w:val="nil"/>
              <w:right w:val="nil"/>
            </w:tcBorders>
            <w:shd w:val="clear" w:color="auto" w:fill="auto"/>
            <w:noWrap/>
            <w:vAlign w:val="bottom"/>
            <w:hideMark/>
          </w:tcPr>
          <w:p w14:paraId="57F6228D" w14:textId="7FBB55A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(0.130)</w:t>
            </w:r>
          </w:p>
        </w:tc>
        <w:tc>
          <w:tcPr>
            <w:tcW w:w="1134" w:type="dxa"/>
            <w:tcBorders>
              <w:top w:val="nil"/>
              <w:left w:val="nil"/>
              <w:bottom w:val="nil"/>
              <w:right w:val="nil"/>
            </w:tcBorders>
            <w:vAlign w:val="bottom"/>
          </w:tcPr>
          <w:p w14:paraId="0F0480D3" w14:textId="50D2653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(0.128)</w:t>
            </w:r>
          </w:p>
        </w:tc>
      </w:tr>
      <w:tr w:rsidR="00585E53" w:rsidRPr="00A86CC4" w14:paraId="5E6A126D" w14:textId="3ACEE22A" w:rsidTr="00FA38DC">
        <w:tc>
          <w:tcPr>
            <w:tcW w:w="2977" w:type="dxa"/>
            <w:tcBorders>
              <w:top w:val="nil"/>
              <w:left w:val="nil"/>
              <w:right w:val="single" w:sz="4" w:space="0" w:color="auto"/>
            </w:tcBorders>
            <w:shd w:val="clear" w:color="auto" w:fill="auto"/>
            <w:noWrap/>
            <w:vAlign w:val="bottom"/>
            <w:hideMark/>
          </w:tcPr>
          <w:p w14:paraId="2B59A691"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Tertiary</w:t>
            </w:r>
          </w:p>
        </w:tc>
        <w:tc>
          <w:tcPr>
            <w:tcW w:w="1134" w:type="dxa"/>
            <w:tcBorders>
              <w:top w:val="nil"/>
              <w:left w:val="single" w:sz="4" w:space="0" w:color="auto"/>
              <w:right w:val="nil"/>
            </w:tcBorders>
            <w:shd w:val="clear" w:color="auto" w:fill="auto"/>
            <w:noWrap/>
            <w:vAlign w:val="bottom"/>
            <w:hideMark/>
          </w:tcPr>
          <w:p w14:paraId="2957D03C" w14:textId="475E410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1.182***</w:t>
            </w:r>
          </w:p>
        </w:tc>
        <w:tc>
          <w:tcPr>
            <w:tcW w:w="1134" w:type="dxa"/>
            <w:tcBorders>
              <w:top w:val="nil"/>
              <w:left w:val="nil"/>
              <w:right w:val="nil"/>
            </w:tcBorders>
            <w:vAlign w:val="bottom"/>
          </w:tcPr>
          <w:p w14:paraId="26AFCEF1" w14:textId="05F21E30"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1.411***</w:t>
            </w:r>
          </w:p>
        </w:tc>
        <w:tc>
          <w:tcPr>
            <w:tcW w:w="1134" w:type="dxa"/>
            <w:tcBorders>
              <w:top w:val="nil"/>
              <w:left w:val="nil"/>
            </w:tcBorders>
            <w:shd w:val="clear" w:color="auto" w:fill="auto"/>
            <w:noWrap/>
            <w:vAlign w:val="bottom"/>
            <w:hideMark/>
          </w:tcPr>
          <w:p w14:paraId="28DC532F" w14:textId="32D4A0E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1.219***</w:t>
            </w:r>
          </w:p>
        </w:tc>
        <w:tc>
          <w:tcPr>
            <w:tcW w:w="1134" w:type="dxa"/>
            <w:tcBorders>
              <w:top w:val="nil"/>
              <w:left w:val="nil"/>
              <w:right w:val="single" w:sz="4" w:space="0" w:color="auto"/>
            </w:tcBorders>
            <w:vAlign w:val="bottom"/>
          </w:tcPr>
          <w:p w14:paraId="3F5AC9A3" w14:textId="222E9F6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1.449***</w:t>
            </w:r>
          </w:p>
        </w:tc>
        <w:tc>
          <w:tcPr>
            <w:tcW w:w="1134" w:type="dxa"/>
            <w:tcBorders>
              <w:top w:val="nil"/>
              <w:left w:val="single" w:sz="4" w:space="0" w:color="auto"/>
              <w:right w:val="nil"/>
            </w:tcBorders>
            <w:shd w:val="clear" w:color="auto" w:fill="auto"/>
            <w:noWrap/>
            <w:vAlign w:val="bottom"/>
            <w:hideMark/>
          </w:tcPr>
          <w:p w14:paraId="276FED32" w14:textId="3252837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1.018***</w:t>
            </w:r>
          </w:p>
        </w:tc>
        <w:tc>
          <w:tcPr>
            <w:tcW w:w="1134" w:type="dxa"/>
            <w:tcBorders>
              <w:top w:val="nil"/>
              <w:left w:val="nil"/>
              <w:right w:val="nil"/>
            </w:tcBorders>
            <w:vAlign w:val="bottom"/>
          </w:tcPr>
          <w:p w14:paraId="6F32AA8D" w14:textId="22893BE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1.354***</w:t>
            </w:r>
          </w:p>
        </w:tc>
        <w:tc>
          <w:tcPr>
            <w:tcW w:w="1134" w:type="dxa"/>
            <w:tcBorders>
              <w:top w:val="nil"/>
              <w:left w:val="nil"/>
              <w:right w:val="nil"/>
            </w:tcBorders>
            <w:shd w:val="clear" w:color="auto" w:fill="auto"/>
            <w:noWrap/>
            <w:vAlign w:val="bottom"/>
            <w:hideMark/>
          </w:tcPr>
          <w:p w14:paraId="0BEB56B5" w14:textId="1A919F6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1.013***</w:t>
            </w:r>
          </w:p>
        </w:tc>
        <w:tc>
          <w:tcPr>
            <w:tcW w:w="1134" w:type="dxa"/>
            <w:tcBorders>
              <w:top w:val="nil"/>
              <w:left w:val="nil"/>
              <w:right w:val="nil"/>
            </w:tcBorders>
            <w:vAlign w:val="bottom"/>
          </w:tcPr>
          <w:p w14:paraId="2DC731FC" w14:textId="5F9BD9B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1.353***</w:t>
            </w:r>
          </w:p>
        </w:tc>
      </w:tr>
      <w:tr w:rsidR="00585E53" w:rsidRPr="00A86CC4" w14:paraId="3B21A97B" w14:textId="4DD56A63" w:rsidTr="00FA38DC">
        <w:tc>
          <w:tcPr>
            <w:tcW w:w="2977" w:type="dxa"/>
            <w:tcBorders>
              <w:top w:val="nil"/>
              <w:left w:val="nil"/>
              <w:bottom w:val="single" w:sz="4" w:space="0" w:color="auto"/>
              <w:right w:val="single" w:sz="4" w:space="0" w:color="auto"/>
            </w:tcBorders>
            <w:shd w:val="clear" w:color="auto" w:fill="auto"/>
            <w:noWrap/>
            <w:vAlign w:val="bottom"/>
            <w:hideMark/>
          </w:tcPr>
          <w:p w14:paraId="2651D40A"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2C404173" w14:textId="0A2FB7F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(0.155)</w:t>
            </w:r>
          </w:p>
        </w:tc>
        <w:tc>
          <w:tcPr>
            <w:tcW w:w="1134" w:type="dxa"/>
            <w:tcBorders>
              <w:top w:val="nil"/>
              <w:left w:val="nil"/>
              <w:bottom w:val="single" w:sz="4" w:space="0" w:color="auto"/>
              <w:right w:val="nil"/>
            </w:tcBorders>
            <w:vAlign w:val="bottom"/>
          </w:tcPr>
          <w:p w14:paraId="1DA2C785" w14:textId="63B25B85"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(0.161)</w:t>
            </w:r>
          </w:p>
        </w:tc>
        <w:tc>
          <w:tcPr>
            <w:tcW w:w="1134" w:type="dxa"/>
            <w:tcBorders>
              <w:top w:val="nil"/>
              <w:left w:val="nil"/>
              <w:bottom w:val="single" w:sz="4" w:space="0" w:color="auto"/>
            </w:tcBorders>
            <w:shd w:val="clear" w:color="auto" w:fill="auto"/>
            <w:noWrap/>
            <w:vAlign w:val="bottom"/>
            <w:hideMark/>
          </w:tcPr>
          <w:p w14:paraId="381BACFF" w14:textId="2FFA67A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(0.159)</w:t>
            </w:r>
          </w:p>
        </w:tc>
        <w:tc>
          <w:tcPr>
            <w:tcW w:w="1134" w:type="dxa"/>
            <w:tcBorders>
              <w:top w:val="nil"/>
              <w:left w:val="nil"/>
              <w:bottom w:val="single" w:sz="4" w:space="0" w:color="auto"/>
              <w:right w:val="single" w:sz="4" w:space="0" w:color="auto"/>
            </w:tcBorders>
            <w:vAlign w:val="bottom"/>
          </w:tcPr>
          <w:p w14:paraId="3D4635F2" w14:textId="3466C33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(0.165)</w:t>
            </w:r>
          </w:p>
        </w:tc>
        <w:tc>
          <w:tcPr>
            <w:tcW w:w="1134" w:type="dxa"/>
            <w:tcBorders>
              <w:top w:val="nil"/>
              <w:left w:val="single" w:sz="4" w:space="0" w:color="auto"/>
              <w:bottom w:val="single" w:sz="4" w:space="0" w:color="auto"/>
              <w:right w:val="nil"/>
            </w:tcBorders>
            <w:shd w:val="clear" w:color="auto" w:fill="auto"/>
            <w:noWrap/>
            <w:vAlign w:val="bottom"/>
            <w:hideMark/>
          </w:tcPr>
          <w:p w14:paraId="18C892C6" w14:textId="0F5968D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(0.133)</w:t>
            </w:r>
          </w:p>
        </w:tc>
        <w:tc>
          <w:tcPr>
            <w:tcW w:w="1134" w:type="dxa"/>
            <w:tcBorders>
              <w:top w:val="nil"/>
              <w:left w:val="nil"/>
              <w:bottom w:val="single" w:sz="4" w:space="0" w:color="auto"/>
              <w:right w:val="nil"/>
            </w:tcBorders>
            <w:vAlign w:val="bottom"/>
          </w:tcPr>
          <w:p w14:paraId="12BB6978" w14:textId="7417644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(0.132)</w:t>
            </w:r>
          </w:p>
        </w:tc>
        <w:tc>
          <w:tcPr>
            <w:tcW w:w="1134" w:type="dxa"/>
            <w:tcBorders>
              <w:top w:val="nil"/>
              <w:left w:val="nil"/>
              <w:bottom w:val="single" w:sz="4" w:space="0" w:color="auto"/>
              <w:right w:val="nil"/>
            </w:tcBorders>
            <w:shd w:val="clear" w:color="auto" w:fill="auto"/>
            <w:noWrap/>
            <w:vAlign w:val="bottom"/>
            <w:hideMark/>
          </w:tcPr>
          <w:p w14:paraId="61B36B21" w14:textId="222EED8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(0.133)</w:t>
            </w:r>
          </w:p>
        </w:tc>
        <w:tc>
          <w:tcPr>
            <w:tcW w:w="1134" w:type="dxa"/>
            <w:tcBorders>
              <w:top w:val="nil"/>
              <w:left w:val="nil"/>
              <w:bottom w:val="single" w:sz="4" w:space="0" w:color="auto"/>
              <w:right w:val="nil"/>
            </w:tcBorders>
            <w:vAlign w:val="bottom"/>
          </w:tcPr>
          <w:p w14:paraId="0F5F29A4" w14:textId="7D5BAEF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(0.132)</w:t>
            </w:r>
          </w:p>
        </w:tc>
      </w:tr>
      <w:tr w:rsidR="00585E53" w:rsidRPr="00A86CC4" w14:paraId="322447F3" w14:textId="50CD2B9B" w:rsidTr="00FA38DC">
        <w:tc>
          <w:tcPr>
            <w:tcW w:w="2977" w:type="dxa"/>
            <w:tcBorders>
              <w:top w:val="single" w:sz="4" w:space="0" w:color="auto"/>
              <w:left w:val="nil"/>
              <w:bottom w:val="nil"/>
              <w:right w:val="single" w:sz="4" w:space="0" w:color="auto"/>
            </w:tcBorders>
            <w:shd w:val="clear" w:color="auto" w:fill="auto"/>
            <w:noWrap/>
            <w:vAlign w:val="bottom"/>
            <w:hideMark/>
          </w:tcPr>
          <w:p w14:paraId="156F9B05"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Urban</w:t>
            </w:r>
          </w:p>
        </w:tc>
        <w:tc>
          <w:tcPr>
            <w:tcW w:w="1134" w:type="dxa"/>
            <w:tcBorders>
              <w:top w:val="single" w:sz="4" w:space="0" w:color="auto"/>
              <w:left w:val="single" w:sz="4" w:space="0" w:color="auto"/>
              <w:bottom w:val="nil"/>
              <w:right w:val="nil"/>
            </w:tcBorders>
            <w:shd w:val="clear" w:color="auto" w:fill="auto"/>
            <w:noWrap/>
            <w:vAlign w:val="bottom"/>
            <w:hideMark/>
          </w:tcPr>
          <w:p w14:paraId="759ABF4B" w14:textId="6CD41F0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-0.093</w:t>
            </w:r>
          </w:p>
        </w:tc>
        <w:tc>
          <w:tcPr>
            <w:tcW w:w="1134" w:type="dxa"/>
            <w:tcBorders>
              <w:top w:val="single" w:sz="4" w:space="0" w:color="auto"/>
              <w:left w:val="nil"/>
              <w:bottom w:val="nil"/>
              <w:right w:val="nil"/>
            </w:tcBorders>
            <w:vAlign w:val="bottom"/>
          </w:tcPr>
          <w:p w14:paraId="3B0C1DBE" w14:textId="20B65E41"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-0.202***</w:t>
            </w:r>
          </w:p>
        </w:tc>
        <w:tc>
          <w:tcPr>
            <w:tcW w:w="1134" w:type="dxa"/>
            <w:tcBorders>
              <w:top w:val="single" w:sz="4" w:space="0" w:color="auto"/>
              <w:left w:val="nil"/>
              <w:bottom w:val="nil"/>
            </w:tcBorders>
            <w:shd w:val="clear" w:color="auto" w:fill="auto"/>
            <w:noWrap/>
            <w:vAlign w:val="bottom"/>
            <w:hideMark/>
          </w:tcPr>
          <w:p w14:paraId="4CA98E17" w14:textId="3DA4073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-0.087</w:t>
            </w:r>
          </w:p>
        </w:tc>
        <w:tc>
          <w:tcPr>
            <w:tcW w:w="1134" w:type="dxa"/>
            <w:tcBorders>
              <w:top w:val="single" w:sz="4" w:space="0" w:color="auto"/>
              <w:left w:val="nil"/>
              <w:bottom w:val="nil"/>
              <w:right w:val="single" w:sz="4" w:space="0" w:color="auto"/>
            </w:tcBorders>
            <w:vAlign w:val="bottom"/>
          </w:tcPr>
          <w:p w14:paraId="42B2623C" w14:textId="58B644D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-0.203***</w:t>
            </w:r>
          </w:p>
        </w:tc>
        <w:tc>
          <w:tcPr>
            <w:tcW w:w="1134" w:type="dxa"/>
            <w:tcBorders>
              <w:top w:val="single" w:sz="4" w:space="0" w:color="auto"/>
              <w:left w:val="single" w:sz="4" w:space="0" w:color="auto"/>
              <w:bottom w:val="nil"/>
              <w:right w:val="nil"/>
            </w:tcBorders>
            <w:shd w:val="clear" w:color="auto" w:fill="auto"/>
            <w:noWrap/>
            <w:vAlign w:val="bottom"/>
            <w:hideMark/>
          </w:tcPr>
          <w:p w14:paraId="1FBCED49" w14:textId="78FEB55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-0.065</w:t>
            </w:r>
          </w:p>
        </w:tc>
        <w:tc>
          <w:tcPr>
            <w:tcW w:w="1134" w:type="dxa"/>
            <w:tcBorders>
              <w:top w:val="single" w:sz="4" w:space="0" w:color="auto"/>
              <w:left w:val="nil"/>
              <w:bottom w:val="nil"/>
              <w:right w:val="nil"/>
            </w:tcBorders>
            <w:vAlign w:val="bottom"/>
          </w:tcPr>
          <w:p w14:paraId="6E324D2E" w14:textId="5E80D01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-0.154**</w:t>
            </w:r>
          </w:p>
        </w:tc>
        <w:tc>
          <w:tcPr>
            <w:tcW w:w="1134" w:type="dxa"/>
            <w:tcBorders>
              <w:top w:val="single" w:sz="4" w:space="0" w:color="auto"/>
              <w:left w:val="nil"/>
              <w:bottom w:val="nil"/>
              <w:right w:val="nil"/>
            </w:tcBorders>
            <w:shd w:val="clear" w:color="auto" w:fill="auto"/>
            <w:noWrap/>
            <w:vAlign w:val="bottom"/>
            <w:hideMark/>
          </w:tcPr>
          <w:p w14:paraId="2DE7D6B2" w14:textId="4D78B4E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-0.067</w:t>
            </w:r>
          </w:p>
        </w:tc>
        <w:tc>
          <w:tcPr>
            <w:tcW w:w="1134" w:type="dxa"/>
            <w:tcBorders>
              <w:top w:val="single" w:sz="4" w:space="0" w:color="auto"/>
              <w:left w:val="nil"/>
              <w:bottom w:val="nil"/>
              <w:right w:val="nil"/>
            </w:tcBorders>
            <w:vAlign w:val="bottom"/>
          </w:tcPr>
          <w:p w14:paraId="6A0EA788" w14:textId="2AC0307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-0.156**</w:t>
            </w:r>
          </w:p>
        </w:tc>
      </w:tr>
      <w:tr w:rsidR="00585E53" w:rsidRPr="00A86CC4" w14:paraId="6652E3BA" w14:textId="4F3DFE85" w:rsidTr="00FA38DC">
        <w:tc>
          <w:tcPr>
            <w:tcW w:w="2977" w:type="dxa"/>
            <w:tcBorders>
              <w:top w:val="nil"/>
              <w:left w:val="nil"/>
              <w:bottom w:val="nil"/>
              <w:right w:val="single" w:sz="4" w:space="0" w:color="auto"/>
            </w:tcBorders>
            <w:shd w:val="clear" w:color="auto" w:fill="auto"/>
            <w:noWrap/>
            <w:vAlign w:val="bottom"/>
            <w:hideMark/>
          </w:tcPr>
          <w:p w14:paraId="34E91496"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CC79A21" w14:textId="5077C02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(0.063)</w:t>
            </w:r>
          </w:p>
        </w:tc>
        <w:tc>
          <w:tcPr>
            <w:tcW w:w="1134" w:type="dxa"/>
            <w:tcBorders>
              <w:top w:val="nil"/>
              <w:left w:val="nil"/>
              <w:bottom w:val="nil"/>
              <w:right w:val="nil"/>
            </w:tcBorders>
            <w:vAlign w:val="bottom"/>
          </w:tcPr>
          <w:p w14:paraId="0C487EF6" w14:textId="1D12E6DE"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(0.073)</w:t>
            </w:r>
          </w:p>
        </w:tc>
        <w:tc>
          <w:tcPr>
            <w:tcW w:w="1134" w:type="dxa"/>
            <w:tcBorders>
              <w:top w:val="nil"/>
              <w:left w:val="nil"/>
              <w:bottom w:val="nil"/>
            </w:tcBorders>
            <w:shd w:val="clear" w:color="auto" w:fill="auto"/>
            <w:noWrap/>
            <w:vAlign w:val="bottom"/>
            <w:hideMark/>
          </w:tcPr>
          <w:p w14:paraId="4070C372" w14:textId="31FC6B7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(0.064)</w:t>
            </w:r>
          </w:p>
        </w:tc>
        <w:tc>
          <w:tcPr>
            <w:tcW w:w="1134" w:type="dxa"/>
            <w:tcBorders>
              <w:top w:val="nil"/>
              <w:left w:val="nil"/>
              <w:bottom w:val="nil"/>
              <w:right w:val="single" w:sz="4" w:space="0" w:color="auto"/>
            </w:tcBorders>
            <w:vAlign w:val="bottom"/>
          </w:tcPr>
          <w:p w14:paraId="5CAC9FCD" w14:textId="3BB43D1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(0.075)</w:t>
            </w:r>
          </w:p>
        </w:tc>
        <w:tc>
          <w:tcPr>
            <w:tcW w:w="1134" w:type="dxa"/>
            <w:tcBorders>
              <w:top w:val="nil"/>
              <w:left w:val="single" w:sz="4" w:space="0" w:color="auto"/>
              <w:bottom w:val="nil"/>
              <w:right w:val="nil"/>
            </w:tcBorders>
            <w:shd w:val="clear" w:color="auto" w:fill="auto"/>
            <w:noWrap/>
            <w:vAlign w:val="bottom"/>
            <w:hideMark/>
          </w:tcPr>
          <w:p w14:paraId="4106D623" w14:textId="61A6A39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(0.059)</w:t>
            </w:r>
          </w:p>
        </w:tc>
        <w:tc>
          <w:tcPr>
            <w:tcW w:w="1134" w:type="dxa"/>
            <w:tcBorders>
              <w:top w:val="nil"/>
              <w:left w:val="nil"/>
              <w:bottom w:val="nil"/>
              <w:right w:val="nil"/>
            </w:tcBorders>
            <w:vAlign w:val="bottom"/>
          </w:tcPr>
          <w:p w14:paraId="7DEFEA7A" w14:textId="50DEEB9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(0.075)</w:t>
            </w:r>
          </w:p>
        </w:tc>
        <w:tc>
          <w:tcPr>
            <w:tcW w:w="1134" w:type="dxa"/>
            <w:tcBorders>
              <w:top w:val="nil"/>
              <w:left w:val="nil"/>
              <w:bottom w:val="nil"/>
              <w:right w:val="nil"/>
            </w:tcBorders>
            <w:shd w:val="clear" w:color="auto" w:fill="auto"/>
            <w:noWrap/>
            <w:vAlign w:val="bottom"/>
            <w:hideMark/>
          </w:tcPr>
          <w:p w14:paraId="3E51E1DE" w14:textId="464A391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(0.059)</w:t>
            </w:r>
          </w:p>
        </w:tc>
        <w:tc>
          <w:tcPr>
            <w:tcW w:w="1134" w:type="dxa"/>
            <w:tcBorders>
              <w:top w:val="nil"/>
              <w:left w:val="nil"/>
              <w:bottom w:val="nil"/>
              <w:right w:val="nil"/>
            </w:tcBorders>
            <w:vAlign w:val="bottom"/>
          </w:tcPr>
          <w:p w14:paraId="185A26A9" w14:textId="287DF0D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(0.075)</w:t>
            </w:r>
          </w:p>
        </w:tc>
      </w:tr>
      <w:tr w:rsidR="00585E53" w:rsidRPr="00A86CC4" w14:paraId="5FA86C39" w14:textId="5589DBEA" w:rsidTr="00FA38DC">
        <w:tc>
          <w:tcPr>
            <w:tcW w:w="2977" w:type="dxa"/>
            <w:tcBorders>
              <w:top w:val="nil"/>
              <w:left w:val="nil"/>
              <w:bottom w:val="nil"/>
              <w:right w:val="single" w:sz="4" w:space="0" w:color="auto"/>
            </w:tcBorders>
            <w:shd w:val="clear" w:color="auto" w:fill="auto"/>
            <w:noWrap/>
            <w:vAlign w:val="bottom"/>
            <w:hideMark/>
          </w:tcPr>
          <w:p w14:paraId="14F74DDC"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Center</w:t>
            </w:r>
          </w:p>
        </w:tc>
        <w:tc>
          <w:tcPr>
            <w:tcW w:w="1134" w:type="dxa"/>
            <w:tcBorders>
              <w:top w:val="nil"/>
              <w:left w:val="single" w:sz="4" w:space="0" w:color="auto"/>
              <w:bottom w:val="nil"/>
              <w:right w:val="nil"/>
            </w:tcBorders>
            <w:shd w:val="clear" w:color="auto" w:fill="auto"/>
            <w:noWrap/>
            <w:vAlign w:val="bottom"/>
            <w:hideMark/>
          </w:tcPr>
          <w:p w14:paraId="6E72AAFD" w14:textId="5BC9357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-0.194**</w:t>
            </w:r>
          </w:p>
        </w:tc>
        <w:tc>
          <w:tcPr>
            <w:tcW w:w="1134" w:type="dxa"/>
            <w:tcBorders>
              <w:top w:val="nil"/>
              <w:left w:val="nil"/>
              <w:bottom w:val="nil"/>
              <w:right w:val="nil"/>
            </w:tcBorders>
            <w:vAlign w:val="bottom"/>
          </w:tcPr>
          <w:p w14:paraId="036E2EEC" w14:textId="51153A06"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-0.165*</w:t>
            </w:r>
          </w:p>
        </w:tc>
        <w:tc>
          <w:tcPr>
            <w:tcW w:w="1134" w:type="dxa"/>
            <w:tcBorders>
              <w:top w:val="nil"/>
              <w:left w:val="nil"/>
              <w:bottom w:val="nil"/>
            </w:tcBorders>
            <w:shd w:val="clear" w:color="auto" w:fill="auto"/>
            <w:noWrap/>
            <w:vAlign w:val="bottom"/>
            <w:hideMark/>
          </w:tcPr>
          <w:p w14:paraId="4016A359" w14:textId="18DD0F6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-0.186**</w:t>
            </w:r>
          </w:p>
        </w:tc>
        <w:tc>
          <w:tcPr>
            <w:tcW w:w="1134" w:type="dxa"/>
            <w:tcBorders>
              <w:top w:val="nil"/>
              <w:left w:val="nil"/>
              <w:bottom w:val="nil"/>
              <w:right w:val="single" w:sz="4" w:space="0" w:color="auto"/>
            </w:tcBorders>
            <w:vAlign w:val="bottom"/>
          </w:tcPr>
          <w:p w14:paraId="4A928C8F" w14:textId="73A4308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-0.153</w:t>
            </w:r>
          </w:p>
        </w:tc>
        <w:tc>
          <w:tcPr>
            <w:tcW w:w="1134" w:type="dxa"/>
            <w:tcBorders>
              <w:top w:val="nil"/>
              <w:left w:val="single" w:sz="4" w:space="0" w:color="auto"/>
              <w:bottom w:val="nil"/>
              <w:right w:val="nil"/>
            </w:tcBorders>
            <w:shd w:val="clear" w:color="auto" w:fill="auto"/>
            <w:noWrap/>
            <w:vAlign w:val="bottom"/>
            <w:hideMark/>
          </w:tcPr>
          <w:p w14:paraId="3F85557D" w14:textId="216DA8A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-0.087</w:t>
            </w:r>
          </w:p>
        </w:tc>
        <w:tc>
          <w:tcPr>
            <w:tcW w:w="1134" w:type="dxa"/>
            <w:tcBorders>
              <w:top w:val="nil"/>
              <w:left w:val="nil"/>
              <w:bottom w:val="nil"/>
              <w:right w:val="nil"/>
            </w:tcBorders>
            <w:vAlign w:val="bottom"/>
          </w:tcPr>
          <w:p w14:paraId="3037F50C" w14:textId="06ED0EA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-0.109</w:t>
            </w:r>
          </w:p>
        </w:tc>
        <w:tc>
          <w:tcPr>
            <w:tcW w:w="1134" w:type="dxa"/>
            <w:tcBorders>
              <w:top w:val="nil"/>
              <w:left w:val="nil"/>
              <w:bottom w:val="nil"/>
              <w:right w:val="nil"/>
            </w:tcBorders>
            <w:shd w:val="clear" w:color="auto" w:fill="auto"/>
            <w:noWrap/>
            <w:vAlign w:val="bottom"/>
            <w:hideMark/>
          </w:tcPr>
          <w:p w14:paraId="792D732D" w14:textId="1E9003B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-0.089</w:t>
            </w:r>
          </w:p>
        </w:tc>
        <w:tc>
          <w:tcPr>
            <w:tcW w:w="1134" w:type="dxa"/>
            <w:tcBorders>
              <w:top w:val="nil"/>
              <w:left w:val="nil"/>
              <w:bottom w:val="nil"/>
              <w:right w:val="nil"/>
            </w:tcBorders>
            <w:vAlign w:val="bottom"/>
          </w:tcPr>
          <w:p w14:paraId="24C67487" w14:textId="15EA523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-0.111</w:t>
            </w:r>
          </w:p>
        </w:tc>
      </w:tr>
      <w:tr w:rsidR="00585E53" w:rsidRPr="00A86CC4" w14:paraId="750C31C9" w14:textId="6C7134AF" w:rsidTr="00FA38DC">
        <w:tc>
          <w:tcPr>
            <w:tcW w:w="2977" w:type="dxa"/>
            <w:tcBorders>
              <w:top w:val="nil"/>
              <w:left w:val="nil"/>
              <w:bottom w:val="nil"/>
              <w:right w:val="single" w:sz="4" w:space="0" w:color="auto"/>
            </w:tcBorders>
            <w:shd w:val="clear" w:color="auto" w:fill="auto"/>
            <w:noWrap/>
            <w:vAlign w:val="bottom"/>
            <w:hideMark/>
          </w:tcPr>
          <w:p w14:paraId="5B4CAFAE"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27FC9269" w14:textId="5F23C00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(0.084)</w:t>
            </w:r>
          </w:p>
        </w:tc>
        <w:tc>
          <w:tcPr>
            <w:tcW w:w="1134" w:type="dxa"/>
            <w:tcBorders>
              <w:top w:val="nil"/>
              <w:left w:val="nil"/>
              <w:bottom w:val="nil"/>
              <w:right w:val="nil"/>
            </w:tcBorders>
            <w:vAlign w:val="bottom"/>
          </w:tcPr>
          <w:p w14:paraId="776CCC99" w14:textId="798B3B56"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(0.092)</w:t>
            </w:r>
          </w:p>
        </w:tc>
        <w:tc>
          <w:tcPr>
            <w:tcW w:w="1134" w:type="dxa"/>
            <w:tcBorders>
              <w:top w:val="nil"/>
              <w:left w:val="nil"/>
              <w:bottom w:val="nil"/>
            </w:tcBorders>
            <w:shd w:val="clear" w:color="auto" w:fill="auto"/>
            <w:noWrap/>
            <w:vAlign w:val="bottom"/>
            <w:hideMark/>
          </w:tcPr>
          <w:p w14:paraId="1F8984B6" w14:textId="0873D89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(0.085)</w:t>
            </w:r>
          </w:p>
        </w:tc>
        <w:tc>
          <w:tcPr>
            <w:tcW w:w="1134" w:type="dxa"/>
            <w:tcBorders>
              <w:top w:val="nil"/>
              <w:left w:val="nil"/>
              <w:bottom w:val="nil"/>
              <w:right w:val="single" w:sz="4" w:space="0" w:color="auto"/>
            </w:tcBorders>
            <w:vAlign w:val="bottom"/>
          </w:tcPr>
          <w:p w14:paraId="3E419D51" w14:textId="5F499E6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(0.093)</w:t>
            </w:r>
          </w:p>
        </w:tc>
        <w:tc>
          <w:tcPr>
            <w:tcW w:w="1134" w:type="dxa"/>
            <w:tcBorders>
              <w:top w:val="nil"/>
              <w:left w:val="single" w:sz="4" w:space="0" w:color="auto"/>
              <w:bottom w:val="nil"/>
              <w:right w:val="nil"/>
            </w:tcBorders>
            <w:shd w:val="clear" w:color="auto" w:fill="auto"/>
            <w:noWrap/>
            <w:vAlign w:val="bottom"/>
            <w:hideMark/>
          </w:tcPr>
          <w:p w14:paraId="79B5074A" w14:textId="5C82920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(0.074)</w:t>
            </w:r>
          </w:p>
        </w:tc>
        <w:tc>
          <w:tcPr>
            <w:tcW w:w="1134" w:type="dxa"/>
            <w:tcBorders>
              <w:top w:val="nil"/>
              <w:left w:val="nil"/>
              <w:bottom w:val="nil"/>
              <w:right w:val="nil"/>
            </w:tcBorders>
            <w:vAlign w:val="bottom"/>
          </w:tcPr>
          <w:p w14:paraId="118DB034" w14:textId="182919D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(0.081)</w:t>
            </w:r>
          </w:p>
        </w:tc>
        <w:tc>
          <w:tcPr>
            <w:tcW w:w="1134" w:type="dxa"/>
            <w:tcBorders>
              <w:top w:val="nil"/>
              <w:left w:val="nil"/>
              <w:bottom w:val="nil"/>
              <w:right w:val="nil"/>
            </w:tcBorders>
            <w:shd w:val="clear" w:color="auto" w:fill="auto"/>
            <w:noWrap/>
            <w:vAlign w:val="bottom"/>
            <w:hideMark/>
          </w:tcPr>
          <w:p w14:paraId="30E5A588" w14:textId="00AA615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(0.074)</w:t>
            </w:r>
          </w:p>
        </w:tc>
        <w:tc>
          <w:tcPr>
            <w:tcW w:w="1134" w:type="dxa"/>
            <w:tcBorders>
              <w:top w:val="nil"/>
              <w:left w:val="nil"/>
              <w:bottom w:val="nil"/>
              <w:right w:val="nil"/>
            </w:tcBorders>
            <w:vAlign w:val="bottom"/>
          </w:tcPr>
          <w:p w14:paraId="4DFF0F04" w14:textId="2365BDC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(0.081)</w:t>
            </w:r>
          </w:p>
        </w:tc>
      </w:tr>
      <w:tr w:rsidR="00585E53" w:rsidRPr="00A86CC4" w14:paraId="45FD7D09" w14:textId="4CEFE697" w:rsidTr="00FA38DC">
        <w:tc>
          <w:tcPr>
            <w:tcW w:w="2977" w:type="dxa"/>
            <w:tcBorders>
              <w:top w:val="nil"/>
              <w:left w:val="nil"/>
              <w:bottom w:val="nil"/>
              <w:right w:val="single" w:sz="4" w:space="0" w:color="auto"/>
            </w:tcBorders>
            <w:shd w:val="clear" w:color="auto" w:fill="auto"/>
            <w:noWrap/>
            <w:vAlign w:val="bottom"/>
            <w:hideMark/>
          </w:tcPr>
          <w:p w14:paraId="6FDEF4FC"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South</w:t>
            </w:r>
          </w:p>
        </w:tc>
        <w:tc>
          <w:tcPr>
            <w:tcW w:w="1134" w:type="dxa"/>
            <w:tcBorders>
              <w:top w:val="nil"/>
              <w:left w:val="single" w:sz="4" w:space="0" w:color="auto"/>
              <w:bottom w:val="nil"/>
              <w:right w:val="nil"/>
            </w:tcBorders>
            <w:shd w:val="clear" w:color="auto" w:fill="auto"/>
            <w:noWrap/>
            <w:vAlign w:val="bottom"/>
            <w:hideMark/>
          </w:tcPr>
          <w:p w14:paraId="5769693F" w14:textId="51D9DE4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-0.335***</w:t>
            </w:r>
          </w:p>
        </w:tc>
        <w:tc>
          <w:tcPr>
            <w:tcW w:w="1134" w:type="dxa"/>
            <w:tcBorders>
              <w:top w:val="nil"/>
              <w:left w:val="nil"/>
              <w:bottom w:val="nil"/>
              <w:right w:val="nil"/>
            </w:tcBorders>
            <w:vAlign w:val="bottom"/>
          </w:tcPr>
          <w:p w14:paraId="187C699D" w14:textId="2E3113C9"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-0.254***</w:t>
            </w:r>
          </w:p>
        </w:tc>
        <w:tc>
          <w:tcPr>
            <w:tcW w:w="1134" w:type="dxa"/>
            <w:tcBorders>
              <w:top w:val="nil"/>
              <w:left w:val="nil"/>
              <w:bottom w:val="nil"/>
            </w:tcBorders>
            <w:shd w:val="clear" w:color="auto" w:fill="auto"/>
            <w:noWrap/>
            <w:vAlign w:val="bottom"/>
            <w:hideMark/>
          </w:tcPr>
          <w:p w14:paraId="01F77FEA" w14:textId="0668354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-0.321***</w:t>
            </w:r>
          </w:p>
        </w:tc>
        <w:tc>
          <w:tcPr>
            <w:tcW w:w="1134" w:type="dxa"/>
            <w:tcBorders>
              <w:top w:val="nil"/>
              <w:left w:val="nil"/>
              <w:bottom w:val="nil"/>
              <w:right w:val="single" w:sz="4" w:space="0" w:color="auto"/>
            </w:tcBorders>
            <w:vAlign w:val="bottom"/>
          </w:tcPr>
          <w:p w14:paraId="1C37C69F" w14:textId="66D005E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-0.233**</w:t>
            </w:r>
          </w:p>
        </w:tc>
        <w:tc>
          <w:tcPr>
            <w:tcW w:w="1134" w:type="dxa"/>
            <w:tcBorders>
              <w:top w:val="nil"/>
              <w:left w:val="single" w:sz="4" w:space="0" w:color="auto"/>
              <w:bottom w:val="nil"/>
              <w:right w:val="nil"/>
            </w:tcBorders>
            <w:shd w:val="clear" w:color="auto" w:fill="auto"/>
            <w:noWrap/>
            <w:vAlign w:val="bottom"/>
            <w:hideMark/>
          </w:tcPr>
          <w:p w14:paraId="0EF2E850" w14:textId="3D54379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-0.311***</w:t>
            </w:r>
          </w:p>
        </w:tc>
        <w:tc>
          <w:tcPr>
            <w:tcW w:w="1134" w:type="dxa"/>
            <w:tcBorders>
              <w:top w:val="nil"/>
              <w:left w:val="nil"/>
              <w:bottom w:val="nil"/>
              <w:right w:val="nil"/>
            </w:tcBorders>
            <w:vAlign w:val="bottom"/>
          </w:tcPr>
          <w:p w14:paraId="320ABFD1" w14:textId="62E540F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-0.258***</w:t>
            </w:r>
          </w:p>
        </w:tc>
        <w:tc>
          <w:tcPr>
            <w:tcW w:w="1134" w:type="dxa"/>
            <w:tcBorders>
              <w:top w:val="nil"/>
              <w:left w:val="nil"/>
              <w:bottom w:val="nil"/>
              <w:right w:val="nil"/>
            </w:tcBorders>
            <w:shd w:val="clear" w:color="auto" w:fill="auto"/>
            <w:noWrap/>
            <w:vAlign w:val="bottom"/>
            <w:hideMark/>
          </w:tcPr>
          <w:p w14:paraId="17C6F04D" w14:textId="6C0D2C9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-0.314***</w:t>
            </w:r>
          </w:p>
        </w:tc>
        <w:tc>
          <w:tcPr>
            <w:tcW w:w="1134" w:type="dxa"/>
            <w:tcBorders>
              <w:top w:val="nil"/>
              <w:left w:val="nil"/>
              <w:bottom w:val="nil"/>
              <w:right w:val="nil"/>
            </w:tcBorders>
            <w:vAlign w:val="bottom"/>
          </w:tcPr>
          <w:p w14:paraId="2A6E1C67" w14:textId="5075095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-0.260***</w:t>
            </w:r>
          </w:p>
        </w:tc>
      </w:tr>
      <w:tr w:rsidR="00585E53" w:rsidRPr="00A86CC4" w14:paraId="6C1E2879" w14:textId="5D446452" w:rsidTr="00FA38DC">
        <w:tc>
          <w:tcPr>
            <w:tcW w:w="2977" w:type="dxa"/>
            <w:tcBorders>
              <w:top w:val="nil"/>
              <w:left w:val="nil"/>
              <w:bottom w:val="nil"/>
              <w:right w:val="single" w:sz="4" w:space="0" w:color="auto"/>
            </w:tcBorders>
            <w:shd w:val="clear" w:color="auto" w:fill="auto"/>
            <w:noWrap/>
            <w:vAlign w:val="bottom"/>
            <w:hideMark/>
          </w:tcPr>
          <w:p w14:paraId="28B28B8D"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nil"/>
              <w:right w:val="nil"/>
            </w:tcBorders>
            <w:shd w:val="clear" w:color="auto" w:fill="auto"/>
            <w:noWrap/>
            <w:vAlign w:val="bottom"/>
            <w:hideMark/>
          </w:tcPr>
          <w:p w14:paraId="64A06C6C" w14:textId="05FCA4A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(0.085)</w:t>
            </w:r>
          </w:p>
        </w:tc>
        <w:tc>
          <w:tcPr>
            <w:tcW w:w="1134" w:type="dxa"/>
            <w:tcBorders>
              <w:top w:val="nil"/>
              <w:left w:val="nil"/>
              <w:bottom w:val="nil"/>
              <w:right w:val="nil"/>
            </w:tcBorders>
            <w:vAlign w:val="bottom"/>
          </w:tcPr>
          <w:p w14:paraId="4283517A" w14:textId="4845B9E4"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(0.092)</w:t>
            </w:r>
          </w:p>
        </w:tc>
        <w:tc>
          <w:tcPr>
            <w:tcW w:w="1134" w:type="dxa"/>
            <w:tcBorders>
              <w:top w:val="nil"/>
              <w:left w:val="nil"/>
              <w:bottom w:val="nil"/>
            </w:tcBorders>
            <w:shd w:val="clear" w:color="auto" w:fill="auto"/>
            <w:noWrap/>
            <w:vAlign w:val="bottom"/>
            <w:hideMark/>
          </w:tcPr>
          <w:p w14:paraId="796C6105" w14:textId="351207B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(0.086)</w:t>
            </w:r>
          </w:p>
        </w:tc>
        <w:tc>
          <w:tcPr>
            <w:tcW w:w="1134" w:type="dxa"/>
            <w:tcBorders>
              <w:top w:val="nil"/>
              <w:left w:val="nil"/>
              <w:bottom w:val="nil"/>
              <w:right w:val="single" w:sz="4" w:space="0" w:color="auto"/>
            </w:tcBorders>
            <w:vAlign w:val="bottom"/>
          </w:tcPr>
          <w:p w14:paraId="750F57CA" w14:textId="0FBE2DE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(0.092)</w:t>
            </w:r>
          </w:p>
        </w:tc>
        <w:tc>
          <w:tcPr>
            <w:tcW w:w="1134" w:type="dxa"/>
            <w:tcBorders>
              <w:top w:val="nil"/>
              <w:left w:val="single" w:sz="4" w:space="0" w:color="auto"/>
              <w:bottom w:val="nil"/>
              <w:right w:val="nil"/>
            </w:tcBorders>
            <w:shd w:val="clear" w:color="auto" w:fill="auto"/>
            <w:noWrap/>
            <w:vAlign w:val="bottom"/>
            <w:hideMark/>
          </w:tcPr>
          <w:p w14:paraId="4DD2EB56" w14:textId="5B7A4CB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(0.087)</w:t>
            </w:r>
          </w:p>
        </w:tc>
        <w:tc>
          <w:tcPr>
            <w:tcW w:w="1134" w:type="dxa"/>
            <w:tcBorders>
              <w:top w:val="nil"/>
              <w:left w:val="nil"/>
              <w:bottom w:val="nil"/>
              <w:right w:val="nil"/>
            </w:tcBorders>
            <w:vAlign w:val="bottom"/>
          </w:tcPr>
          <w:p w14:paraId="436C827A" w14:textId="7DDE17F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(0.090)</w:t>
            </w:r>
          </w:p>
        </w:tc>
        <w:tc>
          <w:tcPr>
            <w:tcW w:w="1134" w:type="dxa"/>
            <w:tcBorders>
              <w:top w:val="nil"/>
              <w:left w:val="nil"/>
              <w:bottom w:val="nil"/>
              <w:right w:val="nil"/>
            </w:tcBorders>
            <w:shd w:val="clear" w:color="auto" w:fill="auto"/>
            <w:noWrap/>
            <w:vAlign w:val="bottom"/>
            <w:hideMark/>
          </w:tcPr>
          <w:p w14:paraId="2F9B1916" w14:textId="5B3FF31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(0.086)</w:t>
            </w:r>
          </w:p>
        </w:tc>
        <w:tc>
          <w:tcPr>
            <w:tcW w:w="1134" w:type="dxa"/>
            <w:tcBorders>
              <w:top w:val="nil"/>
              <w:left w:val="nil"/>
              <w:bottom w:val="nil"/>
              <w:right w:val="nil"/>
            </w:tcBorders>
            <w:vAlign w:val="bottom"/>
          </w:tcPr>
          <w:p w14:paraId="23C993E1" w14:textId="3F5EC82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(0.091)</w:t>
            </w:r>
          </w:p>
        </w:tc>
      </w:tr>
      <w:tr w:rsidR="00585E53" w:rsidRPr="00A86CC4" w14:paraId="5301C893" w14:textId="073ADC68" w:rsidTr="00FA38DC">
        <w:tc>
          <w:tcPr>
            <w:tcW w:w="2977" w:type="dxa"/>
            <w:tcBorders>
              <w:top w:val="nil"/>
              <w:left w:val="nil"/>
              <w:right w:val="single" w:sz="4" w:space="0" w:color="auto"/>
            </w:tcBorders>
            <w:shd w:val="clear" w:color="auto" w:fill="auto"/>
            <w:noWrap/>
            <w:vAlign w:val="bottom"/>
            <w:hideMark/>
          </w:tcPr>
          <w:p w14:paraId="5C038EBC"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Chisinau</w:t>
            </w:r>
          </w:p>
        </w:tc>
        <w:tc>
          <w:tcPr>
            <w:tcW w:w="1134" w:type="dxa"/>
            <w:tcBorders>
              <w:top w:val="nil"/>
              <w:left w:val="single" w:sz="4" w:space="0" w:color="auto"/>
              <w:right w:val="nil"/>
            </w:tcBorders>
            <w:shd w:val="clear" w:color="auto" w:fill="auto"/>
            <w:noWrap/>
            <w:vAlign w:val="bottom"/>
            <w:hideMark/>
          </w:tcPr>
          <w:p w14:paraId="0F87A7FA" w14:textId="0052745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-0.058</w:t>
            </w:r>
          </w:p>
        </w:tc>
        <w:tc>
          <w:tcPr>
            <w:tcW w:w="1134" w:type="dxa"/>
            <w:tcBorders>
              <w:top w:val="nil"/>
              <w:left w:val="nil"/>
              <w:right w:val="nil"/>
            </w:tcBorders>
            <w:vAlign w:val="bottom"/>
          </w:tcPr>
          <w:p w14:paraId="2F6CE888" w14:textId="7645DF94"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-0.097</w:t>
            </w:r>
          </w:p>
        </w:tc>
        <w:tc>
          <w:tcPr>
            <w:tcW w:w="1134" w:type="dxa"/>
            <w:tcBorders>
              <w:top w:val="nil"/>
              <w:left w:val="nil"/>
            </w:tcBorders>
            <w:shd w:val="clear" w:color="auto" w:fill="auto"/>
            <w:noWrap/>
            <w:vAlign w:val="bottom"/>
            <w:hideMark/>
          </w:tcPr>
          <w:p w14:paraId="6243E7F4" w14:textId="04098FF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-0.043</w:t>
            </w:r>
          </w:p>
        </w:tc>
        <w:tc>
          <w:tcPr>
            <w:tcW w:w="1134" w:type="dxa"/>
            <w:tcBorders>
              <w:top w:val="nil"/>
              <w:left w:val="nil"/>
              <w:right w:val="single" w:sz="4" w:space="0" w:color="auto"/>
            </w:tcBorders>
            <w:vAlign w:val="bottom"/>
          </w:tcPr>
          <w:p w14:paraId="0C905E89" w14:textId="7DE3AC3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-0.083</w:t>
            </w:r>
          </w:p>
        </w:tc>
        <w:tc>
          <w:tcPr>
            <w:tcW w:w="1134" w:type="dxa"/>
            <w:tcBorders>
              <w:top w:val="nil"/>
              <w:left w:val="single" w:sz="4" w:space="0" w:color="auto"/>
              <w:right w:val="nil"/>
            </w:tcBorders>
            <w:shd w:val="clear" w:color="auto" w:fill="auto"/>
            <w:noWrap/>
            <w:vAlign w:val="bottom"/>
            <w:hideMark/>
          </w:tcPr>
          <w:p w14:paraId="62265614" w14:textId="3E241824"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0.367***</w:t>
            </w:r>
          </w:p>
        </w:tc>
        <w:tc>
          <w:tcPr>
            <w:tcW w:w="1134" w:type="dxa"/>
            <w:tcBorders>
              <w:top w:val="nil"/>
              <w:left w:val="nil"/>
              <w:right w:val="nil"/>
            </w:tcBorders>
            <w:vAlign w:val="bottom"/>
          </w:tcPr>
          <w:p w14:paraId="2088CC53" w14:textId="09BEE743"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0.294***</w:t>
            </w:r>
          </w:p>
        </w:tc>
        <w:tc>
          <w:tcPr>
            <w:tcW w:w="1134" w:type="dxa"/>
            <w:tcBorders>
              <w:top w:val="nil"/>
              <w:left w:val="nil"/>
              <w:right w:val="nil"/>
            </w:tcBorders>
            <w:shd w:val="clear" w:color="auto" w:fill="auto"/>
            <w:noWrap/>
            <w:vAlign w:val="bottom"/>
            <w:hideMark/>
          </w:tcPr>
          <w:p w14:paraId="73C12051" w14:textId="41E8773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0.365***</w:t>
            </w:r>
          </w:p>
        </w:tc>
        <w:tc>
          <w:tcPr>
            <w:tcW w:w="1134" w:type="dxa"/>
            <w:tcBorders>
              <w:top w:val="nil"/>
              <w:left w:val="nil"/>
              <w:right w:val="nil"/>
            </w:tcBorders>
            <w:vAlign w:val="bottom"/>
          </w:tcPr>
          <w:p w14:paraId="78264810" w14:textId="0E332BD1"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0.292***</w:t>
            </w:r>
          </w:p>
        </w:tc>
      </w:tr>
      <w:tr w:rsidR="00585E53" w:rsidRPr="00A86CC4" w14:paraId="2856C012" w14:textId="6FA7762F" w:rsidTr="00FA38DC">
        <w:tc>
          <w:tcPr>
            <w:tcW w:w="2977" w:type="dxa"/>
            <w:tcBorders>
              <w:top w:val="nil"/>
              <w:left w:val="nil"/>
              <w:bottom w:val="single" w:sz="4" w:space="0" w:color="auto"/>
              <w:right w:val="single" w:sz="4" w:space="0" w:color="auto"/>
            </w:tcBorders>
            <w:shd w:val="clear" w:color="auto" w:fill="auto"/>
            <w:noWrap/>
            <w:vAlign w:val="bottom"/>
            <w:hideMark/>
          </w:tcPr>
          <w:p w14:paraId="067880B4"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57EE2FF0" w14:textId="03B8811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(0.077)</w:t>
            </w:r>
          </w:p>
        </w:tc>
        <w:tc>
          <w:tcPr>
            <w:tcW w:w="1134" w:type="dxa"/>
            <w:tcBorders>
              <w:top w:val="nil"/>
              <w:left w:val="nil"/>
              <w:bottom w:val="single" w:sz="4" w:space="0" w:color="auto"/>
              <w:right w:val="nil"/>
            </w:tcBorders>
            <w:vAlign w:val="bottom"/>
          </w:tcPr>
          <w:p w14:paraId="21729106" w14:textId="583E34E9"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(0.086)</w:t>
            </w:r>
          </w:p>
        </w:tc>
        <w:tc>
          <w:tcPr>
            <w:tcW w:w="1134" w:type="dxa"/>
            <w:tcBorders>
              <w:top w:val="nil"/>
              <w:left w:val="nil"/>
              <w:bottom w:val="single" w:sz="4" w:space="0" w:color="auto"/>
            </w:tcBorders>
            <w:shd w:val="clear" w:color="auto" w:fill="auto"/>
            <w:noWrap/>
            <w:vAlign w:val="bottom"/>
            <w:hideMark/>
          </w:tcPr>
          <w:p w14:paraId="67B1ED04" w14:textId="1855BA79"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(0.081)</w:t>
            </w:r>
          </w:p>
        </w:tc>
        <w:tc>
          <w:tcPr>
            <w:tcW w:w="1134" w:type="dxa"/>
            <w:tcBorders>
              <w:top w:val="nil"/>
              <w:left w:val="nil"/>
              <w:bottom w:val="single" w:sz="4" w:space="0" w:color="auto"/>
              <w:right w:val="single" w:sz="4" w:space="0" w:color="auto"/>
            </w:tcBorders>
            <w:vAlign w:val="bottom"/>
          </w:tcPr>
          <w:p w14:paraId="786B6DE9" w14:textId="2BDF7E1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(0.090)</w:t>
            </w:r>
          </w:p>
        </w:tc>
        <w:tc>
          <w:tcPr>
            <w:tcW w:w="1134" w:type="dxa"/>
            <w:tcBorders>
              <w:top w:val="nil"/>
              <w:left w:val="single" w:sz="4" w:space="0" w:color="auto"/>
              <w:bottom w:val="single" w:sz="4" w:space="0" w:color="auto"/>
              <w:right w:val="nil"/>
            </w:tcBorders>
            <w:shd w:val="clear" w:color="auto" w:fill="auto"/>
            <w:noWrap/>
            <w:vAlign w:val="bottom"/>
            <w:hideMark/>
          </w:tcPr>
          <w:p w14:paraId="2FDEA2B2" w14:textId="257BA10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(0.079)</w:t>
            </w:r>
          </w:p>
        </w:tc>
        <w:tc>
          <w:tcPr>
            <w:tcW w:w="1134" w:type="dxa"/>
            <w:tcBorders>
              <w:top w:val="nil"/>
              <w:left w:val="nil"/>
              <w:bottom w:val="single" w:sz="4" w:space="0" w:color="auto"/>
              <w:right w:val="nil"/>
            </w:tcBorders>
            <w:vAlign w:val="bottom"/>
          </w:tcPr>
          <w:p w14:paraId="6F6DF346" w14:textId="12DC960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(0.106)</w:t>
            </w:r>
          </w:p>
        </w:tc>
        <w:tc>
          <w:tcPr>
            <w:tcW w:w="1134" w:type="dxa"/>
            <w:tcBorders>
              <w:top w:val="nil"/>
              <w:left w:val="nil"/>
              <w:bottom w:val="single" w:sz="4" w:space="0" w:color="auto"/>
              <w:right w:val="nil"/>
            </w:tcBorders>
            <w:shd w:val="clear" w:color="auto" w:fill="auto"/>
            <w:noWrap/>
            <w:vAlign w:val="bottom"/>
            <w:hideMark/>
          </w:tcPr>
          <w:p w14:paraId="0B146441" w14:textId="7039288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(0.079)</w:t>
            </w:r>
          </w:p>
        </w:tc>
        <w:tc>
          <w:tcPr>
            <w:tcW w:w="1134" w:type="dxa"/>
            <w:tcBorders>
              <w:top w:val="nil"/>
              <w:left w:val="nil"/>
              <w:bottom w:val="single" w:sz="4" w:space="0" w:color="auto"/>
              <w:right w:val="nil"/>
            </w:tcBorders>
            <w:vAlign w:val="bottom"/>
          </w:tcPr>
          <w:p w14:paraId="066DEA54" w14:textId="5BD400BB"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(0.106)</w:t>
            </w:r>
          </w:p>
        </w:tc>
      </w:tr>
      <w:tr w:rsidR="00585E53" w:rsidRPr="00A86CC4" w14:paraId="1EF3AD25" w14:textId="41C358BB" w:rsidTr="00FA38DC">
        <w:tc>
          <w:tcPr>
            <w:tcW w:w="2977" w:type="dxa"/>
            <w:tcBorders>
              <w:top w:val="single" w:sz="4" w:space="0" w:color="auto"/>
              <w:left w:val="nil"/>
              <w:right w:val="single" w:sz="4" w:space="0" w:color="auto"/>
            </w:tcBorders>
            <w:shd w:val="clear" w:color="auto" w:fill="auto"/>
            <w:noWrap/>
            <w:vAlign w:val="bottom"/>
            <w:hideMark/>
          </w:tcPr>
          <w:p w14:paraId="23133DB2"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Constant</w:t>
            </w:r>
          </w:p>
        </w:tc>
        <w:tc>
          <w:tcPr>
            <w:tcW w:w="1134" w:type="dxa"/>
            <w:tcBorders>
              <w:top w:val="single" w:sz="4" w:space="0" w:color="auto"/>
              <w:left w:val="single" w:sz="4" w:space="0" w:color="auto"/>
              <w:right w:val="nil"/>
            </w:tcBorders>
            <w:shd w:val="clear" w:color="auto" w:fill="auto"/>
            <w:noWrap/>
            <w:vAlign w:val="bottom"/>
            <w:hideMark/>
          </w:tcPr>
          <w:p w14:paraId="34329042" w14:textId="2901700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-4.557***</w:t>
            </w:r>
          </w:p>
        </w:tc>
        <w:tc>
          <w:tcPr>
            <w:tcW w:w="1134" w:type="dxa"/>
            <w:tcBorders>
              <w:top w:val="single" w:sz="4" w:space="0" w:color="auto"/>
              <w:left w:val="nil"/>
              <w:right w:val="nil"/>
            </w:tcBorders>
            <w:vAlign w:val="bottom"/>
          </w:tcPr>
          <w:p w14:paraId="7FF7BF99" w14:textId="37345F7E"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-5.080***</w:t>
            </w:r>
          </w:p>
        </w:tc>
        <w:tc>
          <w:tcPr>
            <w:tcW w:w="1134" w:type="dxa"/>
            <w:tcBorders>
              <w:top w:val="single" w:sz="4" w:space="0" w:color="auto"/>
              <w:left w:val="nil"/>
            </w:tcBorders>
            <w:shd w:val="clear" w:color="auto" w:fill="auto"/>
            <w:noWrap/>
            <w:vAlign w:val="bottom"/>
            <w:hideMark/>
          </w:tcPr>
          <w:p w14:paraId="12D50F78" w14:textId="0AB82C5D"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-4.283***</w:t>
            </w:r>
          </w:p>
        </w:tc>
        <w:tc>
          <w:tcPr>
            <w:tcW w:w="1134" w:type="dxa"/>
            <w:tcBorders>
              <w:top w:val="single" w:sz="4" w:space="0" w:color="auto"/>
              <w:left w:val="nil"/>
              <w:right w:val="single" w:sz="4" w:space="0" w:color="auto"/>
            </w:tcBorders>
            <w:vAlign w:val="bottom"/>
          </w:tcPr>
          <w:p w14:paraId="46A19379" w14:textId="568A9BD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-4.800***</w:t>
            </w:r>
          </w:p>
        </w:tc>
        <w:tc>
          <w:tcPr>
            <w:tcW w:w="1134" w:type="dxa"/>
            <w:tcBorders>
              <w:top w:val="single" w:sz="4" w:space="0" w:color="auto"/>
              <w:left w:val="single" w:sz="4" w:space="0" w:color="auto"/>
              <w:right w:val="nil"/>
            </w:tcBorders>
            <w:shd w:val="clear" w:color="auto" w:fill="auto"/>
            <w:noWrap/>
            <w:vAlign w:val="bottom"/>
            <w:hideMark/>
          </w:tcPr>
          <w:p w14:paraId="12BF19C1" w14:textId="71960882"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-2.996***</w:t>
            </w:r>
          </w:p>
        </w:tc>
        <w:tc>
          <w:tcPr>
            <w:tcW w:w="1134" w:type="dxa"/>
            <w:tcBorders>
              <w:top w:val="single" w:sz="4" w:space="0" w:color="auto"/>
              <w:left w:val="nil"/>
              <w:right w:val="nil"/>
            </w:tcBorders>
            <w:vAlign w:val="bottom"/>
          </w:tcPr>
          <w:p w14:paraId="651056F1" w14:textId="23D1469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-3.505***</w:t>
            </w:r>
          </w:p>
        </w:tc>
        <w:tc>
          <w:tcPr>
            <w:tcW w:w="1134" w:type="dxa"/>
            <w:tcBorders>
              <w:top w:val="single" w:sz="4" w:space="0" w:color="auto"/>
              <w:left w:val="nil"/>
              <w:right w:val="nil"/>
            </w:tcBorders>
            <w:shd w:val="clear" w:color="auto" w:fill="auto"/>
            <w:noWrap/>
            <w:vAlign w:val="bottom"/>
            <w:hideMark/>
          </w:tcPr>
          <w:p w14:paraId="484BCC91" w14:textId="08D6541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-3.030***</w:t>
            </w:r>
          </w:p>
        </w:tc>
        <w:tc>
          <w:tcPr>
            <w:tcW w:w="1134" w:type="dxa"/>
            <w:tcBorders>
              <w:top w:val="single" w:sz="4" w:space="0" w:color="auto"/>
              <w:left w:val="nil"/>
              <w:right w:val="nil"/>
            </w:tcBorders>
            <w:vAlign w:val="bottom"/>
          </w:tcPr>
          <w:p w14:paraId="7E2FCAF5" w14:textId="2164527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-3.524***</w:t>
            </w:r>
          </w:p>
        </w:tc>
      </w:tr>
      <w:tr w:rsidR="00585E53" w:rsidRPr="00A86CC4" w14:paraId="61420805" w14:textId="0A8A0EB8" w:rsidTr="00FA38DC">
        <w:tc>
          <w:tcPr>
            <w:tcW w:w="2977" w:type="dxa"/>
            <w:tcBorders>
              <w:top w:val="nil"/>
              <w:left w:val="nil"/>
              <w:bottom w:val="single" w:sz="4" w:space="0" w:color="auto"/>
              <w:right w:val="single" w:sz="4" w:space="0" w:color="auto"/>
            </w:tcBorders>
            <w:shd w:val="clear" w:color="auto" w:fill="auto"/>
            <w:noWrap/>
            <w:vAlign w:val="bottom"/>
            <w:hideMark/>
          </w:tcPr>
          <w:p w14:paraId="05462F73" w14:textId="77777777" w:rsidR="00585E53" w:rsidRPr="00A86CC4" w:rsidRDefault="00585E53" w:rsidP="00585E53">
            <w:pPr>
              <w:spacing w:before="0"/>
              <w:contextualSpacing/>
              <w:jc w:val="center"/>
              <w:rPr>
                <w:rFonts w:eastAsia="Times New Roman" w:cstheme="minorHAnsi"/>
                <w:sz w:val="20"/>
                <w:szCs w:val="20"/>
                <w:lang w:val="en-US"/>
              </w:rPr>
            </w:pPr>
          </w:p>
        </w:tc>
        <w:tc>
          <w:tcPr>
            <w:tcW w:w="1134" w:type="dxa"/>
            <w:tcBorders>
              <w:top w:val="nil"/>
              <w:left w:val="single" w:sz="4" w:space="0" w:color="auto"/>
              <w:bottom w:val="single" w:sz="4" w:space="0" w:color="auto"/>
              <w:right w:val="nil"/>
            </w:tcBorders>
            <w:shd w:val="clear" w:color="auto" w:fill="auto"/>
            <w:noWrap/>
            <w:vAlign w:val="bottom"/>
            <w:hideMark/>
          </w:tcPr>
          <w:p w14:paraId="7096FB6F" w14:textId="7974D998"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(0.238)</w:t>
            </w:r>
          </w:p>
        </w:tc>
        <w:tc>
          <w:tcPr>
            <w:tcW w:w="1134" w:type="dxa"/>
            <w:tcBorders>
              <w:top w:val="nil"/>
              <w:left w:val="nil"/>
              <w:bottom w:val="single" w:sz="4" w:space="0" w:color="auto"/>
              <w:right w:val="nil"/>
            </w:tcBorders>
            <w:vAlign w:val="bottom"/>
          </w:tcPr>
          <w:p w14:paraId="2BC3653D" w14:textId="12CCA856"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(0.243)</w:t>
            </w:r>
          </w:p>
        </w:tc>
        <w:tc>
          <w:tcPr>
            <w:tcW w:w="1134" w:type="dxa"/>
            <w:tcBorders>
              <w:top w:val="nil"/>
              <w:left w:val="nil"/>
              <w:bottom w:val="single" w:sz="4" w:space="0" w:color="auto"/>
            </w:tcBorders>
            <w:shd w:val="clear" w:color="auto" w:fill="auto"/>
            <w:noWrap/>
            <w:vAlign w:val="bottom"/>
            <w:hideMark/>
          </w:tcPr>
          <w:p w14:paraId="6B38B50D" w14:textId="764C9E06"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(0.244)</w:t>
            </w:r>
          </w:p>
        </w:tc>
        <w:tc>
          <w:tcPr>
            <w:tcW w:w="1134" w:type="dxa"/>
            <w:tcBorders>
              <w:top w:val="nil"/>
              <w:left w:val="nil"/>
              <w:bottom w:val="single" w:sz="4" w:space="0" w:color="auto"/>
              <w:right w:val="single" w:sz="4" w:space="0" w:color="auto"/>
            </w:tcBorders>
            <w:vAlign w:val="bottom"/>
          </w:tcPr>
          <w:p w14:paraId="7B23117E" w14:textId="74574DBA"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(0.249)</w:t>
            </w:r>
          </w:p>
        </w:tc>
        <w:tc>
          <w:tcPr>
            <w:tcW w:w="1134" w:type="dxa"/>
            <w:tcBorders>
              <w:top w:val="nil"/>
              <w:left w:val="single" w:sz="4" w:space="0" w:color="auto"/>
              <w:bottom w:val="single" w:sz="4" w:space="0" w:color="auto"/>
              <w:right w:val="nil"/>
            </w:tcBorders>
            <w:shd w:val="clear" w:color="auto" w:fill="auto"/>
            <w:noWrap/>
            <w:vAlign w:val="bottom"/>
            <w:hideMark/>
          </w:tcPr>
          <w:p w14:paraId="7986AAEE" w14:textId="49D831CC"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(0.167)</w:t>
            </w:r>
          </w:p>
        </w:tc>
        <w:tc>
          <w:tcPr>
            <w:tcW w:w="1134" w:type="dxa"/>
            <w:tcBorders>
              <w:top w:val="nil"/>
              <w:left w:val="nil"/>
              <w:bottom w:val="single" w:sz="4" w:space="0" w:color="auto"/>
              <w:right w:val="nil"/>
            </w:tcBorders>
            <w:vAlign w:val="bottom"/>
          </w:tcPr>
          <w:p w14:paraId="5844FC6F" w14:textId="05FB36E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(0.179)</w:t>
            </w:r>
          </w:p>
        </w:tc>
        <w:tc>
          <w:tcPr>
            <w:tcW w:w="1134" w:type="dxa"/>
            <w:tcBorders>
              <w:top w:val="nil"/>
              <w:left w:val="nil"/>
              <w:bottom w:val="single" w:sz="4" w:space="0" w:color="auto"/>
              <w:right w:val="nil"/>
            </w:tcBorders>
            <w:shd w:val="clear" w:color="auto" w:fill="auto"/>
            <w:noWrap/>
            <w:vAlign w:val="bottom"/>
            <w:hideMark/>
          </w:tcPr>
          <w:p w14:paraId="3E586C5D" w14:textId="1BFF7F9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(0.177)</w:t>
            </w:r>
          </w:p>
        </w:tc>
        <w:tc>
          <w:tcPr>
            <w:tcW w:w="1134" w:type="dxa"/>
            <w:tcBorders>
              <w:top w:val="nil"/>
              <w:left w:val="nil"/>
              <w:bottom w:val="single" w:sz="4" w:space="0" w:color="auto"/>
              <w:right w:val="nil"/>
            </w:tcBorders>
            <w:vAlign w:val="bottom"/>
          </w:tcPr>
          <w:p w14:paraId="6D636A1B" w14:textId="33CFBAD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(0.188)</w:t>
            </w:r>
          </w:p>
        </w:tc>
      </w:tr>
      <w:tr w:rsidR="00585E53" w:rsidRPr="00A86CC4" w14:paraId="1E8F99F7" w14:textId="19EA6FAB" w:rsidTr="00FA38D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D3A98A9" w14:textId="77777777" w:rsidR="00585E53" w:rsidRPr="00A86CC4" w:rsidRDefault="00585E53" w:rsidP="00585E53">
            <w:pPr>
              <w:spacing w:before="0"/>
              <w:contextualSpacing/>
              <w:rPr>
                <w:rFonts w:eastAsia="Times New Roman" w:cstheme="minorHAnsi"/>
                <w:sz w:val="20"/>
                <w:szCs w:val="20"/>
                <w:lang w:val="en-US"/>
              </w:rPr>
            </w:pPr>
            <w:r w:rsidRPr="00A86CC4">
              <w:rPr>
                <w:rFonts w:eastAsia="Times New Roman" w:cstheme="minorHAnsi"/>
                <w:sz w:val="20"/>
                <w:szCs w:val="20"/>
                <w:lang w:val="en-US"/>
              </w:rPr>
              <w:t>N cases</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0BFF5401" w14:textId="2A23137F"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19,481</w:t>
            </w:r>
          </w:p>
        </w:tc>
        <w:tc>
          <w:tcPr>
            <w:tcW w:w="1134" w:type="dxa"/>
            <w:tcBorders>
              <w:top w:val="single" w:sz="4" w:space="0" w:color="auto"/>
              <w:left w:val="nil"/>
              <w:bottom w:val="single" w:sz="4" w:space="0" w:color="auto"/>
              <w:right w:val="nil"/>
            </w:tcBorders>
            <w:vAlign w:val="bottom"/>
          </w:tcPr>
          <w:p w14:paraId="2BA2E83D" w14:textId="1EAFC3CF" w:rsidR="00585E53" w:rsidRPr="00183F40" w:rsidRDefault="00585E53" w:rsidP="00585E53">
            <w:pPr>
              <w:spacing w:before="0"/>
              <w:contextualSpacing/>
              <w:jc w:val="center"/>
              <w:rPr>
                <w:rFonts w:eastAsia="Times New Roman" w:cstheme="minorHAnsi"/>
                <w:sz w:val="20"/>
                <w:szCs w:val="20"/>
                <w:lang w:val="en-US"/>
              </w:rPr>
            </w:pPr>
            <w:r w:rsidRPr="00183F40">
              <w:rPr>
                <w:rFonts w:ascii="Calibri" w:hAnsi="Calibri" w:cs="Calibri"/>
                <w:sz w:val="20"/>
                <w:szCs w:val="20"/>
              </w:rPr>
              <w:t>17,720</w:t>
            </w:r>
          </w:p>
        </w:tc>
        <w:tc>
          <w:tcPr>
            <w:tcW w:w="1134" w:type="dxa"/>
            <w:tcBorders>
              <w:top w:val="single" w:sz="4" w:space="0" w:color="auto"/>
              <w:left w:val="nil"/>
              <w:bottom w:val="single" w:sz="4" w:space="0" w:color="auto"/>
            </w:tcBorders>
            <w:shd w:val="clear" w:color="auto" w:fill="auto"/>
            <w:noWrap/>
            <w:vAlign w:val="bottom"/>
            <w:hideMark/>
          </w:tcPr>
          <w:p w14:paraId="5D465E36" w14:textId="50C560B5"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19,481</w:t>
            </w:r>
          </w:p>
        </w:tc>
        <w:tc>
          <w:tcPr>
            <w:tcW w:w="1134" w:type="dxa"/>
            <w:tcBorders>
              <w:top w:val="single" w:sz="4" w:space="0" w:color="auto"/>
              <w:left w:val="nil"/>
              <w:bottom w:val="single" w:sz="4" w:space="0" w:color="auto"/>
              <w:right w:val="single" w:sz="4" w:space="0" w:color="auto"/>
            </w:tcBorders>
            <w:vAlign w:val="bottom"/>
          </w:tcPr>
          <w:p w14:paraId="71034CD8" w14:textId="3F1BDA7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17,720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6F993221" w14:textId="6E0C93E7"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18,341</w:t>
            </w:r>
          </w:p>
        </w:tc>
        <w:tc>
          <w:tcPr>
            <w:tcW w:w="1134" w:type="dxa"/>
            <w:tcBorders>
              <w:top w:val="single" w:sz="4" w:space="0" w:color="auto"/>
              <w:left w:val="nil"/>
              <w:bottom w:val="single" w:sz="4" w:space="0" w:color="auto"/>
              <w:right w:val="nil"/>
            </w:tcBorders>
            <w:vAlign w:val="bottom"/>
          </w:tcPr>
          <w:p w14:paraId="1552E5D6" w14:textId="7392FE0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15,444</w:t>
            </w:r>
          </w:p>
        </w:tc>
        <w:tc>
          <w:tcPr>
            <w:tcW w:w="1134" w:type="dxa"/>
            <w:tcBorders>
              <w:top w:val="single" w:sz="4" w:space="0" w:color="auto"/>
              <w:left w:val="nil"/>
              <w:bottom w:val="single" w:sz="4" w:space="0" w:color="auto"/>
              <w:right w:val="nil"/>
            </w:tcBorders>
            <w:shd w:val="clear" w:color="auto" w:fill="auto"/>
            <w:noWrap/>
            <w:vAlign w:val="bottom"/>
            <w:hideMark/>
          </w:tcPr>
          <w:p w14:paraId="63250722" w14:textId="200B29AE"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18,341</w:t>
            </w:r>
          </w:p>
        </w:tc>
        <w:tc>
          <w:tcPr>
            <w:tcW w:w="1134" w:type="dxa"/>
            <w:tcBorders>
              <w:top w:val="single" w:sz="4" w:space="0" w:color="auto"/>
              <w:left w:val="nil"/>
              <w:bottom w:val="single" w:sz="4" w:space="0" w:color="auto"/>
              <w:right w:val="nil"/>
            </w:tcBorders>
            <w:vAlign w:val="bottom"/>
          </w:tcPr>
          <w:p w14:paraId="51CAAF4A" w14:textId="674AA9D0" w:rsidR="00585E53" w:rsidRPr="00A86CC4" w:rsidRDefault="00585E53" w:rsidP="00585E53">
            <w:pPr>
              <w:spacing w:before="0"/>
              <w:contextualSpacing/>
              <w:jc w:val="center"/>
              <w:rPr>
                <w:rFonts w:eastAsia="Times New Roman" w:cstheme="minorHAnsi"/>
                <w:sz w:val="20"/>
                <w:szCs w:val="20"/>
                <w:lang w:val="en-US"/>
              </w:rPr>
            </w:pPr>
            <w:r>
              <w:rPr>
                <w:rFonts w:ascii="Calibri" w:hAnsi="Calibri" w:cs="Calibri"/>
                <w:sz w:val="20"/>
                <w:szCs w:val="20"/>
              </w:rPr>
              <w:t>15,444</w:t>
            </w:r>
          </w:p>
        </w:tc>
      </w:tr>
    </w:tbl>
    <w:p w14:paraId="061260D1" w14:textId="5274426C" w:rsidR="00A53D4C" w:rsidRPr="004A792A" w:rsidRDefault="003928B2" w:rsidP="003928B2">
      <w:pPr>
        <w:pStyle w:val="a"/>
        <w:numPr>
          <w:ilvl w:val="0"/>
          <w:numId w:val="0"/>
        </w:numPr>
        <w:rPr>
          <w:i/>
          <w:sz w:val="20"/>
          <w:szCs w:val="20"/>
        </w:rPr>
      </w:pPr>
      <w:r w:rsidRPr="004A792A">
        <w:rPr>
          <w:i/>
          <w:sz w:val="20"/>
          <w:szCs w:val="20"/>
        </w:rPr>
        <w:t xml:space="preserve">Note: Dependent variable is a dummy variable for being in the labor force. </w:t>
      </w:r>
      <w:r w:rsidR="0031338F" w:rsidRPr="0031338F">
        <w:rPr>
          <w:i/>
          <w:sz w:val="20"/>
          <w:szCs w:val="20"/>
        </w:rPr>
        <w:t>Specifications a) use the sample of all surveyed individuals aged 15-64 years, whereas specifications b) exclude international migrants from the sample</w:t>
      </w:r>
      <w:r w:rsidR="001C6F1E" w:rsidRPr="0031338F">
        <w:rPr>
          <w:i/>
          <w:sz w:val="20"/>
          <w:szCs w:val="20"/>
        </w:rPr>
        <w:t>.</w:t>
      </w:r>
      <w:r w:rsidR="001C6F1E">
        <w:rPr>
          <w:i/>
          <w:sz w:val="20"/>
          <w:szCs w:val="20"/>
        </w:rPr>
        <w:t xml:space="preserve"> </w:t>
      </w:r>
      <w:r w:rsidR="002C0A7E" w:rsidRPr="004A792A">
        <w:rPr>
          <w:i/>
          <w:sz w:val="20"/>
          <w:szCs w:val="20"/>
        </w:rPr>
        <w:t xml:space="preserve">Standard errors in parentheses, estimated with the </w:t>
      </w:r>
      <w:proofErr w:type="spellStart"/>
      <w:r w:rsidR="002C0A7E" w:rsidRPr="004A792A">
        <w:rPr>
          <w:i/>
          <w:sz w:val="20"/>
          <w:szCs w:val="20"/>
        </w:rPr>
        <w:t>svy</w:t>
      </w:r>
      <w:proofErr w:type="spellEnd"/>
      <w:r w:rsidR="002C0A7E" w:rsidRPr="004A792A">
        <w:rPr>
          <w:i/>
          <w:sz w:val="20"/>
          <w:szCs w:val="20"/>
        </w:rPr>
        <w:t xml:space="preserve"> command using clusters and sample weights.</w:t>
      </w:r>
      <w:r w:rsidRPr="004A792A">
        <w:rPr>
          <w:i/>
          <w:sz w:val="20"/>
          <w:szCs w:val="20"/>
        </w:rPr>
        <w:t xml:space="preserve"> *** p&lt;0.01, ** p&lt;0.05, * p&lt;0.1. Reference categories: No children under 7 years; No children under 18 years; Single; Primary education and less; Rural; North.</w:t>
      </w:r>
    </w:p>
    <w:p w14:paraId="60428633" w14:textId="77777777" w:rsidR="00567CCA" w:rsidRDefault="00567CCA" w:rsidP="008741D7">
      <w:pPr>
        <w:pStyle w:val="61"/>
        <w:shd w:val="clear" w:color="auto" w:fill="auto"/>
        <w:spacing w:before="120" w:line="240" w:lineRule="auto"/>
        <w:jc w:val="both"/>
        <w:rPr>
          <w:color w:val="000000"/>
          <w:sz w:val="22"/>
          <w:szCs w:val="22"/>
        </w:rPr>
        <w:sectPr w:rsidR="00567CCA" w:rsidSect="00567CCA">
          <w:pgSz w:w="16834" w:h="11909" w:orient="landscape" w:code="9"/>
          <w:pgMar w:top="1440" w:right="1440" w:bottom="1440" w:left="1440" w:header="720" w:footer="720" w:gutter="0"/>
          <w:cols w:space="720"/>
          <w:docGrid w:linePitch="360"/>
        </w:sectPr>
      </w:pPr>
    </w:p>
    <w:p w14:paraId="5A33B6EB" w14:textId="5A3765A1" w:rsidR="0031338F" w:rsidRPr="004A792A" w:rsidRDefault="0031338F" w:rsidP="0031338F">
      <w:pPr>
        <w:pStyle w:val="61"/>
        <w:shd w:val="clear" w:color="auto" w:fill="auto"/>
        <w:spacing w:before="120" w:line="240" w:lineRule="auto"/>
        <w:jc w:val="both"/>
        <w:rPr>
          <w:color w:val="000000"/>
          <w:sz w:val="22"/>
          <w:szCs w:val="22"/>
        </w:rPr>
      </w:pPr>
      <w:r w:rsidRPr="0031338F">
        <w:rPr>
          <w:b/>
          <w:color w:val="000000"/>
          <w:sz w:val="22"/>
          <w:szCs w:val="22"/>
        </w:rPr>
        <w:lastRenderedPageBreak/>
        <w:t>If the observed period is extended to 2009-2016 (</w:t>
      </w:r>
      <w:r w:rsidRPr="0031338F">
        <w:rPr>
          <w:b/>
          <w:color w:val="000000"/>
          <w:sz w:val="22"/>
          <w:szCs w:val="22"/>
        </w:rPr>
        <w:fldChar w:fldCharType="begin"/>
      </w:r>
      <w:r w:rsidRPr="0031338F">
        <w:rPr>
          <w:b/>
          <w:color w:val="000000"/>
          <w:sz w:val="22"/>
          <w:szCs w:val="22"/>
        </w:rPr>
        <w:instrText xml:space="preserve"> REF _Ref519253860 \h  \* MERGEFORMAT </w:instrText>
      </w:r>
      <w:r w:rsidRPr="0031338F">
        <w:rPr>
          <w:b/>
          <w:color w:val="000000"/>
          <w:sz w:val="22"/>
          <w:szCs w:val="22"/>
        </w:rPr>
      </w:r>
      <w:r w:rsidRPr="0031338F">
        <w:rPr>
          <w:b/>
          <w:color w:val="000000"/>
          <w:sz w:val="22"/>
          <w:szCs w:val="22"/>
        </w:rPr>
        <w:fldChar w:fldCharType="separate"/>
      </w:r>
      <w:r w:rsidRPr="0031338F">
        <w:rPr>
          <w:b/>
          <w:color w:val="000000"/>
          <w:sz w:val="22"/>
          <w:szCs w:val="22"/>
        </w:rPr>
        <w:t>Table A-10</w:t>
      </w:r>
      <w:r w:rsidRPr="0031338F">
        <w:rPr>
          <w:b/>
          <w:color w:val="000000"/>
          <w:sz w:val="22"/>
          <w:szCs w:val="22"/>
        </w:rPr>
        <w:fldChar w:fldCharType="end"/>
      </w:r>
      <w:r w:rsidRPr="0031338F">
        <w:rPr>
          <w:b/>
          <w:color w:val="000000"/>
          <w:sz w:val="22"/>
          <w:szCs w:val="22"/>
        </w:rPr>
        <w:t>), the effect of children of school age becomes more significant for women in a larger sample that includes international migrants and it becomes significant for men in both samples</w:t>
      </w:r>
      <w:r w:rsidRPr="0031338F">
        <w:rPr>
          <w:color w:val="000000"/>
          <w:sz w:val="22"/>
          <w:szCs w:val="22"/>
        </w:rPr>
        <w:t>. A</w:t>
      </w:r>
      <w:r w:rsidRPr="004A792A">
        <w:rPr>
          <w:color w:val="000000"/>
          <w:sz w:val="22"/>
          <w:szCs w:val="22"/>
        </w:rPr>
        <w:t xml:space="preserve"> positive effect of the youngest child being between 7 and 14 years on the probability of mothers’ labor force participation along with its negative effect on the probability of fathers’ participation m</w:t>
      </w:r>
      <w:r>
        <w:rPr>
          <w:color w:val="000000"/>
          <w:sz w:val="22"/>
          <w:szCs w:val="22"/>
        </w:rPr>
        <w:t xml:space="preserve">ight </w:t>
      </w:r>
      <w:r w:rsidRPr="004A792A">
        <w:rPr>
          <w:color w:val="000000"/>
          <w:sz w:val="22"/>
          <w:szCs w:val="22"/>
        </w:rPr>
        <w:t xml:space="preserve">be an indicator of the added worker effect and negative cross-elasticity of labor supply: once women enter paid work and augment household incomes, men tend to reduce their work efforts. When the youngest child reaches working age (15-17 years) and probably enters the labor market, at least as unpaid family helper, his/her father is even less likely to participate in the labor force than fathers of younger children and </w:t>
      </w:r>
      <w:proofErr w:type="spellStart"/>
      <w:r w:rsidRPr="004A792A">
        <w:rPr>
          <w:color w:val="000000"/>
          <w:sz w:val="22"/>
          <w:szCs w:val="22"/>
        </w:rPr>
        <w:t>nonfathers</w:t>
      </w:r>
      <w:proofErr w:type="spellEnd"/>
      <w:r w:rsidRPr="004A792A">
        <w:rPr>
          <w:color w:val="000000"/>
          <w:sz w:val="22"/>
          <w:szCs w:val="22"/>
        </w:rPr>
        <w:t xml:space="preserve">, </w:t>
      </w:r>
      <w:r w:rsidRPr="004A792A">
        <w:rPr>
          <w:i/>
          <w:color w:val="000000"/>
          <w:sz w:val="22"/>
          <w:szCs w:val="22"/>
        </w:rPr>
        <w:t xml:space="preserve">ceteris paribus </w:t>
      </w:r>
      <w:r w:rsidRPr="004A792A">
        <w:rPr>
          <w:color w:val="000000"/>
          <w:sz w:val="22"/>
          <w:szCs w:val="22"/>
        </w:rPr>
        <w:t>(</w:t>
      </w:r>
      <w:r w:rsidRPr="004A792A">
        <w:rPr>
          <w:color w:val="000000"/>
          <w:sz w:val="22"/>
          <w:szCs w:val="22"/>
        </w:rPr>
        <w:fldChar w:fldCharType="begin"/>
      </w:r>
      <w:r w:rsidRPr="004A792A">
        <w:rPr>
          <w:color w:val="000000"/>
          <w:sz w:val="22"/>
          <w:szCs w:val="22"/>
        </w:rPr>
        <w:instrText xml:space="preserve"> REF _Ref519253860 \h  \* MERGEFORMAT </w:instrText>
      </w:r>
      <w:r w:rsidRPr="004A792A">
        <w:rPr>
          <w:color w:val="000000"/>
          <w:sz w:val="22"/>
          <w:szCs w:val="22"/>
        </w:rPr>
      </w:r>
      <w:r w:rsidRPr="004A792A">
        <w:rPr>
          <w:color w:val="000000"/>
          <w:sz w:val="22"/>
          <w:szCs w:val="22"/>
        </w:rPr>
        <w:fldChar w:fldCharType="separate"/>
      </w:r>
      <w:r w:rsidR="000E3F5C" w:rsidRPr="000E3F5C">
        <w:rPr>
          <w:color w:val="000000"/>
          <w:sz w:val="22"/>
          <w:szCs w:val="22"/>
        </w:rPr>
        <w:t>Table A-10</w:t>
      </w:r>
      <w:r w:rsidRPr="004A792A">
        <w:rPr>
          <w:color w:val="000000"/>
          <w:sz w:val="22"/>
          <w:szCs w:val="22"/>
        </w:rPr>
        <w:fldChar w:fldCharType="end"/>
      </w:r>
      <w:r w:rsidRPr="004A792A">
        <w:rPr>
          <w:color w:val="000000"/>
          <w:sz w:val="22"/>
          <w:szCs w:val="22"/>
        </w:rPr>
        <w:t>).</w:t>
      </w:r>
    </w:p>
    <w:p w14:paraId="29D53385" w14:textId="1A42C1BC" w:rsidR="00F8248E" w:rsidRPr="004A792A" w:rsidRDefault="00F8248E" w:rsidP="00F8248E">
      <w:pPr>
        <w:pStyle w:val="2"/>
        <w:numPr>
          <w:ilvl w:val="0"/>
          <w:numId w:val="0"/>
        </w:numPr>
        <w:spacing w:before="360"/>
        <w:rPr>
          <w:color w:val="0070C0"/>
          <w:sz w:val="32"/>
          <w:szCs w:val="32"/>
        </w:rPr>
      </w:pPr>
      <w:bookmarkStart w:id="70" w:name="_Toc533211738"/>
      <w:r w:rsidRPr="004A792A">
        <w:rPr>
          <w:color w:val="0070C0"/>
          <w:sz w:val="32"/>
          <w:szCs w:val="32"/>
        </w:rPr>
        <w:t>3.</w:t>
      </w:r>
      <w:r w:rsidR="000E3F5C">
        <w:rPr>
          <w:color w:val="0070C0"/>
          <w:sz w:val="32"/>
          <w:szCs w:val="32"/>
        </w:rPr>
        <w:t>3</w:t>
      </w:r>
      <w:r w:rsidRPr="004A792A">
        <w:rPr>
          <w:color w:val="0070C0"/>
          <w:sz w:val="32"/>
          <w:szCs w:val="32"/>
        </w:rPr>
        <w:t>. Employment characteristics of mothers</w:t>
      </w:r>
      <w:r w:rsidR="00B05020">
        <w:rPr>
          <w:color w:val="0070C0"/>
          <w:sz w:val="32"/>
          <w:szCs w:val="32"/>
        </w:rPr>
        <w:t xml:space="preserve"> and fathers</w:t>
      </w:r>
      <w:r w:rsidR="00350482">
        <w:rPr>
          <w:rStyle w:val="af9"/>
          <w:color w:val="000000"/>
          <w:sz w:val="22"/>
          <w:szCs w:val="22"/>
        </w:rPr>
        <w:footnoteReference w:id="18"/>
      </w:r>
      <w:bookmarkEnd w:id="70"/>
    </w:p>
    <w:p w14:paraId="73262D36" w14:textId="12C11730" w:rsidR="00D6630C" w:rsidRPr="002069CA" w:rsidRDefault="002069CA" w:rsidP="00A75E66">
      <w:pPr>
        <w:pStyle w:val="61"/>
        <w:jc w:val="both"/>
        <w:rPr>
          <w:color w:val="000000"/>
          <w:sz w:val="22"/>
          <w:szCs w:val="22"/>
        </w:rPr>
      </w:pPr>
      <w:r w:rsidRPr="002069CA">
        <w:rPr>
          <w:b/>
          <w:color w:val="000000"/>
          <w:sz w:val="22"/>
          <w:szCs w:val="22"/>
        </w:rPr>
        <w:t xml:space="preserve">Childcare responsibilities are usually seen among the main barriers not only to women’s labor force participation (the extensive margin of labor supply) but also to better-quality employment, affecting the choice of occupation and the number of hours worked (i.e. the intensive margin of labor supply) (ILO, 2018). </w:t>
      </w:r>
      <w:r w:rsidRPr="002069CA">
        <w:rPr>
          <w:color w:val="000000"/>
          <w:sz w:val="22"/>
          <w:szCs w:val="22"/>
        </w:rPr>
        <w:t>Our analysis in Moldova shows that only mothers of 3 and more children under 15 years and mothers of infants (0-2 years) are more likely to take informal own-account or unpaid family work (</w:t>
      </w:r>
      <w:r w:rsidRPr="002069CA">
        <w:rPr>
          <w:color w:val="000000"/>
          <w:sz w:val="22"/>
          <w:szCs w:val="22"/>
        </w:rPr>
        <w:fldChar w:fldCharType="begin"/>
      </w:r>
      <w:r w:rsidRPr="002069CA">
        <w:rPr>
          <w:color w:val="000000"/>
          <w:sz w:val="22"/>
          <w:szCs w:val="22"/>
        </w:rPr>
        <w:instrText xml:space="preserve"> REF _Ref519259511 \h  \* MERGEFORMAT </w:instrText>
      </w:r>
      <w:r w:rsidRPr="002069CA">
        <w:rPr>
          <w:color w:val="000000"/>
          <w:sz w:val="22"/>
          <w:szCs w:val="22"/>
        </w:rPr>
      </w:r>
      <w:r w:rsidRPr="002069CA">
        <w:rPr>
          <w:color w:val="000000"/>
          <w:sz w:val="22"/>
          <w:szCs w:val="22"/>
        </w:rPr>
        <w:fldChar w:fldCharType="separate"/>
      </w:r>
      <w:r w:rsidRPr="002069CA">
        <w:rPr>
          <w:color w:val="000000"/>
          <w:sz w:val="22"/>
          <w:szCs w:val="22"/>
        </w:rPr>
        <w:t>Figure 18</w:t>
      </w:r>
      <w:r w:rsidRPr="002069CA">
        <w:rPr>
          <w:color w:val="000000"/>
          <w:sz w:val="22"/>
          <w:szCs w:val="22"/>
        </w:rPr>
        <w:fldChar w:fldCharType="end"/>
      </w:r>
      <w:r w:rsidRPr="002069CA">
        <w:rPr>
          <w:color w:val="000000"/>
          <w:sz w:val="22"/>
          <w:szCs w:val="22"/>
        </w:rPr>
        <w:t>, Panel A) and to work shorter hours compared to other women (</w:t>
      </w:r>
      <w:r w:rsidRPr="004A792A">
        <w:rPr>
          <w:color w:val="000000"/>
          <w:sz w:val="22"/>
          <w:szCs w:val="22"/>
        </w:rPr>
        <w:fldChar w:fldCharType="begin"/>
      </w:r>
      <w:r w:rsidRPr="004A792A">
        <w:rPr>
          <w:color w:val="000000"/>
          <w:sz w:val="22"/>
          <w:szCs w:val="22"/>
        </w:rPr>
        <w:instrText xml:space="preserve"> REF _Ref519278627 \h  \* MERGEFORMAT </w:instrText>
      </w:r>
      <w:r w:rsidRPr="004A792A">
        <w:rPr>
          <w:color w:val="000000"/>
          <w:sz w:val="22"/>
          <w:szCs w:val="22"/>
        </w:rPr>
      </w:r>
      <w:r w:rsidRPr="004A792A">
        <w:rPr>
          <w:color w:val="000000"/>
          <w:sz w:val="22"/>
          <w:szCs w:val="22"/>
        </w:rPr>
        <w:fldChar w:fldCharType="separate"/>
      </w:r>
      <w:r w:rsidRPr="00204C9D">
        <w:rPr>
          <w:sz w:val="22"/>
          <w:szCs w:val="22"/>
        </w:rPr>
        <w:t xml:space="preserve">Figure </w:t>
      </w:r>
      <w:r w:rsidRPr="00204C9D">
        <w:rPr>
          <w:noProof/>
          <w:sz w:val="22"/>
          <w:szCs w:val="22"/>
        </w:rPr>
        <w:t>19</w:t>
      </w:r>
      <w:r w:rsidRPr="004A792A">
        <w:rPr>
          <w:color w:val="000000"/>
          <w:sz w:val="22"/>
          <w:szCs w:val="22"/>
        </w:rPr>
        <w:fldChar w:fldCharType="end"/>
      </w:r>
      <w:r>
        <w:rPr>
          <w:color w:val="000000"/>
          <w:sz w:val="22"/>
          <w:szCs w:val="22"/>
        </w:rPr>
        <w:t>, Panel A</w:t>
      </w:r>
      <w:r w:rsidRPr="002069CA">
        <w:rPr>
          <w:color w:val="000000"/>
          <w:sz w:val="22"/>
          <w:szCs w:val="22"/>
        </w:rPr>
        <w:t>)</w:t>
      </w:r>
      <w:r>
        <w:rPr>
          <w:color w:val="000000"/>
          <w:sz w:val="22"/>
          <w:szCs w:val="22"/>
        </w:rPr>
        <w:t xml:space="preserve">. </w:t>
      </w:r>
      <w:r w:rsidRPr="002069CA">
        <w:rPr>
          <w:color w:val="000000"/>
          <w:sz w:val="22"/>
          <w:szCs w:val="22"/>
        </w:rPr>
        <w:t>But working mothers of 3 and more children under 15 years predominantly live in rural areas and they have no other choice but to work in (subsistence) agriculture in order to sustain their young children</w:t>
      </w:r>
      <w:r>
        <w:rPr>
          <w:color w:val="000000"/>
          <w:sz w:val="22"/>
          <w:szCs w:val="22"/>
        </w:rPr>
        <w:t xml:space="preserve"> </w:t>
      </w:r>
      <w:r w:rsidRPr="004A792A">
        <w:rPr>
          <w:color w:val="000000"/>
          <w:sz w:val="22"/>
          <w:szCs w:val="22"/>
        </w:rPr>
        <w:t>(</w:t>
      </w:r>
      <w:r w:rsidRPr="004A792A">
        <w:rPr>
          <w:color w:val="000000"/>
          <w:sz w:val="22"/>
          <w:szCs w:val="22"/>
        </w:rPr>
        <w:fldChar w:fldCharType="begin"/>
      </w:r>
      <w:r w:rsidRPr="004A792A">
        <w:rPr>
          <w:color w:val="000000"/>
          <w:sz w:val="22"/>
          <w:szCs w:val="22"/>
        </w:rPr>
        <w:instrText xml:space="preserve"> REF _Ref519339257 \h  \* MERGEFORMAT </w:instrText>
      </w:r>
      <w:r w:rsidRPr="004A792A">
        <w:rPr>
          <w:color w:val="000000"/>
          <w:sz w:val="22"/>
          <w:szCs w:val="22"/>
        </w:rPr>
      </w:r>
      <w:r w:rsidRPr="004A792A">
        <w:rPr>
          <w:color w:val="000000"/>
          <w:sz w:val="22"/>
          <w:szCs w:val="22"/>
        </w:rPr>
        <w:fldChar w:fldCharType="separate"/>
      </w:r>
      <w:r w:rsidRPr="00982D0F">
        <w:rPr>
          <w:sz w:val="22"/>
          <w:szCs w:val="22"/>
        </w:rPr>
        <w:t xml:space="preserve">Table </w:t>
      </w:r>
      <w:r w:rsidRPr="00982D0F">
        <w:rPr>
          <w:noProof/>
          <w:sz w:val="22"/>
          <w:szCs w:val="22"/>
        </w:rPr>
        <w:t>A-8</w:t>
      </w:r>
      <w:r w:rsidRPr="004A792A">
        <w:rPr>
          <w:color w:val="000000"/>
          <w:sz w:val="22"/>
          <w:szCs w:val="22"/>
        </w:rPr>
        <w:fldChar w:fldCharType="end"/>
      </w:r>
      <w:r w:rsidRPr="004A792A">
        <w:rPr>
          <w:color w:val="000000"/>
          <w:sz w:val="22"/>
          <w:szCs w:val="22"/>
        </w:rPr>
        <w:t>)</w:t>
      </w:r>
      <w:r w:rsidRPr="002069CA">
        <w:rPr>
          <w:color w:val="000000"/>
          <w:sz w:val="22"/>
          <w:szCs w:val="22"/>
        </w:rPr>
        <w:t>.</w:t>
      </w:r>
      <w:r w:rsidR="00A2662E">
        <w:rPr>
          <w:color w:val="000000"/>
          <w:sz w:val="22"/>
          <w:szCs w:val="22"/>
        </w:rPr>
        <w:t xml:space="preserve"> </w:t>
      </w:r>
      <w:r w:rsidR="00A2662E" w:rsidRPr="00A21865">
        <w:rPr>
          <w:color w:val="000000"/>
          <w:sz w:val="22"/>
          <w:szCs w:val="22"/>
        </w:rPr>
        <w:t>About 13 percent of mothers of infants (0-2 years) reported zero hours worked during the reference week, predominantly because of being on maternity or parental leave.</w:t>
      </w:r>
    </w:p>
    <w:p w14:paraId="3B97DAE3" w14:textId="15132968" w:rsidR="00D16BAC" w:rsidRDefault="00D6630C" w:rsidP="00EC502C">
      <w:pPr>
        <w:pStyle w:val="ad"/>
        <w:spacing w:before="240" w:after="0"/>
        <w:jc w:val="left"/>
        <w:rPr>
          <w:lang w:val="en-US"/>
        </w:rPr>
      </w:pPr>
      <w:bookmarkStart w:id="71" w:name="_Ref519259511"/>
      <w:bookmarkStart w:id="72" w:name="_Toc533211774"/>
      <w:r w:rsidRPr="00093E7B">
        <w:rPr>
          <w:lang w:val="en-US"/>
        </w:rPr>
        <w:t xml:space="preserve">Figure </w:t>
      </w:r>
      <w:r w:rsidRPr="00093E7B">
        <w:rPr>
          <w:lang w:val="en-US"/>
        </w:rPr>
        <w:fldChar w:fldCharType="begin"/>
      </w:r>
      <w:r w:rsidRPr="00093E7B">
        <w:rPr>
          <w:lang w:val="en-US"/>
        </w:rPr>
        <w:instrText xml:space="preserve"> SEQ Figure \* ARABIC </w:instrText>
      </w:r>
      <w:r w:rsidRPr="00093E7B">
        <w:rPr>
          <w:lang w:val="en-US"/>
        </w:rPr>
        <w:fldChar w:fldCharType="separate"/>
      </w:r>
      <w:r w:rsidR="007F56F7">
        <w:rPr>
          <w:noProof/>
          <w:lang w:val="en-US"/>
        </w:rPr>
        <w:t>18</w:t>
      </w:r>
      <w:r w:rsidRPr="00093E7B">
        <w:rPr>
          <w:lang w:val="en-US"/>
        </w:rPr>
        <w:fldChar w:fldCharType="end"/>
      </w:r>
      <w:bookmarkEnd w:id="71"/>
      <w:r w:rsidRPr="00093E7B">
        <w:rPr>
          <w:lang w:val="en-US"/>
        </w:rPr>
        <w:t xml:space="preserve">: </w:t>
      </w:r>
      <w:r w:rsidR="00A9783E" w:rsidRPr="00093E7B">
        <w:rPr>
          <w:lang w:val="en-US"/>
        </w:rPr>
        <w:t xml:space="preserve">Female </w:t>
      </w:r>
      <w:r w:rsidR="00B05020" w:rsidRPr="00093E7B">
        <w:rPr>
          <w:lang w:val="en-US"/>
        </w:rPr>
        <w:t xml:space="preserve">and male </w:t>
      </w:r>
      <w:r w:rsidR="00A9783E" w:rsidRPr="00093E7B">
        <w:rPr>
          <w:lang w:val="en-US"/>
        </w:rPr>
        <w:t xml:space="preserve">workers </w:t>
      </w:r>
      <w:r w:rsidR="00FD56A0" w:rsidRPr="00093E7B">
        <w:rPr>
          <w:lang w:val="en-US"/>
        </w:rPr>
        <w:t xml:space="preserve">(15-64 years) </w:t>
      </w:r>
      <w:r w:rsidRPr="00093E7B">
        <w:rPr>
          <w:lang w:val="en-US"/>
        </w:rPr>
        <w:t xml:space="preserve">by employment </w:t>
      </w:r>
      <w:r w:rsidR="0011468F" w:rsidRPr="00093E7B">
        <w:rPr>
          <w:lang w:val="en-US"/>
        </w:rPr>
        <w:t>type</w:t>
      </w:r>
      <w:r w:rsidR="00FD56A0" w:rsidRPr="00093E7B">
        <w:rPr>
          <w:lang w:val="en-US"/>
        </w:rPr>
        <w:t xml:space="preserve">, </w:t>
      </w:r>
      <w:r w:rsidRPr="00093E7B">
        <w:rPr>
          <w:lang w:val="en-US"/>
        </w:rPr>
        <w:t xml:space="preserve">number of children </w:t>
      </w:r>
      <w:r w:rsidR="00FD56A0" w:rsidRPr="00093E7B">
        <w:rPr>
          <w:lang w:val="en-US"/>
        </w:rPr>
        <w:t xml:space="preserve">under 15 years and age of the youngest child </w:t>
      </w:r>
      <w:r w:rsidRPr="00093E7B">
        <w:rPr>
          <w:lang w:val="en-US"/>
        </w:rPr>
        <w:t>(%), 2016</w:t>
      </w:r>
      <w:bookmarkEnd w:id="72"/>
    </w:p>
    <w:p w14:paraId="4BB4FB66" w14:textId="77777777" w:rsidR="00B05020" w:rsidRDefault="00B05020" w:rsidP="00B05020">
      <w:pPr>
        <w:rPr>
          <w:lang w:val="en-US"/>
        </w:rPr>
      </w:pPr>
      <w:r>
        <w:rPr>
          <w:lang w:val="en-US"/>
        </w:rPr>
        <w:t>A) Women</w:t>
      </w:r>
    </w:p>
    <w:p w14:paraId="791D5616" w14:textId="77777777" w:rsidR="00FD56A0" w:rsidRPr="004A792A" w:rsidRDefault="00666E49" w:rsidP="00FD56A0">
      <w:pPr>
        <w:jc w:val="center"/>
        <w:rPr>
          <w:lang w:val="en-US"/>
        </w:rPr>
      </w:pPr>
      <w:r w:rsidRPr="004A792A">
        <w:rPr>
          <w:noProof/>
          <w:lang w:val="ru-RU" w:eastAsia="ru-RU"/>
        </w:rPr>
        <w:drawing>
          <wp:inline distT="0" distB="0" distL="0" distR="0" wp14:anchorId="5F403651" wp14:editId="3D70A54E">
            <wp:extent cx="4852670" cy="234505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52670" cy="2345055"/>
                    </a:xfrm>
                    <a:prstGeom prst="rect">
                      <a:avLst/>
                    </a:prstGeom>
                    <a:noFill/>
                    <a:ln>
                      <a:noFill/>
                    </a:ln>
                  </pic:spPr>
                </pic:pic>
              </a:graphicData>
            </a:graphic>
          </wp:inline>
        </w:drawing>
      </w:r>
    </w:p>
    <w:p w14:paraId="757C889E" w14:textId="77777777" w:rsidR="00B05020" w:rsidRPr="00093E7B" w:rsidRDefault="00B05020" w:rsidP="00B05020">
      <w:pPr>
        <w:rPr>
          <w:lang w:val="en-US"/>
        </w:rPr>
      </w:pPr>
      <w:r w:rsidRPr="00093E7B">
        <w:rPr>
          <w:lang w:val="en-US"/>
        </w:rPr>
        <w:t>B) Men</w:t>
      </w:r>
    </w:p>
    <w:p w14:paraId="459214B4" w14:textId="77777777" w:rsidR="00B05020" w:rsidRPr="00093E7B" w:rsidRDefault="009D301D" w:rsidP="00FD56A0">
      <w:pPr>
        <w:jc w:val="center"/>
        <w:rPr>
          <w:lang w:val="en-US"/>
        </w:rPr>
      </w:pPr>
      <w:r w:rsidRPr="00093E7B">
        <w:rPr>
          <w:noProof/>
          <w:lang w:val="ru-RU" w:eastAsia="ru-RU"/>
        </w:rPr>
        <w:lastRenderedPageBreak/>
        <w:drawing>
          <wp:inline distT="0" distB="0" distL="0" distR="0" wp14:anchorId="2582800C" wp14:editId="1A77169E">
            <wp:extent cx="4908550" cy="2508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08550" cy="2508250"/>
                    </a:xfrm>
                    <a:prstGeom prst="rect">
                      <a:avLst/>
                    </a:prstGeom>
                    <a:noFill/>
                    <a:ln>
                      <a:noFill/>
                    </a:ln>
                  </pic:spPr>
                </pic:pic>
              </a:graphicData>
            </a:graphic>
          </wp:inline>
        </w:drawing>
      </w:r>
    </w:p>
    <w:p w14:paraId="1031083F" w14:textId="0FC50B0C" w:rsidR="00B519CF" w:rsidRPr="004A792A" w:rsidRDefault="00B519CF" w:rsidP="00EC502C">
      <w:pPr>
        <w:pStyle w:val="61"/>
        <w:shd w:val="clear" w:color="auto" w:fill="auto"/>
        <w:spacing w:before="120" w:line="240" w:lineRule="auto"/>
        <w:jc w:val="both"/>
        <w:rPr>
          <w:color w:val="000000"/>
          <w:sz w:val="22"/>
          <w:szCs w:val="22"/>
        </w:rPr>
      </w:pPr>
      <w:r w:rsidRPr="00350482">
        <w:rPr>
          <w:b/>
          <w:color w:val="000000"/>
          <w:sz w:val="22"/>
          <w:szCs w:val="22"/>
        </w:rPr>
        <w:t>Compared to women, men are less likely to work in formal wage employment and more likely to work informally as own-account workers, regardless of the presence of children and their age</w:t>
      </w:r>
      <w:r w:rsidRPr="00093E7B">
        <w:rPr>
          <w:color w:val="000000"/>
          <w:sz w:val="22"/>
          <w:szCs w:val="22"/>
        </w:rPr>
        <w:t xml:space="preserve"> (</w:t>
      </w:r>
      <w:r w:rsidRPr="00093E7B">
        <w:rPr>
          <w:color w:val="000000"/>
          <w:sz w:val="22"/>
          <w:szCs w:val="22"/>
        </w:rPr>
        <w:fldChar w:fldCharType="begin"/>
      </w:r>
      <w:r w:rsidRPr="00093E7B">
        <w:rPr>
          <w:color w:val="000000"/>
          <w:sz w:val="22"/>
          <w:szCs w:val="22"/>
        </w:rPr>
        <w:instrText xml:space="preserve"> REF _Ref519259511 \h  \* MERGEFORMAT </w:instrText>
      </w:r>
      <w:r w:rsidRPr="00093E7B">
        <w:rPr>
          <w:color w:val="000000"/>
          <w:sz w:val="22"/>
          <w:szCs w:val="22"/>
        </w:rPr>
      </w:r>
      <w:r w:rsidRPr="00093E7B">
        <w:rPr>
          <w:color w:val="000000"/>
          <w:sz w:val="22"/>
          <w:szCs w:val="22"/>
        </w:rPr>
        <w:fldChar w:fldCharType="separate"/>
      </w:r>
      <w:r w:rsidR="00350482" w:rsidRPr="00350482">
        <w:rPr>
          <w:sz w:val="22"/>
          <w:szCs w:val="22"/>
        </w:rPr>
        <w:t xml:space="preserve">Figure </w:t>
      </w:r>
      <w:r w:rsidR="00350482" w:rsidRPr="00350482">
        <w:rPr>
          <w:noProof/>
          <w:sz w:val="22"/>
          <w:szCs w:val="22"/>
        </w:rPr>
        <w:t>18</w:t>
      </w:r>
      <w:r w:rsidRPr="00093E7B">
        <w:rPr>
          <w:color w:val="000000"/>
          <w:sz w:val="22"/>
          <w:szCs w:val="22"/>
        </w:rPr>
        <w:fldChar w:fldCharType="end"/>
      </w:r>
      <w:r w:rsidRPr="00093E7B">
        <w:rPr>
          <w:color w:val="000000"/>
          <w:sz w:val="22"/>
          <w:szCs w:val="22"/>
        </w:rPr>
        <w:t xml:space="preserve">, Panel B). Fathers of 3 and more children under 15 years differ significantly from other men in terms of the employment type, with a huge bias towards informal employment as own-account workers or employees. But this result should be interpreted with caution because of a </w:t>
      </w:r>
      <w:r w:rsidRPr="002C08A0">
        <w:rPr>
          <w:color w:val="000000"/>
          <w:sz w:val="22"/>
          <w:szCs w:val="22"/>
        </w:rPr>
        <w:t xml:space="preserve">small </w:t>
      </w:r>
      <w:r w:rsidRPr="001F5205">
        <w:rPr>
          <w:color w:val="000000"/>
          <w:sz w:val="22"/>
          <w:szCs w:val="22"/>
        </w:rPr>
        <w:t>number of men with at least 3 children in the sample (48 observations in 2016).</w:t>
      </w:r>
      <w:r w:rsidR="00350482">
        <w:rPr>
          <w:rStyle w:val="af9"/>
          <w:color w:val="000000"/>
          <w:sz w:val="22"/>
          <w:szCs w:val="22"/>
        </w:rPr>
        <w:footnoteReference w:id="19"/>
      </w:r>
      <w:r w:rsidR="00A2662E">
        <w:rPr>
          <w:color w:val="000000"/>
          <w:sz w:val="22"/>
          <w:szCs w:val="22"/>
        </w:rPr>
        <w:t xml:space="preserve"> </w:t>
      </w:r>
      <w:r w:rsidR="00A2662E" w:rsidRPr="00A21865">
        <w:rPr>
          <w:color w:val="000000"/>
          <w:sz w:val="22"/>
          <w:szCs w:val="22"/>
        </w:rPr>
        <w:t>As one would expect, men on average work more than women, and the presence of children seems to exert a minor effect on the intensive margin of male labor supply (</w:t>
      </w:r>
      <w:r w:rsidR="00A2662E" w:rsidRPr="00A21865">
        <w:rPr>
          <w:color w:val="000000"/>
          <w:sz w:val="22"/>
          <w:szCs w:val="22"/>
        </w:rPr>
        <w:fldChar w:fldCharType="begin"/>
      </w:r>
      <w:r w:rsidR="00A2662E" w:rsidRPr="00A21865">
        <w:rPr>
          <w:color w:val="000000"/>
          <w:sz w:val="22"/>
          <w:szCs w:val="22"/>
        </w:rPr>
        <w:instrText xml:space="preserve"> REF _Ref519278627 \h  \* MERGEFORMAT </w:instrText>
      </w:r>
      <w:r w:rsidR="00A2662E" w:rsidRPr="00A21865">
        <w:rPr>
          <w:color w:val="000000"/>
          <w:sz w:val="22"/>
          <w:szCs w:val="22"/>
        </w:rPr>
      </w:r>
      <w:r w:rsidR="00A2662E" w:rsidRPr="00A21865">
        <w:rPr>
          <w:color w:val="000000"/>
          <w:sz w:val="22"/>
          <w:szCs w:val="22"/>
        </w:rPr>
        <w:fldChar w:fldCharType="separate"/>
      </w:r>
      <w:r w:rsidR="00A2662E" w:rsidRPr="00410C98">
        <w:rPr>
          <w:sz w:val="22"/>
          <w:szCs w:val="22"/>
        </w:rPr>
        <w:t xml:space="preserve">Figure </w:t>
      </w:r>
      <w:r w:rsidR="00A2662E" w:rsidRPr="00410C98">
        <w:rPr>
          <w:noProof/>
          <w:sz w:val="22"/>
          <w:szCs w:val="22"/>
        </w:rPr>
        <w:t>19</w:t>
      </w:r>
      <w:r w:rsidR="00A2662E" w:rsidRPr="00A21865">
        <w:rPr>
          <w:color w:val="000000"/>
          <w:sz w:val="22"/>
          <w:szCs w:val="22"/>
        </w:rPr>
        <w:fldChar w:fldCharType="end"/>
      </w:r>
      <w:r w:rsidR="00A2662E" w:rsidRPr="00A21865">
        <w:rPr>
          <w:color w:val="000000"/>
          <w:sz w:val="22"/>
          <w:szCs w:val="22"/>
        </w:rPr>
        <w:t>, Panel B).</w:t>
      </w:r>
    </w:p>
    <w:p w14:paraId="1F889F11" w14:textId="05F6C9A0" w:rsidR="008237C2" w:rsidRPr="004A792A" w:rsidRDefault="00350482" w:rsidP="00756F7B">
      <w:pPr>
        <w:pStyle w:val="61"/>
        <w:shd w:val="clear" w:color="auto" w:fill="auto"/>
        <w:spacing w:before="120" w:line="240" w:lineRule="auto"/>
        <w:jc w:val="both"/>
        <w:rPr>
          <w:color w:val="000000"/>
          <w:sz w:val="22"/>
          <w:szCs w:val="22"/>
        </w:rPr>
      </w:pPr>
      <w:r w:rsidRPr="00350482">
        <w:rPr>
          <w:b/>
          <w:color w:val="000000"/>
          <w:sz w:val="22"/>
          <w:szCs w:val="22"/>
        </w:rPr>
        <w:t>M</w:t>
      </w:r>
      <w:r w:rsidR="00EA4314" w:rsidRPr="00350482">
        <w:rPr>
          <w:b/>
          <w:color w:val="000000"/>
          <w:sz w:val="22"/>
          <w:szCs w:val="22"/>
        </w:rPr>
        <w:t xml:space="preserve">others of </w:t>
      </w:r>
      <w:r w:rsidR="009361D9" w:rsidRPr="00350482">
        <w:rPr>
          <w:b/>
          <w:color w:val="000000"/>
          <w:sz w:val="22"/>
          <w:szCs w:val="22"/>
        </w:rPr>
        <w:t xml:space="preserve">small </w:t>
      </w:r>
      <w:r w:rsidR="00EA4314" w:rsidRPr="00350482">
        <w:rPr>
          <w:b/>
          <w:color w:val="000000"/>
          <w:sz w:val="22"/>
          <w:szCs w:val="22"/>
        </w:rPr>
        <w:t xml:space="preserve">children </w:t>
      </w:r>
      <w:r w:rsidR="00C927F8" w:rsidRPr="00350482">
        <w:rPr>
          <w:b/>
          <w:color w:val="000000"/>
          <w:sz w:val="22"/>
          <w:szCs w:val="22"/>
        </w:rPr>
        <w:t>in Moldova do no</w:t>
      </w:r>
      <w:r w:rsidR="0011468F" w:rsidRPr="00350482">
        <w:rPr>
          <w:b/>
          <w:color w:val="000000"/>
          <w:sz w:val="22"/>
          <w:szCs w:val="22"/>
        </w:rPr>
        <w:t>t</w:t>
      </w:r>
      <w:r w:rsidR="00C927F8" w:rsidRPr="00350482">
        <w:rPr>
          <w:b/>
          <w:color w:val="000000"/>
          <w:sz w:val="22"/>
          <w:szCs w:val="22"/>
        </w:rPr>
        <w:t xml:space="preserve"> </w:t>
      </w:r>
      <w:r w:rsidR="00E075C6" w:rsidRPr="00350482">
        <w:rPr>
          <w:b/>
          <w:color w:val="000000"/>
          <w:sz w:val="22"/>
          <w:szCs w:val="22"/>
        </w:rPr>
        <w:t xml:space="preserve">tend to </w:t>
      </w:r>
      <w:r w:rsidR="005406E2" w:rsidRPr="00350482">
        <w:rPr>
          <w:b/>
          <w:color w:val="000000"/>
          <w:sz w:val="22"/>
          <w:szCs w:val="22"/>
        </w:rPr>
        <w:t>use</w:t>
      </w:r>
      <w:r w:rsidR="00EC502C" w:rsidRPr="00350482">
        <w:rPr>
          <w:b/>
          <w:color w:val="000000"/>
          <w:sz w:val="22"/>
          <w:szCs w:val="22"/>
        </w:rPr>
        <w:t xml:space="preserve"> self-employment </w:t>
      </w:r>
      <w:r w:rsidR="00EA4314" w:rsidRPr="00350482">
        <w:rPr>
          <w:b/>
          <w:color w:val="000000"/>
          <w:sz w:val="22"/>
          <w:szCs w:val="22"/>
        </w:rPr>
        <w:t xml:space="preserve">more often than </w:t>
      </w:r>
      <w:proofErr w:type="spellStart"/>
      <w:r w:rsidR="00EA4314" w:rsidRPr="00350482">
        <w:rPr>
          <w:b/>
          <w:color w:val="000000"/>
          <w:sz w:val="22"/>
          <w:szCs w:val="22"/>
        </w:rPr>
        <w:t>nonmothers</w:t>
      </w:r>
      <w:proofErr w:type="spellEnd"/>
      <w:r w:rsidR="00EA4314" w:rsidRPr="00350482">
        <w:rPr>
          <w:b/>
          <w:color w:val="000000"/>
          <w:sz w:val="22"/>
          <w:szCs w:val="22"/>
        </w:rPr>
        <w:t xml:space="preserve"> </w:t>
      </w:r>
      <w:r w:rsidR="00EC502C" w:rsidRPr="00350482">
        <w:rPr>
          <w:b/>
          <w:color w:val="000000"/>
          <w:sz w:val="22"/>
          <w:szCs w:val="22"/>
        </w:rPr>
        <w:t xml:space="preserve">in order to combine care provision </w:t>
      </w:r>
      <w:r w:rsidR="005406E2" w:rsidRPr="00350482">
        <w:rPr>
          <w:b/>
          <w:color w:val="000000"/>
          <w:sz w:val="22"/>
          <w:szCs w:val="22"/>
        </w:rPr>
        <w:t xml:space="preserve">and other family responsibilities </w:t>
      </w:r>
      <w:r w:rsidR="00EC502C" w:rsidRPr="00350482">
        <w:rPr>
          <w:b/>
          <w:color w:val="000000"/>
          <w:sz w:val="22"/>
          <w:szCs w:val="22"/>
        </w:rPr>
        <w:t xml:space="preserve">with </w:t>
      </w:r>
      <w:r w:rsidR="00EA4314" w:rsidRPr="00350482">
        <w:rPr>
          <w:b/>
          <w:color w:val="000000"/>
          <w:sz w:val="22"/>
          <w:szCs w:val="22"/>
        </w:rPr>
        <w:t xml:space="preserve">more flexible </w:t>
      </w:r>
      <w:r w:rsidR="00EC502C" w:rsidRPr="00350482">
        <w:rPr>
          <w:b/>
          <w:color w:val="000000"/>
          <w:sz w:val="22"/>
          <w:szCs w:val="22"/>
        </w:rPr>
        <w:t>work</w:t>
      </w:r>
      <w:r w:rsidRPr="00CD5F0B">
        <w:rPr>
          <w:color w:val="000000"/>
        </w:rPr>
        <w:t>, as</w:t>
      </w:r>
      <w:r w:rsidR="00540E28" w:rsidRPr="004A792A">
        <w:rPr>
          <w:color w:val="000000"/>
          <w:sz w:val="22"/>
          <w:szCs w:val="22"/>
        </w:rPr>
        <w:t xml:space="preserve"> </w:t>
      </w:r>
      <w:r>
        <w:rPr>
          <w:color w:val="000000"/>
          <w:sz w:val="22"/>
          <w:szCs w:val="22"/>
        </w:rPr>
        <w:t>r</w:t>
      </w:r>
      <w:r w:rsidRPr="004A792A">
        <w:rPr>
          <w:color w:val="000000"/>
          <w:sz w:val="22"/>
          <w:szCs w:val="22"/>
        </w:rPr>
        <w:t xml:space="preserve">egression analysis of </w:t>
      </w:r>
      <w:r>
        <w:rPr>
          <w:color w:val="000000"/>
          <w:sz w:val="22"/>
          <w:szCs w:val="22"/>
        </w:rPr>
        <w:t xml:space="preserve">the </w:t>
      </w:r>
      <w:r w:rsidRPr="004A792A">
        <w:rPr>
          <w:color w:val="000000"/>
          <w:sz w:val="22"/>
          <w:szCs w:val="22"/>
        </w:rPr>
        <w:t>determinants of the probability of self-employment and informal employment among female workers in 2016 suggest</w:t>
      </w:r>
      <w:r w:rsidR="00A2662E">
        <w:rPr>
          <w:color w:val="000000"/>
          <w:sz w:val="22"/>
          <w:szCs w:val="22"/>
        </w:rPr>
        <w:t>s</w:t>
      </w:r>
      <w:r w:rsidRPr="004A792A">
        <w:rPr>
          <w:color w:val="000000"/>
          <w:sz w:val="22"/>
          <w:szCs w:val="22"/>
        </w:rPr>
        <w:t xml:space="preserve"> </w:t>
      </w:r>
      <w:r w:rsidR="00540E28" w:rsidRPr="004A792A">
        <w:rPr>
          <w:color w:val="000000"/>
          <w:sz w:val="22"/>
          <w:szCs w:val="22"/>
        </w:rPr>
        <w:t>(</w:t>
      </w:r>
      <w:r w:rsidRPr="004A792A">
        <w:rPr>
          <w:color w:val="000000"/>
        </w:rPr>
        <w:fldChar w:fldCharType="begin"/>
      </w:r>
      <w:r w:rsidRPr="004A792A">
        <w:rPr>
          <w:color w:val="000000"/>
          <w:sz w:val="22"/>
          <w:szCs w:val="22"/>
        </w:rPr>
        <w:instrText xml:space="preserve"> REF _Ref519339257 \h  \* MERGEFORMAT </w:instrText>
      </w:r>
      <w:r w:rsidRPr="004A792A">
        <w:rPr>
          <w:color w:val="000000"/>
        </w:rPr>
      </w:r>
      <w:r w:rsidRPr="004A792A">
        <w:rPr>
          <w:color w:val="000000"/>
        </w:rPr>
        <w:fldChar w:fldCharType="separate"/>
      </w:r>
      <w:r w:rsidRPr="00982D0F">
        <w:rPr>
          <w:sz w:val="22"/>
          <w:szCs w:val="22"/>
        </w:rPr>
        <w:t xml:space="preserve">Table </w:t>
      </w:r>
      <w:r w:rsidRPr="00982D0F">
        <w:rPr>
          <w:noProof/>
          <w:sz w:val="22"/>
          <w:szCs w:val="22"/>
        </w:rPr>
        <w:t>A-</w:t>
      </w:r>
      <w:r w:rsidR="006958B4">
        <w:rPr>
          <w:noProof/>
          <w:sz w:val="22"/>
          <w:szCs w:val="22"/>
        </w:rPr>
        <w:t>11</w:t>
      </w:r>
      <w:r w:rsidRPr="004A792A">
        <w:rPr>
          <w:color w:val="000000"/>
        </w:rPr>
        <w:fldChar w:fldCharType="end"/>
      </w:r>
      <w:r w:rsidR="00540E28" w:rsidRPr="004A792A">
        <w:rPr>
          <w:color w:val="000000"/>
          <w:sz w:val="22"/>
          <w:szCs w:val="22"/>
        </w:rPr>
        <w:t>)</w:t>
      </w:r>
      <w:r w:rsidR="00EA4314" w:rsidRPr="004A792A">
        <w:rPr>
          <w:color w:val="000000"/>
          <w:sz w:val="22"/>
          <w:szCs w:val="22"/>
        </w:rPr>
        <w:t xml:space="preserve">. If we exclude </w:t>
      </w:r>
      <w:r w:rsidR="00153A1C" w:rsidRPr="004A792A">
        <w:rPr>
          <w:color w:val="000000"/>
          <w:sz w:val="22"/>
          <w:szCs w:val="22"/>
        </w:rPr>
        <w:t xml:space="preserve">rural female workers with their </w:t>
      </w:r>
      <w:r w:rsidR="00EA4314" w:rsidRPr="004A792A">
        <w:rPr>
          <w:color w:val="000000"/>
          <w:sz w:val="22"/>
          <w:szCs w:val="22"/>
        </w:rPr>
        <w:t xml:space="preserve">widespread employment </w:t>
      </w:r>
      <w:r w:rsidR="00E075C6" w:rsidRPr="004A792A">
        <w:rPr>
          <w:color w:val="000000"/>
          <w:sz w:val="22"/>
          <w:szCs w:val="22"/>
        </w:rPr>
        <w:t>in subsistence agriculture</w:t>
      </w:r>
      <w:r w:rsidR="00EA4314" w:rsidRPr="004A792A">
        <w:rPr>
          <w:color w:val="000000"/>
          <w:sz w:val="22"/>
          <w:szCs w:val="22"/>
        </w:rPr>
        <w:t xml:space="preserve"> regardless of the </w:t>
      </w:r>
      <w:r w:rsidR="00153A1C" w:rsidRPr="004A792A">
        <w:rPr>
          <w:color w:val="000000"/>
          <w:sz w:val="22"/>
          <w:szCs w:val="22"/>
        </w:rPr>
        <w:t>materna</w:t>
      </w:r>
      <w:r w:rsidR="00EA4314" w:rsidRPr="004A792A">
        <w:rPr>
          <w:color w:val="000000"/>
          <w:sz w:val="22"/>
          <w:szCs w:val="22"/>
        </w:rPr>
        <w:t>l status</w:t>
      </w:r>
      <w:r w:rsidR="00756F7B" w:rsidRPr="004A792A">
        <w:rPr>
          <w:color w:val="000000"/>
          <w:sz w:val="22"/>
          <w:szCs w:val="22"/>
        </w:rPr>
        <w:t xml:space="preserve"> and age of children</w:t>
      </w:r>
      <w:r w:rsidR="00EA4314" w:rsidRPr="004A792A">
        <w:rPr>
          <w:color w:val="000000"/>
          <w:sz w:val="22"/>
          <w:szCs w:val="22"/>
        </w:rPr>
        <w:t xml:space="preserve">, </w:t>
      </w:r>
      <w:r w:rsidR="00E075C6" w:rsidRPr="004A792A">
        <w:rPr>
          <w:color w:val="000000"/>
          <w:sz w:val="22"/>
          <w:szCs w:val="22"/>
        </w:rPr>
        <w:t>t</w:t>
      </w:r>
      <w:r w:rsidR="00EA4314" w:rsidRPr="004A792A">
        <w:rPr>
          <w:color w:val="000000"/>
          <w:sz w:val="22"/>
          <w:szCs w:val="22"/>
        </w:rPr>
        <w:t xml:space="preserve">he hypothesis that </w:t>
      </w:r>
      <w:r w:rsidR="00260189" w:rsidRPr="004A792A">
        <w:rPr>
          <w:color w:val="000000"/>
          <w:sz w:val="22"/>
          <w:szCs w:val="22"/>
        </w:rPr>
        <w:t>mothers</w:t>
      </w:r>
      <w:r w:rsidR="00EA4314" w:rsidRPr="004A792A">
        <w:rPr>
          <w:color w:val="000000"/>
          <w:sz w:val="22"/>
          <w:szCs w:val="22"/>
        </w:rPr>
        <w:t xml:space="preserve"> are </w:t>
      </w:r>
      <w:r w:rsidR="00E075C6" w:rsidRPr="004A792A">
        <w:rPr>
          <w:color w:val="000000"/>
          <w:sz w:val="22"/>
          <w:szCs w:val="22"/>
        </w:rPr>
        <w:t xml:space="preserve">also </w:t>
      </w:r>
      <w:r w:rsidR="00EA4314" w:rsidRPr="004A792A">
        <w:rPr>
          <w:color w:val="000000"/>
          <w:sz w:val="22"/>
          <w:szCs w:val="22"/>
        </w:rPr>
        <w:t xml:space="preserve">more likely to </w:t>
      </w:r>
      <w:r w:rsidR="00E075C6" w:rsidRPr="004A792A">
        <w:rPr>
          <w:color w:val="000000"/>
          <w:sz w:val="22"/>
          <w:szCs w:val="22"/>
        </w:rPr>
        <w:t xml:space="preserve">work </w:t>
      </w:r>
      <w:r w:rsidR="00EA4314" w:rsidRPr="004A792A">
        <w:rPr>
          <w:color w:val="000000"/>
          <w:sz w:val="22"/>
          <w:szCs w:val="22"/>
        </w:rPr>
        <w:t>informal</w:t>
      </w:r>
      <w:r w:rsidR="00E075C6" w:rsidRPr="004A792A">
        <w:rPr>
          <w:color w:val="000000"/>
          <w:sz w:val="22"/>
          <w:szCs w:val="22"/>
        </w:rPr>
        <w:t>ly</w:t>
      </w:r>
      <w:r w:rsidR="003E4370" w:rsidRPr="004A792A">
        <w:rPr>
          <w:color w:val="000000"/>
          <w:sz w:val="22"/>
          <w:szCs w:val="22"/>
        </w:rPr>
        <w:t xml:space="preserve">, </w:t>
      </w:r>
      <w:r w:rsidR="00B92593" w:rsidRPr="004A792A">
        <w:rPr>
          <w:color w:val="000000"/>
          <w:sz w:val="22"/>
          <w:szCs w:val="22"/>
        </w:rPr>
        <w:t xml:space="preserve">either </w:t>
      </w:r>
      <w:r w:rsidR="003E4370" w:rsidRPr="004A792A">
        <w:rPr>
          <w:color w:val="000000"/>
          <w:sz w:val="22"/>
          <w:szCs w:val="22"/>
        </w:rPr>
        <w:t xml:space="preserve">as employees </w:t>
      </w:r>
      <w:r w:rsidR="00B92593" w:rsidRPr="004A792A">
        <w:rPr>
          <w:color w:val="000000"/>
          <w:sz w:val="22"/>
          <w:szCs w:val="22"/>
        </w:rPr>
        <w:t xml:space="preserve">or as </w:t>
      </w:r>
      <w:r w:rsidR="003E4370" w:rsidRPr="004A792A">
        <w:rPr>
          <w:color w:val="000000"/>
          <w:sz w:val="22"/>
          <w:szCs w:val="22"/>
        </w:rPr>
        <w:t>own-account workers,</w:t>
      </w:r>
      <w:r w:rsidR="00E075C6" w:rsidRPr="004A792A">
        <w:rPr>
          <w:color w:val="000000"/>
          <w:sz w:val="22"/>
          <w:szCs w:val="22"/>
        </w:rPr>
        <w:t xml:space="preserve"> </w:t>
      </w:r>
      <w:r w:rsidR="00EA4314" w:rsidRPr="004A792A">
        <w:rPr>
          <w:color w:val="000000"/>
          <w:sz w:val="22"/>
          <w:szCs w:val="22"/>
        </w:rPr>
        <w:t>is support</w:t>
      </w:r>
      <w:r w:rsidR="00E075C6" w:rsidRPr="004A792A">
        <w:rPr>
          <w:color w:val="000000"/>
          <w:sz w:val="22"/>
          <w:szCs w:val="22"/>
        </w:rPr>
        <w:t>ed</w:t>
      </w:r>
      <w:r w:rsidR="00AE5EEC" w:rsidRPr="004A792A">
        <w:rPr>
          <w:color w:val="000000"/>
          <w:sz w:val="22"/>
          <w:szCs w:val="22"/>
        </w:rPr>
        <w:t xml:space="preserve"> only for women with 3 and more children</w:t>
      </w:r>
      <w:r w:rsidR="003E4370" w:rsidRPr="004A792A">
        <w:rPr>
          <w:color w:val="000000"/>
          <w:sz w:val="22"/>
          <w:szCs w:val="22"/>
        </w:rPr>
        <w:t xml:space="preserve"> under 15 years</w:t>
      </w:r>
      <w:r w:rsidR="00B92593" w:rsidRPr="004A792A">
        <w:rPr>
          <w:color w:val="000000"/>
          <w:sz w:val="22"/>
          <w:szCs w:val="22"/>
        </w:rPr>
        <w:t xml:space="preserve"> (</w:t>
      </w:r>
      <w:r w:rsidR="00540E28" w:rsidRPr="004A792A">
        <w:rPr>
          <w:color w:val="000000"/>
        </w:rPr>
        <w:fldChar w:fldCharType="begin"/>
      </w:r>
      <w:r w:rsidR="00540E28" w:rsidRPr="004A792A">
        <w:rPr>
          <w:color w:val="000000"/>
          <w:sz w:val="22"/>
          <w:szCs w:val="22"/>
        </w:rPr>
        <w:instrText xml:space="preserve"> REF _Ref519274383 \h  \* MERGEFORMAT </w:instrText>
      </w:r>
      <w:r w:rsidR="00540E28" w:rsidRPr="004A792A">
        <w:rPr>
          <w:color w:val="000000"/>
        </w:rPr>
      </w:r>
      <w:r w:rsidR="00540E28" w:rsidRPr="004A792A">
        <w:rPr>
          <w:color w:val="000000"/>
        </w:rPr>
        <w:fldChar w:fldCharType="separate"/>
      </w:r>
      <w:r w:rsidR="006958B4" w:rsidRPr="00A2662E">
        <w:rPr>
          <w:sz w:val="22"/>
          <w:szCs w:val="22"/>
        </w:rPr>
        <w:t xml:space="preserve">Table </w:t>
      </w:r>
      <w:r w:rsidR="006958B4" w:rsidRPr="00A2662E">
        <w:rPr>
          <w:noProof/>
          <w:sz w:val="22"/>
          <w:szCs w:val="22"/>
        </w:rPr>
        <w:t>A-12</w:t>
      </w:r>
      <w:r w:rsidR="00540E28" w:rsidRPr="004A792A">
        <w:rPr>
          <w:color w:val="000000"/>
        </w:rPr>
        <w:fldChar w:fldCharType="end"/>
      </w:r>
      <w:r w:rsidR="00B92593" w:rsidRPr="004A792A">
        <w:rPr>
          <w:color w:val="000000"/>
          <w:sz w:val="22"/>
          <w:szCs w:val="22"/>
        </w:rPr>
        <w:t>).</w:t>
      </w:r>
      <w:r w:rsidR="00540E28" w:rsidRPr="004A792A">
        <w:rPr>
          <w:rStyle w:val="af9"/>
          <w:color w:val="000000"/>
          <w:sz w:val="22"/>
          <w:szCs w:val="22"/>
        </w:rPr>
        <w:footnoteReference w:id="20"/>
      </w:r>
      <w:r w:rsidR="00354F7D" w:rsidRPr="004A792A">
        <w:rPr>
          <w:color w:val="000000"/>
          <w:sz w:val="22"/>
          <w:szCs w:val="22"/>
        </w:rPr>
        <w:t xml:space="preserve"> </w:t>
      </w:r>
      <w:r w:rsidR="00756F7B" w:rsidRPr="004A792A">
        <w:rPr>
          <w:color w:val="000000"/>
          <w:sz w:val="22"/>
          <w:szCs w:val="22"/>
        </w:rPr>
        <w:t xml:space="preserve">Thus, there are no marked differences in the employment </w:t>
      </w:r>
      <w:r w:rsidR="0011468F" w:rsidRPr="004A792A">
        <w:rPr>
          <w:color w:val="000000"/>
          <w:sz w:val="22"/>
          <w:szCs w:val="22"/>
        </w:rPr>
        <w:t xml:space="preserve">type </w:t>
      </w:r>
      <w:r w:rsidR="00756F7B" w:rsidRPr="004A792A">
        <w:rPr>
          <w:color w:val="000000"/>
          <w:sz w:val="22"/>
          <w:szCs w:val="22"/>
        </w:rPr>
        <w:t>of moth</w:t>
      </w:r>
      <w:r w:rsidR="00354F7D" w:rsidRPr="004A792A">
        <w:rPr>
          <w:color w:val="000000"/>
          <w:sz w:val="22"/>
          <w:szCs w:val="22"/>
        </w:rPr>
        <w:t xml:space="preserve">ers and </w:t>
      </w:r>
      <w:proofErr w:type="spellStart"/>
      <w:r w:rsidR="00354F7D" w:rsidRPr="004A792A">
        <w:rPr>
          <w:color w:val="000000"/>
          <w:sz w:val="22"/>
          <w:szCs w:val="22"/>
        </w:rPr>
        <w:t>nonmothers</w:t>
      </w:r>
      <w:proofErr w:type="spellEnd"/>
      <w:r w:rsidR="00354F7D" w:rsidRPr="004A792A">
        <w:rPr>
          <w:color w:val="000000"/>
          <w:sz w:val="22"/>
          <w:szCs w:val="22"/>
        </w:rPr>
        <w:t xml:space="preserve"> in Moldova.</w:t>
      </w:r>
    </w:p>
    <w:p w14:paraId="574B1F33" w14:textId="67A1ABC8" w:rsidR="008237C2" w:rsidRPr="004A792A" w:rsidRDefault="008237C2" w:rsidP="00397ED6">
      <w:pPr>
        <w:pStyle w:val="ad"/>
        <w:spacing w:before="240" w:after="0"/>
        <w:jc w:val="left"/>
        <w:rPr>
          <w:lang w:val="en-US"/>
        </w:rPr>
      </w:pPr>
      <w:bookmarkStart w:id="73" w:name="_Ref519278627"/>
      <w:bookmarkStart w:id="74" w:name="_Toc533211775"/>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19</w:t>
      </w:r>
      <w:r w:rsidRPr="004A792A">
        <w:rPr>
          <w:lang w:val="en-US"/>
        </w:rPr>
        <w:fldChar w:fldCharType="end"/>
      </w:r>
      <w:bookmarkEnd w:id="73"/>
      <w:r w:rsidRPr="004A792A">
        <w:rPr>
          <w:lang w:val="en-US"/>
        </w:rPr>
        <w:t xml:space="preserve">: </w:t>
      </w:r>
      <w:r w:rsidR="00BF0CC0" w:rsidRPr="004A792A">
        <w:rPr>
          <w:lang w:val="en-US"/>
        </w:rPr>
        <w:t xml:space="preserve">Female </w:t>
      </w:r>
      <w:r w:rsidR="00753E97">
        <w:rPr>
          <w:lang w:val="en-US"/>
        </w:rPr>
        <w:t xml:space="preserve">and male </w:t>
      </w:r>
      <w:r w:rsidR="00BF0CC0" w:rsidRPr="004A792A">
        <w:rPr>
          <w:lang w:val="en-US"/>
        </w:rPr>
        <w:t>workers (15-64 years) by hours of work for pay or profit in the reference week, number of children under 15 years and age of the youngest child (%), 2016</w:t>
      </w:r>
      <w:bookmarkEnd w:id="74"/>
    </w:p>
    <w:p w14:paraId="77F8C110" w14:textId="77777777" w:rsidR="00F4309D" w:rsidRDefault="00753E97" w:rsidP="00753E97">
      <w:pPr>
        <w:rPr>
          <w:lang w:val="en-US"/>
        </w:rPr>
      </w:pPr>
      <w:r>
        <w:rPr>
          <w:lang w:val="en-US"/>
        </w:rPr>
        <w:t>A) Women</w:t>
      </w:r>
    </w:p>
    <w:p w14:paraId="1D138557" w14:textId="77777777" w:rsidR="00BF0CC0" w:rsidRDefault="00753E97" w:rsidP="00BF0CC0">
      <w:pPr>
        <w:jc w:val="center"/>
        <w:rPr>
          <w:lang w:val="en-US"/>
        </w:rPr>
      </w:pPr>
      <w:r w:rsidRPr="00753E97">
        <w:rPr>
          <w:noProof/>
          <w:lang w:val="ru-RU" w:eastAsia="ru-RU"/>
        </w:rPr>
        <w:lastRenderedPageBreak/>
        <w:drawing>
          <wp:inline distT="0" distB="0" distL="0" distR="0" wp14:anchorId="65AB5F19" wp14:editId="7A6C28A8">
            <wp:extent cx="4902200" cy="2089150"/>
            <wp:effectExtent l="0" t="0" r="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02200" cy="2089150"/>
                    </a:xfrm>
                    <a:prstGeom prst="rect">
                      <a:avLst/>
                    </a:prstGeom>
                    <a:noFill/>
                    <a:ln>
                      <a:noFill/>
                    </a:ln>
                  </pic:spPr>
                </pic:pic>
              </a:graphicData>
            </a:graphic>
          </wp:inline>
        </w:drawing>
      </w:r>
    </w:p>
    <w:p w14:paraId="3FA47743" w14:textId="77777777" w:rsidR="00753E97" w:rsidRDefault="00753E97" w:rsidP="00753E97">
      <w:pPr>
        <w:rPr>
          <w:lang w:val="en-US"/>
        </w:rPr>
      </w:pPr>
      <w:r>
        <w:rPr>
          <w:lang w:val="en-US"/>
        </w:rPr>
        <w:t>B) Men</w:t>
      </w:r>
    </w:p>
    <w:p w14:paraId="23800FE5" w14:textId="77777777" w:rsidR="00753E97" w:rsidRPr="004A792A" w:rsidRDefault="00753E97" w:rsidP="00753E97">
      <w:pPr>
        <w:jc w:val="center"/>
        <w:rPr>
          <w:lang w:val="en-US"/>
        </w:rPr>
      </w:pPr>
      <w:r w:rsidRPr="00753E97">
        <w:rPr>
          <w:noProof/>
          <w:lang w:val="ru-RU" w:eastAsia="ru-RU"/>
        </w:rPr>
        <w:drawing>
          <wp:inline distT="0" distB="0" distL="0" distR="0" wp14:anchorId="2260A86C" wp14:editId="712A0695">
            <wp:extent cx="4902200" cy="208915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02200" cy="2089150"/>
                    </a:xfrm>
                    <a:prstGeom prst="rect">
                      <a:avLst/>
                    </a:prstGeom>
                    <a:noFill/>
                    <a:ln>
                      <a:noFill/>
                    </a:ln>
                  </pic:spPr>
                </pic:pic>
              </a:graphicData>
            </a:graphic>
          </wp:inline>
        </w:drawing>
      </w:r>
    </w:p>
    <w:p w14:paraId="02EE93C5" w14:textId="77777777" w:rsidR="00397ED6" w:rsidRPr="004A792A" w:rsidRDefault="00397ED6" w:rsidP="00756F7B">
      <w:pPr>
        <w:pStyle w:val="61"/>
        <w:shd w:val="clear" w:color="auto" w:fill="auto"/>
        <w:spacing w:before="120" w:line="240" w:lineRule="auto"/>
        <w:jc w:val="both"/>
        <w:rPr>
          <w:i/>
          <w:color w:val="000000"/>
          <w:sz w:val="20"/>
          <w:szCs w:val="20"/>
        </w:rPr>
      </w:pPr>
      <w:r w:rsidRPr="004A792A">
        <w:rPr>
          <w:i/>
          <w:color w:val="000000"/>
          <w:sz w:val="20"/>
          <w:szCs w:val="20"/>
        </w:rPr>
        <w:t>Note: Grouping of working hours is done based on the answer about actual hours worked during the reference week in the main job.</w:t>
      </w:r>
    </w:p>
    <w:p w14:paraId="15A79C4C" w14:textId="43FFCEA3" w:rsidR="00354F7D" w:rsidRPr="004A792A" w:rsidRDefault="004543A4" w:rsidP="00354F7D">
      <w:pPr>
        <w:pStyle w:val="61"/>
        <w:shd w:val="clear" w:color="auto" w:fill="auto"/>
        <w:spacing w:before="120" w:line="240" w:lineRule="auto"/>
        <w:jc w:val="both"/>
        <w:rPr>
          <w:color w:val="000000"/>
          <w:sz w:val="22"/>
          <w:szCs w:val="22"/>
        </w:rPr>
      </w:pPr>
      <w:r w:rsidRPr="004543A4">
        <w:rPr>
          <w:b/>
          <w:color w:val="000000"/>
          <w:sz w:val="22"/>
          <w:szCs w:val="22"/>
        </w:rPr>
        <w:t>When the youngest child reaches the age of 3 years – the age when public kindergartens become more available in Moldova, many mothers working part-time are ready but cannot work more due to a lack of full-time jobs or low demand for their services</w:t>
      </w:r>
      <w:r w:rsidRPr="004543A4">
        <w:rPr>
          <w:color w:val="000000"/>
          <w:sz w:val="22"/>
          <w:szCs w:val="22"/>
        </w:rPr>
        <w:t>.</w:t>
      </w:r>
      <w:r w:rsidRPr="004A792A">
        <w:rPr>
          <w:rStyle w:val="af9"/>
          <w:color w:val="000000"/>
          <w:sz w:val="22"/>
          <w:szCs w:val="22"/>
        </w:rPr>
        <w:footnoteReference w:id="21"/>
      </w:r>
      <w:r w:rsidRPr="004543A4">
        <w:rPr>
          <w:color w:val="000000"/>
          <w:sz w:val="22"/>
          <w:szCs w:val="22"/>
        </w:rPr>
        <w:t xml:space="preserve"> </w:t>
      </w:r>
      <w:r w:rsidR="00A2662E" w:rsidRPr="004543A4">
        <w:rPr>
          <w:color w:val="000000"/>
          <w:sz w:val="22"/>
          <w:szCs w:val="22"/>
        </w:rPr>
        <w:t>T</w:t>
      </w:r>
      <w:r w:rsidR="00354F7D" w:rsidRPr="004543A4">
        <w:rPr>
          <w:color w:val="000000"/>
          <w:sz w:val="22"/>
          <w:szCs w:val="22"/>
        </w:rPr>
        <w:t>he overwhelming majority of mothers of infants (75.5 percent) reported family responsibilities</w:t>
      </w:r>
      <w:r w:rsidR="0071511F" w:rsidRPr="004543A4">
        <w:rPr>
          <w:color w:val="000000"/>
          <w:sz w:val="22"/>
          <w:szCs w:val="22"/>
        </w:rPr>
        <w:t xml:space="preserve"> </w:t>
      </w:r>
      <w:r w:rsidRPr="004543A4">
        <w:rPr>
          <w:color w:val="000000"/>
          <w:sz w:val="22"/>
          <w:szCs w:val="22"/>
        </w:rPr>
        <w:t>being</w:t>
      </w:r>
      <w:r w:rsidR="0071511F" w:rsidRPr="004543A4">
        <w:rPr>
          <w:color w:val="000000"/>
          <w:sz w:val="22"/>
          <w:szCs w:val="22"/>
        </w:rPr>
        <w:t xml:space="preserve"> </w:t>
      </w:r>
      <w:r w:rsidR="00A2662E" w:rsidRPr="004543A4">
        <w:rPr>
          <w:color w:val="000000"/>
          <w:sz w:val="22"/>
          <w:szCs w:val="22"/>
        </w:rPr>
        <w:t>the main reasons for self-reported part-time employment</w:t>
      </w:r>
      <w:r w:rsidRPr="004543A4">
        <w:rPr>
          <w:color w:val="000000"/>
          <w:sz w:val="22"/>
          <w:szCs w:val="22"/>
        </w:rPr>
        <w:t>.</w:t>
      </w:r>
      <w:r w:rsidRPr="004A792A" w:rsidDel="004543A4">
        <w:rPr>
          <w:color w:val="000000"/>
          <w:sz w:val="22"/>
          <w:szCs w:val="22"/>
        </w:rPr>
        <w:t xml:space="preserve"> </w:t>
      </w:r>
      <w:r w:rsidR="0071511F" w:rsidRPr="004A792A">
        <w:rPr>
          <w:color w:val="000000"/>
          <w:sz w:val="22"/>
          <w:szCs w:val="22"/>
        </w:rPr>
        <w:t xml:space="preserve"> </w:t>
      </w:r>
      <w:r w:rsidR="00354F7D" w:rsidRPr="004A792A">
        <w:rPr>
          <w:color w:val="000000"/>
          <w:sz w:val="22"/>
          <w:szCs w:val="22"/>
        </w:rPr>
        <w:t xml:space="preserve">At the same time, mothers of </w:t>
      </w:r>
      <w:r w:rsidR="0071511F" w:rsidRPr="004A792A">
        <w:rPr>
          <w:color w:val="000000"/>
          <w:sz w:val="22"/>
          <w:szCs w:val="22"/>
        </w:rPr>
        <w:t xml:space="preserve">older </w:t>
      </w:r>
      <w:r w:rsidR="00354F7D" w:rsidRPr="004A792A">
        <w:rPr>
          <w:color w:val="000000"/>
          <w:sz w:val="22"/>
          <w:szCs w:val="22"/>
        </w:rPr>
        <w:t xml:space="preserve">children </w:t>
      </w:r>
      <w:r w:rsidR="0071511F" w:rsidRPr="004A792A">
        <w:rPr>
          <w:color w:val="000000"/>
          <w:sz w:val="22"/>
          <w:szCs w:val="22"/>
        </w:rPr>
        <w:t xml:space="preserve">(3 years and above) as well as </w:t>
      </w:r>
      <w:proofErr w:type="spellStart"/>
      <w:r w:rsidR="00354F7D" w:rsidRPr="004A792A">
        <w:rPr>
          <w:color w:val="000000"/>
          <w:sz w:val="22"/>
          <w:szCs w:val="22"/>
        </w:rPr>
        <w:t>nonmothers</w:t>
      </w:r>
      <w:proofErr w:type="spellEnd"/>
      <w:r w:rsidR="00354F7D" w:rsidRPr="004A792A">
        <w:rPr>
          <w:color w:val="000000"/>
          <w:sz w:val="22"/>
          <w:szCs w:val="22"/>
        </w:rPr>
        <w:t xml:space="preserve"> </w:t>
      </w:r>
      <w:r w:rsidR="00E03CF5">
        <w:rPr>
          <w:color w:val="000000"/>
          <w:sz w:val="22"/>
          <w:szCs w:val="22"/>
        </w:rPr>
        <w:t xml:space="preserve">reported that they </w:t>
      </w:r>
      <w:r w:rsidR="00354F7D" w:rsidRPr="004A792A">
        <w:rPr>
          <w:color w:val="000000"/>
          <w:sz w:val="22"/>
          <w:szCs w:val="22"/>
        </w:rPr>
        <w:t>worked part-time predominantly because they were unable to find full-time employment</w:t>
      </w:r>
      <w:r w:rsidR="0071511F" w:rsidRPr="004A792A">
        <w:rPr>
          <w:color w:val="000000"/>
          <w:sz w:val="22"/>
          <w:szCs w:val="22"/>
        </w:rPr>
        <w:t xml:space="preserve">, were transferred to part-time at the employer’s initiative or faced </w:t>
      </w:r>
      <w:r w:rsidR="00A54628" w:rsidRPr="004A792A">
        <w:rPr>
          <w:color w:val="000000"/>
          <w:sz w:val="22"/>
          <w:szCs w:val="22"/>
        </w:rPr>
        <w:t xml:space="preserve">a </w:t>
      </w:r>
      <w:r w:rsidR="0071511F" w:rsidRPr="004A792A">
        <w:rPr>
          <w:color w:val="000000"/>
          <w:sz w:val="22"/>
          <w:szCs w:val="22"/>
        </w:rPr>
        <w:t>lack of customers.</w:t>
      </w:r>
    </w:p>
    <w:p w14:paraId="5A23DE23" w14:textId="47A7236C" w:rsidR="00450E3C" w:rsidRPr="004A792A" w:rsidRDefault="000802C7" w:rsidP="00450E3C">
      <w:pPr>
        <w:pStyle w:val="61"/>
        <w:shd w:val="clear" w:color="auto" w:fill="auto"/>
        <w:spacing w:before="120" w:line="240" w:lineRule="auto"/>
        <w:jc w:val="both"/>
        <w:rPr>
          <w:color w:val="000000"/>
          <w:sz w:val="22"/>
          <w:szCs w:val="22"/>
        </w:rPr>
      </w:pPr>
      <w:r w:rsidRPr="004543A4">
        <w:rPr>
          <w:b/>
          <w:color w:val="000000"/>
          <w:sz w:val="22"/>
          <w:szCs w:val="22"/>
        </w:rPr>
        <w:t xml:space="preserve">There is no clear </w:t>
      </w:r>
      <w:r w:rsidR="00B70A06" w:rsidRPr="004543A4">
        <w:rPr>
          <w:b/>
          <w:color w:val="000000"/>
          <w:sz w:val="22"/>
          <w:szCs w:val="22"/>
        </w:rPr>
        <w:t xml:space="preserve">relationship between </w:t>
      </w:r>
      <w:r w:rsidRPr="004543A4">
        <w:rPr>
          <w:b/>
          <w:color w:val="000000"/>
          <w:sz w:val="22"/>
          <w:szCs w:val="22"/>
        </w:rPr>
        <w:t>the inciden</w:t>
      </w:r>
      <w:r w:rsidR="00B70A06" w:rsidRPr="004543A4">
        <w:rPr>
          <w:b/>
          <w:color w:val="000000"/>
          <w:sz w:val="22"/>
          <w:szCs w:val="22"/>
        </w:rPr>
        <w:t xml:space="preserve">ce of public sector employment and number of </w:t>
      </w:r>
      <w:r w:rsidR="00450E3C" w:rsidRPr="004543A4">
        <w:rPr>
          <w:b/>
          <w:color w:val="000000"/>
          <w:sz w:val="22"/>
          <w:szCs w:val="22"/>
        </w:rPr>
        <w:t>children</w:t>
      </w:r>
      <w:r w:rsidRPr="004543A4">
        <w:rPr>
          <w:b/>
          <w:color w:val="000000"/>
          <w:sz w:val="22"/>
          <w:szCs w:val="22"/>
        </w:rPr>
        <w:t xml:space="preserve"> under 15 years</w:t>
      </w:r>
      <w:r w:rsidRPr="004A792A">
        <w:rPr>
          <w:color w:val="000000"/>
          <w:sz w:val="22"/>
          <w:szCs w:val="22"/>
        </w:rPr>
        <w:t xml:space="preserve"> (</w:t>
      </w:r>
      <w:r w:rsidRPr="004A792A">
        <w:rPr>
          <w:color w:val="000000"/>
          <w:sz w:val="22"/>
          <w:szCs w:val="22"/>
        </w:rPr>
        <w:fldChar w:fldCharType="begin"/>
      </w:r>
      <w:r w:rsidRPr="004A792A">
        <w:rPr>
          <w:color w:val="000000"/>
          <w:sz w:val="22"/>
          <w:szCs w:val="22"/>
        </w:rPr>
        <w:instrText xml:space="preserve"> REF _Ref519281961 \h  \* MERGEFORMAT </w:instrText>
      </w:r>
      <w:r w:rsidRPr="004A792A">
        <w:rPr>
          <w:color w:val="000000"/>
          <w:sz w:val="22"/>
          <w:szCs w:val="22"/>
        </w:rPr>
      </w:r>
      <w:r w:rsidRPr="004A792A">
        <w:rPr>
          <w:color w:val="000000"/>
          <w:sz w:val="22"/>
          <w:szCs w:val="22"/>
        </w:rPr>
        <w:fldChar w:fldCharType="separate"/>
      </w:r>
      <w:r w:rsidR="004543A4" w:rsidRPr="004543A4">
        <w:rPr>
          <w:color w:val="000000"/>
          <w:sz w:val="22"/>
          <w:szCs w:val="22"/>
        </w:rPr>
        <w:t>Figure 20</w:t>
      </w:r>
      <w:r w:rsidRPr="004A792A">
        <w:rPr>
          <w:color w:val="000000"/>
          <w:sz w:val="22"/>
          <w:szCs w:val="22"/>
        </w:rPr>
        <w:fldChar w:fldCharType="end"/>
      </w:r>
      <w:r w:rsidRPr="004A792A">
        <w:rPr>
          <w:color w:val="000000"/>
          <w:sz w:val="22"/>
          <w:szCs w:val="22"/>
        </w:rPr>
        <w:t xml:space="preserve">). However, there is a significant gender gap in all groups of employees categorized by the number of children under </w:t>
      </w:r>
      <w:r w:rsidR="00BF009B">
        <w:rPr>
          <w:color w:val="000000"/>
          <w:sz w:val="22"/>
          <w:szCs w:val="22"/>
        </w:rPr>
        <w:t>15 years</w:t>
      </w:r>
      <w:r w:rsidRPr="004A792A">
        <w:rPr>
          <w:color w:val="000000"/>
          <w:sz w:val="22"/>
          <w:szCs w:val="22"/>
        </w:rPr>
        <w:t>.</w:t>
      </w:r>
      <w:r w:rsidR="00450E3C" w:rsidRPr="004A792A">
        <w:rPr>
          <w:color w:val="000000"/>
          <w:sz w:val="22"/>
          <w:szCs w:val="22"/>
        </w:rPr>
        <w:t xml:space="preserve"> Women often prefer public sector jobs </w:t>
      </w:r>
      <w:r w:rsidRPr="004A792A">
        <w:rPr>
          <w:color w:val="000000"/>
          <w:sz w:val="22"/>
          <w:szCs w:val="22"/>
        </w:rPr>
        <w:t xml:space="preserve">that </w:t>
      </w:r>
      <w:r w:rsidR="00450E3C" w:rsidRPr="004A792A">
        <w:rPr>
          <w:color w:val="000000"/>
          <w:sz w:val="22"/>
          <w:szCs w:val="22"/>
        </w:rPr>
        <w:t xml:space="preserve">guarantee formality and stability </w:t>
      </w:r>
      <w:r w:rsidR="00BA0681">
        <w:rPr>
          <w:color w:val="000000"/>
          <w:sz w:val="22"/>
          <w:szCs w:val="22"/>
        </w:rPr>
        <w:t>that</w:t>
      </w:r>
      <w:r w:rsidR="00BA0681" w:rsidRPr="004A792A">
        <w:rPr>
          <w:color w:val="000000"/>
          <w:sz w:val="22"/>
          <w:szCs w:val="22"/>
        </w:rPr>
        <w:t xml:space="preserve"> </w:t>
      </w:r>
      <w:r w:rsidR="00450E3C" w:rsidRPr="004A792A">
        <w:rPr>
          <w:color w:val="000000"/>
          <w:sz w:val="22"/>
          <w:szCs w:val="22"/>
        </w:rPr>
        <w:t xml:space="preserve">are not always </w:t>
      </w:r>
      <w:r w:rsidR="008C01C2" w:rsidRPr="004A792A">
        <w:rPr>
          <w:color w:val="000000"/>
          <w:sz w:val="22"/>
          <w:szCs w:val="22"/>
        </w:rPr>
        <w:t xml:space="preserve">provided </w:t>
      </w:r>
      <w:r w:rsidR="00450E3C" w:rsidRPr="004A792A">
        <w:rPr>
          <w:color w:val="000000"/>
          <w:sz w:val="22"/>
          <w:szCs w:val="22"/>
        </w:rPr>
        <w:t xml:space="preserve">in the private sector. </w:t>
      </w:r>
      <w:r w:rsidRPr="004A792A">
        <w:rPr>
          <w:color w:val="000000"/>
          <w:sz w:val="22"/>
          <w:szCs w:val="22"/>
        </w:rPr>
        <w:t>P</w:t>
      </w:r>
      <w:r w:rsidR="00450E3C" w:rsidRPr="004A792A">
        <w:rPr>
          <w:color w:val="000000"/>
          <w:sz w:val="22"/>
          <w:szCs w:val="22"/>
        </w:rPr>
        <w:t xml:space="preserve">ublic sector jobs </w:t>
      </w:r>
      <w:r w:rsidRPr="004A792A">
        <w:rPr>
          <w:color w:val="000000"/>
          <w:sz w:val="22"/>
          <w:szCs w:val="22"/>
        </w:rPr>
        <w:t xml:space="preserve">attract </w:t>
      </w:r>
      <w:r w:rsidR="008C01C2" w:rsidRPr="004A792A">
        <w:rPr>
          <w:color w:val="000000"/>
          <w:sz w:val="22"/>
          <w:szCs w:val="22"/>
        </w:rPr>
        <w:t xml:space="preserve">more </w:t>
      </w:r>
      <w:r w:rsidRPr="004A792A">
        <w:rPr>
          <w:color w:val="000000"/>
          <w:sz w:val="22"/>
          <w:szCs w:val="22"/>
        </w:rPr>
        <w:t xml:space="preserve">women because of </w:t>
      </w:r>
      <w:r w:rsidR="00450E3C" w:rsidRPr="004A792A">
        <w:rPr>
          <w:color w:val="000000"/>
          <w:sz w:val="22"/>
          <w:szCs w:val="22"/>
        </w:rPr>
        <w:t xml:space="preserve">more flexible working hours, especially in education, health and social care, allowing women to combine paid work with family responsibilities (World Bank, 2014). Besides, provisions of the Labor Code about maternity leave and protection of women with children are more strictly followed in the public sector than in the private sector. At the same time, </w:t>
      </w:r>
      <w:r w:rsidR="00450E3C" w:rsidRPr="004A792A">
        <w:rPr>
          <w:color w:val="000000"/>
          <w:sz w:val="22"/>
          <w:szCs w:val="22"/>
        </w:rPr>
        <w:lastRenderedPageBreak/>
        <w:t>managers of public companies and organizations are less likely to discriminate in hiring and firing against women than employers in the private sector.</w:t>
      </w:r>
      <w:r w:rsidR="00B70A06">
        <w:rPr>
          <w:color w:val="000000"/>
          <w:sz w:val="22"/>
          <w:szCs w:val="22"/>
        </w:rPr>
        <w:t xml:space="preserve"> </w:t>
      </w:r>
    </w:p>
    <w:p w14:paraId="2D0DBCFB" w14:textId="7206C8C3" w:rsidR="00052413" w:rsidRPr="004A792A" w:rsidRDefault="00052413" w:rsidP="00450E3C">
      <w:pPr>
        <w:pStyle w:val="ad"/>
        <w:spacing w:before="240" w:after="0"/>
        <w:jc w:val="left"/>
        <w:rPr>
          <w:color w:val="000000"/>
          <w:szCs w:val="22"/>
          <w:lang w:val="en-US"/>
        </w:rPr>
      </w:pPr>
      <w:bookmarkStart w:id="75" w:name="_Ref519281961"/>
      <w:bookmarkStart w:id="76" w:name="_Toc533211776"/>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20</w:t>
      </w:r>
      <w:r w:rsidRPr="004A792A">
        <w:rPr>
          <w:lang w:val="en-US"/>
        </w:rPr>
        <w:fldChar w:fldCharType="end"/>
      </w:r>
      <w:bookmarkEnd w:id="75"/>
      <w:r w:rsidRPr="004A792A">
        <w:rPr>
          <w:lang w:val="en-US"/>
        </w:rPr>
        <w:t xml:space="preserve">: Incidence of </w:t>
      </w:r>
      <w:r w:rsidR="00450E3C" w:rsidRPr="004A792A">
        <w:rPr>
          <w:lang w:val="en-US"/>
        </w:rPr>
        <w:t xml:space="preserve">public sector </w:t>
      </w:r>
      <w:r w:rsidRPr="004A792A">
        <w:rPr>
          <w:lang w:val="en-US"/>
        </w:rPr>
        <w:t>wage employment by gender and number of children under 15 years (%), 2016</w:t>
      </w:r>
      <w:bookmarkEnd w:id="76"/>
    </w:p>
    <w:p w14:paraId="0317C1FA" w14:textId="77777777" w:rsidR="00052413" w:rsidRPr="004A792A" w:rsidRDefault="00052413" w:rsidP="00052413">
      <w:pPr>
        <w:pStyle w:val="61"/>
        <w:shd w:val="clear" w:color="auto" w:fill="auto"/>
        <w:spacing w:before="120" w:line="240" w:lineRule="auto"/>
        <w:jc w:val="center"/>
        <w:rPr>
          <w:color w:val="000000"/>
          <w:sz w:val="22"/>
          <w:szCs w:val="22"/>
        </w:rPr>
      </w:pPr>
      <w:r w:rsidRPr="004A792A">
        <w:rPr>
          <w:noProof/>
          <w:lang w:val="ru-RU" w:eastAsia="ru-RU"/>
        </w:rPr>
        <w:drawing>
          <wp:inline distT="0" distB="0" distL="0" distR="0" wp14:anchorId="744B69AD" wp14:editId="0C221341">
            <wp:extent cx="4578350" cy="17373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8350" cy="1737360"/>
                    </a:xfrm>
                    <a:prstGeom prst="rect">
                      <a:avLst/>
                    </a:prstGeom>
                    <a:noFill/>
                    <a:ln>
                      <a:noFill/>
                    </a:ln>
                  </pic:spPr>
                </pic:pic>
              </a:graphicData>
            </a:graphic>
          </wp:inline>
        </w:drawing>
      </w:r>
    </w:p>
    <w:p w14:paraId="417950AA" w14:textId="77777777" w:rsidR="00052413" w:rsidRPr="004A792A" w:rsidRDefault="00052413" w:rsidP="00052413">
      <w:pPr>
        <w:pStyle w:val="61"/>
        <w:shd w:val="clear" w:color="auto" w:fill="auto"/>
        <w:spacing w:before="120" w:line="240" w:lineRule="auto"/>
        <w:jc w:val="both"/>
        <w:rPr>
          <w:i/>
          <w:color w:val="000000"/>
          <w:sz w:val="20"/>
          <w:szCs w:val="20"/>
        </w:rPr>
      </w:pPr>
      <w:r w:rsidRPr="004A792A">
        <w:rPr>
          <w:i/>
          <w:color w:val="000000"/>
          <w:sz w:val="20"/>
          <w:szCs w:val="20"/>
        </w:rPr>
        <w:t>Note: Employees aged 15-64 years. Information about public sector is based on the answers of employees about the ownership type of the establishment where they worked.</w:t>
      </w:r>
    </w:p>
    <w:p w14:paraId="60AABDE0" w14:textId="443FE8B3" w:rsidR="00EA5CD3" w:rsidRPr="004A792A" w:rsidRDefault="005376C9" w:rsidP="00EA5CD3">
      <w:pPr>
        <w:pStyle w:val="61"/>
        <w:shd w:val="clear" w:color="auto" w:fill="auto"/>
        <w:spacing w:before="120" w:line="240" w:lineRule="auto"/>
        <w:jc w:val="both"/>
        <w:rPr>
          <w:color w:val="000000"/>
          <w:sz w:val="22"/>
          <w:szCs w:val="22"/>
        </w:rPr>
      </w:pPr>
      <w:r w:rsidRPr="004543A4">
        <w:rPr>
          <w:b/>
          <w:color w:val="000000"/>
          <w:sz w:val="22"/>
          <w:szCs w:val="22"/>
        </w:rPr>
        <w:t>The expectation of long working hours in some male-dominated jobs</w:t>
      </w:r>
      <w:r w:rsidR="00747A31" w:rsidRPr="004543A4">
        <w:rPr>
          <w:b/>
          <w:color w:val="000000"/>
          <w:sz w:val="22"/>
          <w:szCs w:val="22"/>
        </w:rPr>
        <w:t>, on the one hand,</w:t>
      </w:r>
      <w:r w:rsidRPr="004543A4">
        <w:rPr>
          <w:b/>
          <w:color w:val="000000"/>
          <w:sz w:val="22"/>
          <w:szCs w:val="22"/>
        </w:rPr>
        <w:t xml:space="preserve"> and </w:t>
      </w:r>
      <w:r w:rsidR="00747A31" w:rsidRPr="004543A4">
        <w:rPr>
          <w:b/>
          <w:color w:val="000000"/>
          <w:sz w:val="22"/>
          <w:szCs w:val="22"/>
        </w:rPr>
        <w:t xml:space="preserve">presence of </w:t>
      </w:r>
      <w:r w:rsidRPr="004543A4">
        <w:rPr>
          <w:b/>
          <w:color w:val="000000"/>
          <w:sz w:val="22"/>
          <w:szCs w:val="22"/>
        </w:rPr>
        <w:t xml:space="preserve">valuable family amenities in female-dominated </w:t>
      </w:r>
      <w:r w:rsidR="00747A31" w:rsidRPr="004543A4">
        <w:rPr>
          <w:b/>
          <w:color w:val="000000"/>
          <w:sz w:val="22"/>
          <w:szCs w:val="22"/>
        </w:rPr>
        <w:t xml:space="preserve">and mixed </w:t>
      </w:r>
      <w:r w:rsidRPr="004543A4">
        <w:rPr>
          <w:b/>
          <w:color w:val="000000"/>
          <w:sz w:val="22"/>
          <w:szCs w:val="22"/>
        </w:rPr>
        <w:t>jobs</w:t>
      </w:r>
      <w:r w:rsidR="00747A31" w:rsidRPr="004543A4">
        <w:rPr>
          <w:b/>
          <w:color w:val="000000"/>
          <w:sz w:val="22"/>
          <w:szCs w:val="22"/>
        </w:rPr>
        <w:t xml:space="preserve">, on the other hand, may </w:t>
      </w:r>
      <w:r w:rsidRPr="004543A4">
        <w:rPr>
          <w:b/>
          <w:color w:val="000000"/>
          <w:sz w:val="22"/>
          <w:szCs w:val="22"/>
        </w:rPr>
        <w:t>contribute to occupational segregation</w:t>
      </w:r>
      <w:r w:rsidR="00747A31" w:rsidRPr="004543A4">
        <w:rPr>
          <w:b/>
          <w:color w:val="000000"/>
          <w:sz w:val="22"/>
          <w:szCs w:val="22"/>
        </w:rPr>
        <w:t>, especially among women with children</w:t>
      </w:r>
      <w:r w:rsidR="00747A31" w:rsidRPr="004A792A">
        <w:rPr>
          <w:color w:val="000000"/>
          <w:sz w:val="22"/>
          <w:szCs w:val="22"/>
        </w:rPr>
        <w:t xml:space="preserve">. </w:t>
      </w:r>
      <w:r w:rsidR="00527056" w:rsidRPr="004A792A">
        <w:rPr>
          <w:color w:val="000000"/>
          <w:sz w:val="22"/>
          <w:szCs w:val="22"/>
        </w:rPr>
        <w:fldChar w:fldCharType="begin"/>
      </w:r>
      <w:r w:rsidR="00527056" w:rsidRPr="004A792A">
        <w:rPr>
          <w:color w:val="000000"/>
          <w:sz w:val="22"/>
          <w:szCs w:val="22"/>
        </w:rPr>
        <w:instrText xml:space="preserve"> REF _Ref519284677 \h  \* MERGEFORMAT </w:instrText>
      </w:r>
      <w:r w:rsidR="00527056" w:rsidRPr="004A792A">
        <w:rPr>
          <w:color w:val="000000"/>
          <w:sz w:val="22"/>
          <w:szCs w:val="22"/>
        </w:rPr>
      </w:r>
      <w:r w:rsidR="00527056" w:rsidRPr="004A792A">
        <w:rPr>
          <w:color w:val="000000"/>
          <w:sz w:val="22"/>
          <w:szCs w:val="22"/>
        </w:rPr>
        <w:fldChar w:fldCharType="separate"/>
      </w:r>
      <w:r w:rsidR="004543A4" w:rsidRPr="004543A4">
        <w:rPr>
          <w:color w:val="000000"/>
          <w:sz w:val="22"/>
          <w:szCs w:val="22"/>
        </w:rPr>
        <w:t>Figure 21</w:t>
      </w:r>
      <w:r w:rsidR="00527056" w:rsidRPr="004A792A">
        <w:rPr>
          <w:color w:val="000000"/>
          <w:sz w:val="22"/>
          <w:szCs w:val="22"/>
        </w:rPr>
        <w:fldChar w:fldCharType="end"/>
      </w:r>
      <w:r w:rsidR="00527056" w:rsidRPr="004A792A">
        <w:rPr>
          <w:color w:val="000000"/>
          <w:sz w:val="22"/>
          <w:szCs w:val="22"/>
        </w:rPr>
        <w:t xml:space="preserve"> </w:t>
      </w:r>
      <w:r w:rsidR="00135F4A">
        <w:rPr>
          <w:color w:val="000000"/>
          <w:sz w:val="22"/>
          <w:szCs w:val="22"/>
        </w:rPr>
        <w:t xml:space="preserve">(Panel A) </w:t>
      </w:r>
      <w:r w:rsidR="00527056" w:rsidRPr="004A792A">
        <w:rPr>
          <w:color w:val="000000"/>
          <w:sz w:val="22"/>
          <w:szCs w:val="22"/>
        </w:rPr>
        <w:t xml:space="preserve">reveals that the difference between employed mothers of </w:t>
      </w:r>
      <w:r w:rsidR="00595F81" w:rsidRPr="004A792A">
        <w:rPr>
          <w:color w:val="000000"/>
          <w:sz w:val="22"/>
          <w:szCs w:val="22"/>
        </w:rPr>
        <w:t xml:space="preserve">children of different age </w:t>
      </w:r>
      <w:r w:rsidR="00527056" w:rsidRPr="004A792A">
        <w:rPr>
          <w:color w:val="000000"/>
          <w:sz w:val="22"/>
          <w:szCs w:val="22"/>
        </w:rPr>
        <w:t xml:space="preserve">is not so much in the share of </w:t>
      </w:r>
      <w:r w:rsidRPr="004A792A">
        <w:rPr>
          <w:color w:val="000000"/>
          <w:sz w:val="22"/>
          <w:szCs w:val="22"/>
        </w:rPr>
        <w:t xml:space="preserve">women </w:t>
      </w:r>
      <w:r w:rsidR="00527056" w:rsidRPr="004A792A">
        <w:rPr>
          <w:color w:val="000000"/>
          <w:sz w:val="22"/>
          <w:szCs w:val="22"/>
        </w:rPr>
        <w:t>working in male-dominated jobs as in the share of mixed jobs</w:t>
      </w:r>
      <w:r w:rsidR="009F2B03" w:rsidRPr="004A792A">
        <w:rPr>
          <w:color w:val="000000"/>
          <w:sz w:val="22"/>
          <w:szCs w:val="22"/>
        </w:rPr>
        <w:t>.</w:t>
      </w:r>
      <w:r w:rsidR="00527056" w:rsidRPr="004A792A">
        <w:rPr>
          <w:color w:val="000000"/>
          <w:sz w:val="22"/>
          <w:szCs w:val="22"/>
        </w:rPr>
        <w:t xml:space="preserve"> </w:t>
      </w:r>
      <w:r w:rsidR="009F2B03" w:rsidRPr="004A792A">
        <w:rPr>
          <w:color w:val="000000"/>
          <w:sz w:val="22"/>
          <w:szCs w:val="22"/>
        </w:rPr>
        <w:t>T</w:t>
      </w:r>
      <w:r w:rsidR="006E07E0" w:rsidRPr="004A792A">
        <w:rPr>
          <w:color w:val="000000"/>
          <w:sz w:val="22"/>
          <w:szCs w:val="22"/>
        </w:rPr>
        <w:t xml:space="preserve">he majority of </w:t>
      </w:r>
      <w:r w:rsidR="00527056" w:rsidRPr="004A792A">
        <w:rPr>
          <w:color w:val="000000"/>
          <w:sz w:val="22"/>
          <w:szCs w:val="22"/>
        </w:rPr>
        <w:t xml:space="preserve">women with 3 and more children </w:t>
      </w:r>
      <w:r w:rsidR="00E03CF5">
        <w:rPr>
          <w:color w:val="000000"/>
          <w:sz w:val="22"/>
          <w:szCs w:val="22"/>
        </w:rPr>
        <w:t xml:space="preserve">under 15 years </w:t>
      </w:r>
      <w:r w:rsidRPr="004A792A">
        <w:rPr>
          <w:color w:val="000000"/>
          <w:sz w:val="22"/>
          <w:szCs w:val="22"/>
        </w:rPr>
        <w:t xml:space="preserve">select into </w:t>
      </w:r>
      <w:r w:rsidR="006E07E0" w:rsidRPr="004A792A">
        <w:rPr>
          <w:color w:val="000000"/>
          <w:sz w:val="22"/>
          <w:szCs w:val="22"/>
        </w:rPr>
        <w:t>mixed occupations</w:t>
      </w:r>
      <w:r w:rsidR="00E03CF5">
        <w:rPr>
          <w:color w:val="000000"/>
          <w:sz w:val="22"/>
          <w:szCs w:val="22"/>
        </w:rPr>
        <w:t xml:space="preserve"> </w:t>
      </w:r>
      <w:r w:rsidR="006E07E0" w:rsidRPr="004A792A">
        <w:rPr>
          <w:color w:val="000000"/>
          <w:sz w:val="22"/>
          <w:szCs w:val="22"/>
        </w:rPr>
        <w:t xml:space="preserve">while </w:t>
      </w:r>
      <w:r w:rsidR="008E0D78" w:rsidRPr="004A792A">
        <w:rPr>
          <w:color w:val="000000"/>
          <w:sz w:val="22"/>
          <w:szCs w:val="22"/>
        </w:rPr>
        <w:t xml:space="preserve">women </w:t>
      </w:r>
      <w:r w:rsidR="006E07E0" w:rsidRPr="004A792A">
        <w:rPr>
          <w:color w:val="000000"/>
          <w:sz w:val="22"/>
          <w:szCs w:val="22"/>
        </w:rPr>
        <w:t xml:space="preserve">in </w:t>
      </w:r>
      <w:r w:rsidR="00595F81" w:rsidRPr="004A792A">
        <w:rPr>
          <w:color w:val="000000"/>
          <w:sz w:val="22"/>
          <w:szCs w:val="22"/>
        </w:rPr>
        <w:t xml:space="preserve">the </w:t>
      </w:r>
      <w:r w:rsidR="006E07E0" w:rsidRPr="004A792A">
        <w:rPr>
          <w:color w:val="000000"/>
          <w:sz w:val="22"/>
          <w:szCs w:val="22"/>
        </w:rPr>
        <w:t>other categories predominantly work in female-dominated occupations.</w:t>
      </w:r>
      <w:r w:rsidR="00EA5CD3">
        <w:rPr>
          <w:color w:val="000000"/>
          <w:sz w:val="22"/>
          <w:szCs w:val="22"/>
        </w:rPr>
        <w:t xml:space="preserve"> </w:t>
      </w:r>
      <w:r w:rsidR="00EA5CD3" w:rsidRPr="008E082A">
        <w:rPr>
          <w:color w:val="000000"/>
          <w:sz w:val="22"/>
          <w:szCs w:val="22"/>
        </w:rPr>
        <w:t>A closer look at mixed occupations that employed nearly 90 percent of mothers of 3 and more children in 2016 – Subsistence mixed crop and livestock farmers, Mixed crop and animal producers, Agricultural, forestry and fishery laborers, and Market gardeners and crop growers – supports our previous findings that working mothers of 3 and more children under 15 years predominantly live in rural areas and they have no other choice but to work in agriculture to sustain their young children. The same argument can be used to explain why employment of fathers of 3 and more children under 15 years is so biased towards mixed occupations (</w:t>
      </w:r>
      <w:r w:rsidR="00EA5CD3" w:rsidRPr="008E082A">
        <w:rPr>
          <w:color w:val="000000"/>
          <w:sz w:val="22"/>
          <w:szCs w:val="22"/>
        </w:rPr>
        <w:fldChar w:fldCharType="begin"/>
      </w:r>
      <w:r w:rsidR="00EA5CD3" w:rsidRPr="008E082A">
        <w:rPr>
          <w:color w:val="000000"/>
          <w:sz w:val="22"/>
          <w:szCs w:val="22"/>
        </w:rPr>
        <w:instrText xml:space="preserve"> REF _Ref519284677 \h  \* MERGEFORMAT </w:instrText>
      </w:r>
      <w:r w:rsidR="00EA5CD3" w:rsidRPr="008E082A">
        <w:rPr>
          <w:color w:val="000000"/>
          <w:sz w:val="22"/>
          <w:szCs w:val="22"/>
        </w:rPr>
      </w:r>
      <w:r w:rsidR="00EA5CD3" w:rsidRPr="008E082A">
        <w:rPr>
          <w:color w:val="000000"/>
          <w:sz w:val="22"/>
          <w:szCs w:val="22"/>
        </w:rPr>
        <w:fldChar w:fldCharType="separate"/>
      </w:r>
      <w:r w:rsidR="00EA5CD3" w:rsidRPr="004543A4">
        <w:rPr>
          <w:color w:val="000000"/>
          <w:sz w:val="22"/>
          <w:szCs w:val="22"/>
        </w:rPr>
        <w:t>Figure 21</w:t>
      </w:r>
      <w:r w:rsidR="00EA5CD3" w:rsidRPr="008E082A">
        <w:rPr>
          <w:color w:val="000000"/>
          <w:sz w:val="22"/>
          <w:szCs w:val="22"/>
        </w:rPr>
        <w:fldChar w:fldCharType="end"/>
      </w:r>
      <w:r w:rsidR="00EA5CD3" w:rsidRPr="008E082A">
        <w:rPr>
          <w:color w:val="000000"/>
          <w:sz w:val="22"/>
          <w:szCs w:val="22"/>
        </w:rPr>
        <w:t>, Panel B).</w:t>
      </w:r>
    </w:p>
    <w:p w14:paraId="4DC66EE2" w14:textId="62CEEF05" w:rsidR="00FC4A08" w:rsidRDefault="001A3B23" w:rsidP="006E07E0">
      <w:pPr>
        <w:pStyle w:val="ad"/>
        <w:spacing w:before="240" w:after="0"/>
        <w:jc w:val="left"/>
        <w:rPr>
          <w:lang w:val="en-US"/>
        </w:rPr>
      </w:pPr>
      <w:bookmarkStart w:id="77" w:name="_Ref519284677"/>
      <w:bookmarkStart w:id="78" w:name="_Toc533211777"/>
      <w:r w:rsidRPr="008E082A">
        <w:rPr>
          <w:lang w:val="en-US"/>
        </w:rPr>
        <w:t xml:space="preserve">Figure </w:t>
      </w:r>
      <w:r w:rsidRPr="008E082A">
        <w:rPr>
          <w:lang w:val="en-US"/>
        </w:rPr>
        <w:fldChar w:fldCharType="begin"/>
      </w:r>
      <w:r w:rsidRPr="008E082A">
        <w:rPr>
          <w:lang w:val="en-US"/>
        </w:rPr>
        <w:instrText xml:space="preserve"> SEQ Figure \* ARABIC </w:instrText>
      </w:r>
      <w:r w:rsidRPr="008E082A">
        <w:rPr>
          <w:lang w:val="en-US"/>
        </w:rPr>
        <w:fldChar w:fldCharType="separate"/>
      </w:r>
      <w:r w:rsidR="007F56F7">
        <w:rPr>
          <w:noProof/>
          <w:lang w:val="en-US"/>
        </w:rPr>
        <w:t>21</w:t>
      </w:r>
      <w:r w:rsidRPr="008E082A">
        <w:rPr>
          <w:lang w:val="en-US"/>
        </w:rPr>
        <w:fldChar w:fldCharType="end"/>
      </w:r>
      <w:bookmarkEnd w:id="77"/>
      <w:r w:rsidRPr="008E082A">
        <w:rPr>
          <w:lang w:val="en-US"/>
        </w:rPr>
        <w:t xml:space="preserve">: Female </w:t>
      </w:r>
      <w:r w:rsidR="00D152E7" w:rsidRPr="008E082A">
        <w:rPr>
          <w:lang w:val="en-US"/>
        </w:rPr>
        <w:t xml:space="preserve">and male </w:t>
      </w:r>
      <w:r w:rsidRPr="008E082A">
        <w:rPr>
          <w:lang w:val="en-US"/>
        </w:rPr>
        <w:t>workers</w:t>
      </w:r>
      <w:r w:rsidRPr="004A792A">
        <w:rPr>
          <w:lang w:val="en-US"/>
        </w:rPr>
        <w:t xml:space="preserve"> (15-64 years) by type of occupation, number of children under 15 years and age of the youngest child (%), 2016</w:t>
      </w:r>
      <w:bookmarkEnd w:id="78"/>
    </w:p>
    <w:p w14:paraId="5098A1BA" w14:textId="77777777" w:rsidR="00D152E7" w:rsidRPr="00D152E7" w:rsidRDefault="00D152E7" w:rsidP="00D152E7">
      <w:pPr>
        <w:rPr>
          <w:lang w:val="en-US"/>
        </w:rPr>
      </w:pPr>
      <w:r>
        <w:rPr>
          <w:lang w:val="en-US"/>
        </w:rPr>
        <w:t>A) Women</w:t>
      </w:r>
    </w:p>
    <w:p w14:paraId="0A813D4E" w14:textId="77777777" w:rsidR="001A3B23" w:rsidRDefault="008D62B0" w:rsidP="001A3B23">
      <w:pPr>
        <w:pStyle w:val="61"/>
        <w:shd w:val="clear" w:color="auto" w:fill="auto"/>
        <w:spacing w:before="120" w:line="240" w:lineRule="auto"/>
        <w:jc w:val="center"/>
        <w:rPr>
          <w:color w:val="000000"/>
          <w:sz w:val="22"/>
          <w:szCs w:val="22"/>
        </w:rPr>
      </w:pPr>
      <w:r w:rsidRPr="008D62B0">
        <w:rPr>
          <w:noProof/>
          <w:lang w:val="ru-RU" w:eastAsia="ru-RU"/>
        </w:rPr>
        <w:drawing>
          <wp:inline distT="0" distB="0" distL="0" distR="0" wp14:anchorId="12494C67" wp14:editId="2104D034">
            <wp:extent cx="5003800" cy="21082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03800" cy="2108200"/>
                    </a:xfrm>
                    <a:prstGeom prst="rect">
                      <a:avLst/>
                    </a:prstGeom>
                    <a:noFill/>
                    <a:ln>
                      <a:noFill/>
                    </a:ln>
                  </pic:spPr>
                </pic:pic>
              </a:graphicData>
            </a:graphic>
          </wp:inline>
        </w:drawing>
      </w:r>
    </w:p>
    <w:p w14:paraId="7AB1E140" w14:textId="77777777" w:rsidR="00D152E7" w:rsidRPr="00D152E7" w:rsidRDefault="00D152E7" w:rsidP="00D152E7">
      <w:pPr>
        <w:rPr>
          <w:lang w:val="en-US"/>
        </w:rPr>
      </w:pPr>
      <w:r w:rsidRPr="008E082A">
        <w:rPr>
          <w:lang w:val="en-US"/>
        </w:rPr>
        <w:t>B) Men</w:t>
      </w:r>
    </w:p>
    <w:p w14:paraId="151B5DBF" w14:textId="77777777" w:rsidR="00D152E7" w:rsidRPr="004A792A" w:rsidRDefault="008D62B0" w:rsidP="001A3B23">
      <w:pPr>
        <w:pStyle w:val="61"/>
        <w:shd w:val="clear" w:color="auto" w:fill="auto"/>
        <w:spacing w:before="120" w:line="240" w:lineRule="auto"/>
        <w:jc w:val="center"/>
        <w:rPr>
          <w:color w:val="000000"/>
          <w:sz w:val="22"/>
          <w:szCs w:val="22"/>
        </w:rPr>
      </w:pPr>
      <w:r w:rsidRPr="008D62B0">
        <w:rPr>
          <w:noProof/>
          <w:lang w:val="ru-RU" w:eastAsia="ru-RU"/>
        </w:rPr>
        <w:lastRenderedPageBreak/>
        <w:drawing>
          <wp:inline distT="0" distB="0" distL="0" distR="0" wp14:anchorId="50B42AFD" wp14:editId="2AE20C6B">
            <wp:extent cx="5003800" cy="21082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03800" cy="2108200"/>
                    </a:xfrm>
                    <a:prstGeom prst="rect">
                      <a:avLst/>
                    </a:prstGeom>
                    <a:noFill/>
                    <a:ln>
                      <a:noFill/>
                    </a:ln>
                  </pic:spPr>
                </pic:pic>
              </a:graphicData>
            </a:graphic>
          </wp:inline>
        </w:drawing>
      </w:r>
    </w:p>
    <w:p w14:paraId="55E827DA" w14:textId="77777777" w:rsidR="006C66AD" w:rsidRPr="004A792A" w:rsidRDefault="006C66AD" w:rsidP="006C66AD">
      <w:pPr>
        <w:pStyle w:val="61"/>
        <w:shd w:val="clear" w:color="auto" w:fill="auto"/>
        <w:spacing w:before="120" w:line="240" w:lineRule="auto"/>
        <w:jc w:val="both"/>
        <w:rPr>
          <w:i/>
          <w:color w:val="000000"/>
          <w:sz w:val="20"/>
          <w:szCs w:val="20"/>
        </w:rPr>
      </w:pPr>
      <w:r w:rsidRPr="004A792A">
        <w:rPr>
          <w:i/>
          <w:color w:val="000000"/>
          <w:sz w:val="20"/>
          <w:szCs w:val="20"/>
        </w:rPr>
        <w:t xml:space="preserve">Note: An occupation is defined as female-dominated if the average share of women employed in this occupation in 2014-2016 was 60 percent or more; an occupation is defined as male-dominated if the average share of women employed in this occupation in 2014-2016 was 40 percent or less; an occupation with female share between 40 and 60 percent is classified as mixed. Classification here is based on 2-digit </w:t>
      </w:r>
      <w:r w:rsidR="00971D32" w:rsidRPr="004A792A">
        <w:rPr>
          <w:i/>
          <w:color w:val="000000"/>
          <w:sz w:val="20"/>
          <w:szCs w:val="20"/>
        </w:rPr>
        <w:t xml:space="preserve">ISCO </w:t>
      </w:r>
      <w:r w:rsidRPr="004A792A">
        <w:rPr>
          <w:i/>
          <w:color w:val="000000"/>
          <w:sz w:val="20"/>
          <w:szCs w:val="20"/>
        </w:rPr>
        <w:t>occupations.</w:t>
      </w:r>
    </w:p>
    <w:p w14:paraId="464DAA44" w14:textId="77777777" w:rsidR="00BA0681" w:rsidRDefault="00BA0681" w:rsidP="006C66AD">
      <w:pPr>
        <w:pStyle w:val="61"/>
        <w:shd w:val="clear" w:color="auto" w:fill="auto"/>
        <w:spacing w:before="120" w:line="240" w:lineRule="auto"/>
        <w:jc w:val="both"/>
        <w:rPr>
          <w:color w:val="000000"/>
          <w:sz w:val="22"/>
          <w:szCs w:val="22"/>
        </w:rPr>
      </w:pPr>
    </w:p>
    <w:p w14:paraId="3C538F5C" w14:textId="178FF146" w:rsidR="00EC4BC6" w:rsidRPr="004A792A" w:rsidRDefault="00EC4BC6" w:rsidP="00EC4BC6">
      <w:pPr>
        <w:pStyle w:val="Headingoverview"/>
        <w:rPr>
          <w:color w:val="0070C0"/>
        </w:rPr>
      </w:pPr>
      <w:bookmarkStart w:id="79" w:name="_Toc533211739"/>
      <w:r w:rsidRPr="004A792A">
        <w:rPr>
          <w:color w:val="0070C0"/>
        </w:rPr>
        <w:lastRenderedPageBreak/>
        <w:t xml:space="preserve">4. Gender </w:t>
      </w:r>
      <w:r w:rsidR="00194212" w:rsidRPr="004A792A">
        <w:rPr>
          <w:color w:val="0070C0"/>
        </w:rPr>
        <w:t>pay</w:t>
      </w:r>
      <w:r w:rsidRPr="004A792A">
        <w:rPr>
          <w:color w:val="0070C0"/>
        </w:rPr>
        <w:t xml:space="preserve"> gap</w:t>
      </w:r>
      <w:r w:rsidR="00881DE0" w:rsidRPr="004A792A">
        <w:rPr>
          <w:color w:val="0070C0"/>
        </w:rPr>
        <w:t xml:space="preserve"> and </w:t>
      </w:r>
      <w:r w:rsidR="00471712">
        <w:rPr>
          <w:color w:val="0070C0"/>
        </w:rPr>
        <w:t>parenthood</w:t>
      </w:r>
      <w:r w:rsidR="00881DE0" w:rsidRPr="004A792A">
        <w:rPr>
          <w:color w:val="0070C0"/>
        </w:rPr>
        <w:t xml:space="preserve"> wage penalty</w:t>
      </w:r>
      <w:r w:rsidR="00884035">
        <w:rPr>
          <w:rStyle w:val="af9"/>
          <w:color w:val="0070C0"/>
        </w:rPr>
        <w:footnoteReference w:id="22"/>
      </w:r>
      <w:bookmarkEnd w:id="79"/>
    </w:p>
    <w:p w14:paraId="7EDACF33" w14:textId="77777777" w:rsidR="00EA381D" w:rsidRPr="004A792A" w:rsidRDefault="00EA381D" w:rsidP="00EA381D">
      <w:pPr>
        <w:pStyle w:val="2"/>
        <w:numPr>
          <w:ilvl w:val="0"/>
          <w:numId w:val="0"/>
        </w:numPr>
        <w:spacing w:before="360"/>
        <w:rPr>
          <w:color w:val="0070C0"/>
          <w:sz w:val="32"/>
          <w:szCs w:val="32"/>
        </w:rPr>
      </w:pPr>
      <w:bookmarkStart w:id="80" w:name="_Toc533211740"/>
      <w:r w:rsidRPr="004A792A">
        <w:rPr>
          <w:color w:val="0070C0"/>
          <w:sz w:val="32"/>
          <w:szCs w:val="32"/>
        </w:rPr>
        <w:t xml:space="preserve">4.1. </w:t>
      </w:r>
      <w:r w:rsidR="00BB2790" w:rsidRPr="004A792A">
        <w:rPr>
          <w:color w:val="0070C0"/>
          <w:sz w:val="32"/>
          <w:szCs w:val="32"/>
        </w:rPr>
        <w:t>Levels and t</w:t>
      </w:r>
      <w:r w:rsidRPr="004A792A">
        <w:rPr>
          <w:color w:val="0070C0"/>
          <w:sz w:val="32"/>
          <w:szCs w:val="32"/>
        </w:rPr>
        <w:t xml:space="preserve">rends in the </w:t>
      </w:r>
      <w:r w:rsidR="002E3B86" w:rsidRPr="004A792A">
        <w:rPr>
          <w:color w:val="0070C0"/>
          <w:sz w:val="32"/>
          <w:szCs w:val="32"/>
        </w:rPr>
        <w:t xml:space="preserve">unadjusted </w:t>
      </w:r>
      <w:r w:rsidRPr="004A792A">
        <w:rPr>
          <w:color w:val="0070C0"/>
          <w:sz w:val="32"/>
          <w:szCs w:val="32"/>
        </w:rPr>
        <w:t xml:space="preserve">gender </w:t>
      </w:r>
      <w:r w:rsidR="002E3B86" w:rsidRPr="004A792A">
        <w:rPr>
          <w:color w:val="0070C0"/>
          <w:sz w:val="32"/>
          <w:szCs w:val="32"/>
        </w:rPr>
        <w:t>pay</w:t>
      </w:r>
      <w:r w:rsidRPr="004A792A">
        <w:rPr>
          <w:color w:val="0070C0"/>
          <w:sz w:val="32"/>
          <w:szCs w:val="32"/>
        </w:rPr>
        <w:t xml:space="preserve"> gap</w:t>
      </w:r>
      <w:bookmarkEnd w:id="80"/>
    </w:p>
    <w:p w14:paraId="2B4BC9DF" w14:textId="58C98E7B" w:rsidR="00C17BE6" w:rsidRPr="004A792A" w:rsidRDefault="002933F8" w:rsidP="00C17BE6">
      <w:pPr>
        <w:pStyle w:val="61"/>
        <w:shd w:val="clear" w:color="auto" w:fill="auto"/>
        <w:spacing w:before="120" w:line="240" w:lineRule="auto"/>
        <w:jc w:val="both"/>
        <w:rPr>
          <w:color w:val="000000"/>
          <w:sz w:val="22"/>
          <w:szCs w:val="22"/>
        </w:rPr>
      </w:pPr>
      <w:r w:rsidRPr="002933F8">
        <w:rPr>
          <w:b/>
          <w:sz w:val="22"/>
          <w:szCs w:val="22"/>
        </w:rPr>
        <w:t xml:space="preserve">According to the LFS-based measure of gender pay gap in employees’ hourly net wages, Moldovan women earned on average only 4 percent less than men in 2016, and this </w:t>
      </w:r>
      <w:r w:rsidRPr="002933F8">
        <w:rPr>
          <w:b/>
          <w:color w:val="000000"/>
          <w:sz w:val="22"/>
          <w:szCs w:val="22"/>
        </w:rPr>
        <w:t>gap has slightly narrowed since 2010</w:t>
      </w:r>
      <w:r>
        <w:rPr>
          <w:color w:val="000000"/>
          <w:sz w:val="22"/>
          <w:szCs w:val="22"/>
        </w:rPr>
        <w:t xml:space="preserve"> (</w:t>
      </w:r>
      <w:r w:rsidR="00D02E22" w:rsidRPr="004A792A">
        <w:rPr>
          <w:color w:val="000000"/>
          <w:sz w:val="22"/>
          <w:szCs w:val="22"/>
        </w:rPr>
        <w:fldChar w:fldCharType="begin"/>
      </w:r>
      <w:r w:rsidR="00D02E22" w:rsidRPr="004A792A">
        <w:rPr>
          <w:color w:val="000000"/>
          <w:sz w:val="22"/>
          <w:szCs w:val="22"/>
        </w:rPr>
        <w:instrText xml:space="preserve"> REF _Ref519513661 \h  \* MERGEFORMAT </w:instrText>
      </w:r>
      <w:r w:rsidR="00D02E22" w:rsidRPr="004A792A">
        <w:rPr>
          <w:color w:val="000000"/>
          <w:sz w:val="22"/>
          <w:szCs w:val="22"/>
        </w:rPr>
      </w:r>
      <w:r w:rsidR="00D02E22" w:rsidRPr="004A792A">
        <w:rPr>
          <w:color w:val="000000"/>
          <w:sz w:val="22"/>
          <w:szCs w:val="22"/>
        </w:rPr>
        <w:fldChar w:fldCharType="separate"/>
      </w:r>
      <w:r w:rsidR="00C301AC" w:rsidRPr="00C301AC">
        <w:rPr>
          <w:sz w:val="22"/>
          <w:szCs w:val="22"/>
        </w:rPr>
        <w:t xml:space="preserve">Figure </w:t>
      </w:r>
      <w:r w:rsidR="00C301AC" w:rsidRPr="00C301AC">
        <w:rPr>
          <w:noProof/>
          <w:sz w:val="22"/>
          <w:szCs w:val="22"/>
        </w:rPr>
        <w:t>22</w:t>
      </w:r>
      <w:r w:rsidR="00D02E22" w:rsidRPr="004A792A">
        <w:rPr>
          <w:color w:val="000000"/>
          <w:sz w:val="22"/>
          <w:szCs w:val="22"/>
        </w:rPr>
        <w:fldChar w:fldCharType="end"/>
      </w:r>
      <w:r>
        <w:rPr>
          <w:color w:val="000000"/>
          <w:sz w:val="22"/>
          <w:szCs w:val="22"/>
        </w:rPr>
        <w:t>).</w:t>
      </w:r>
      <w:r w:rsidR="00D02E22" w:rsidRPr="004A792A">
        <w:rPr>
          <w:color w:val="000000"/>
          <w:sz w:val="22"/>
          <w:szCs w:val="22"/>
        </w:rPr>
        <w:t xml:space="preserve"> </w:t>
      </w:r>
      <w:r w:rsidR="000219EA" w:rsidRPr="004A792A">
        <w:rPr>
          <w:color w:val="000000"/>
          <w:sz w:val="22"/>
          <w:szCs w:val="22"/>
        </w:rPr>
        <w:t xml:space="preserve">As expected, the gender pay gap based on hourly earnings for all employees is significantly lower than </w:t>
      </w:r>
      <w:r w:rsidR="0041757C" w:rsidRPr="004A792A">
        <w:rPr>
          <w:color w:val="000000"/>
          <w:sz w:val="22"/>
          <w:szCs w:val="22"/>
        </w:rPr>
        <w:t>the one</w:t>
      </w:r>
      <w:r w:rsidR="000219EA" w:rsidRPr="004A792A">
        <w:rPr>
          <w:color w:val="000000"/>
          <w:sz w:val="22"/>
          <w:szCs w:val="22"/>
        </w:rPr>
        <w:t xml:space="preserve"> based on monthly earnings for full-time emp</w:t>
      </w:r>
      <w:r w:rsidR="00C17BE6" w:rsidRPr="004A792A">
        <w:rPr>
          <w:color w:val="000000"/>
          <w:sz w:val="22"/>
          <w:szCs w:val="22"/>
        </w:rPr>
        <w:t xml:space="preserve">loyees due to </w:t>
      </w:r>
      <w:r w:rsidR="000219EA" w:rsidRPr="004A792A">
        <w:rPr>
          <w:color w:val="000000"/>
          <w:sz w:val="22"/>
          <w:szCs w:val="22"/>
        </w:rPr>
        <w:t>the higher proportion of part-time employees among women</w:t>
      </w:r>
      <w:r w:rsidR="00C17BE6" w:rsidRPr="004A792A">
        <w:rPr>
          <w:color w:val="000000"/>
          <w:sz w:val="22"/>
          <w:szCs w:val="22"/>
        </w:rPr>
        <w:t xml:space="preserve"> and shorter regular hours of work in female-dominated sectors such as education, health and social care</w:t>
      </w:r>
      <w:r w:rsidR="000219EA" w:rsidRPr="004A792A">
        <w:rPr>
          <w:color w:val="000000"/>
          <w:sz w:val="22"/>
          <w:szCs w:val="22"/>
        </w:rPr>
        <w:t>.</w:t>
      </w:r>
      <w:r w:rsidR="00DF1BBE" w:rsidRPr="004A792A">
        <w:rPr>
          <w:color w:val="000000"/>
          <w:sz w:val="22"/>
          <w:szCs w:val="22"/>
        </w:rPr>
        <w:t xml:space="preserve"> The time patterns of LFS-and NBS-based measures of gender pay gap between 2010 and 2016 are very different: a small decrease of the LFS-based measures as opposed to a slight increase in the NBS-based measure</w:t>
      </w:r>
      <w:r w:rsidR="00BA4ACB" w:rsidRPr="004A792A">
        <w:rPr>
          <w:color w:val="000000"/>
          <w:sz w:val="22"/>
          <w:szCs w:val="22"/>
        </w:rPr>
        <w:t xml:space="preserve"> of gender pay gap</w:t>
      </w:r>
      <w:r w:rsidR="00DF1BBE" w:rsidRPr="004A792A">
        <w:rPr>
          <w:color w:val="000000"/>
          <w:sz w:val="22"/>
          <w:szCs w:val="22"/>
        </w:rPr>
        <w:t>.</w:t>
      </w:r>
      <w:r w:rsidR="00F36B44">
        <w:rPr>
          <w:color w:val="000000"/>
          <w:sz w:val="22"/>
          <w:szCs w:val="22"/>
        </w:rPr>
        <w:t xml:space="preserve"> Nevertheless</w:t>
      </w:r>
      <w:r w:rsidR="00D30D02" w:rsidRPr="004A792A">
        <w:rPr>
          <w:color w:val="000000"/>
          <w:sz w:val="22"/>
          <w:szCs w:val="22"/>
        </w:rPr>
        <w:t xml:space="preserve">, the gender pay gap for monthly wages </w:t>
      </w:r>
      <w:r w:rsidR="00F36B44">
        <w:rPr>
          <w:color w:val="000000"/>
          <w:sz w:val="22"/>
          <w:szCs w:val="22"/>
        </w:rPr>
        <w:t xml:space="preserve">in 2016 </w:t>
      </w:r>
      <w:r w:rsidR="00D30D02" w:rsidRPr="004A792A">
        <w:rPr>
          <w:color w:val="000000"/>
          <w:sz w:val="22"/>
          <w:szCs w:val="22"/>
        </w:rPr>
        <w:t>appears to be very close: 14.5 percent based on the firm-level data and 12.6 percent based on the LFS data</w:t>
      </w:r>
      <w:r w:rsidR="00F36B44">
        <w:rPr>
          <w:color w:val="000000"/>
          <w:sz w:val="22"/>
          <w:szCs w:val="22"/>
        </w:rPr>
        <w:t xml:space="preserve"> (</w:t>
      </w:r>
      <w:r w:rsidR="00F36B44" w:rsidRPr="004A792A">
        <w:rPr>
          <w:color w:val="000000"/>
          <w:sz w:val="22"/>
          <w:szCs w:val="22"/>
        </w:rPr>
        <w:fldChar w:fldCharType="begin"/>
      </w:r>
      <w:r w:rsidR="00F36B44" w:rsidRPr="004A792A">
        <w:rPr>
          <w:color w:val="000000"/>
          <w:sz w:val="22"/>
          <w:szCs w:val="22"/>
        </w:rPr>
        <w:instrText xml:space="preserve"> REF _Ref519513661 \h  \* MERGEFORMAT </w:instrText>
      </w:r>
      <w:r w:rsidR="00F36B44" w:rsidRPr="004A792A">
        <w:rPr>
          <w:color w:val="000000"/>
          <w:sz w:val="22"/>
          <w:szCs w:val="22"/>
        </w:rPr>
      </w:r>
      <w:r w:rsidR="00F36B44" w:rsidRPr="004A792A">
        <w:rPr>
          <w:color w:val="000000"/>
          <w:sz w:val="22"/>
          <w:szCs w:val="22"/>
        </w:rPr>
        <w:fldChar w:fldCharType="separate"/>
      </w:r>
      <w:r w:rsidR="00F36B44" w:rsidRPr="00C301AC">
        <w:rPr>
          <w:sz w:val="22"/>
          <w:szCs w:val="22"/>
        </w:rPr>
        <w:t xml:space="preserve">Figure </w:t>
      </w:r>
      <w:r w:rsidR="00F36B44" w:rsidRPr="00C301AC">
        <w:rPr>
          <w:noProof/>
          <w:sz w:val="22"/>
          <w:szCs w:val="22"/>
        </w:rPr>
        <w:t>22</w:t>
      </w:r>
      <w:r w:rsidR="00F36B44" w:rsidRPr="004A792A">
        <w:rPr>
          <w:color w:val="000000"/>
          <w:sz w:val="22"/>
          <w:szCs w:val="22"/>
        </w:rPr>
        <w:fldChar w:fldCharType="end"/>
      </w:r>
      <w:r w:rsidR="00F36B44">
        <w:rPr>
          <w:color w:val="000000"/>
          <w:sz w:val="22"/>
          <w:szCs w:val="22"/>
        </w:rPr>
        <w:t>)</w:t>
      </w:r>
      <w:r w:rsidR="00D30D02" w:rsidRPr="004A792A">
        <w:rPr>
          <w:color w:val="000000"/>
          <w:sz w:val="22"/>
          <w:szCs w:val="22"/>
        </w:rPr>
        <w:t>.</w:t>
      </w:r>
    </w:p>
    <w:p w14:paraId="158C2AAF" w14:textId="476BDA1A" w:rsidR="00EA381D" w:rsidRPr="004A792A" w:rsidRDefault="00470BCE" w:rsidP="006A1E52">
      <w:pPr>
        <w:pStyle w:val="ad"/>
        <w:spacing w:before="240" w:after="0"/>
        <w:jc w:val="left"/>
        <w:rPr>
          <w:lang w:val="en-US"/>
        </w:rPr>
      </w:pPr>
      <w:bookmarkStart w:id="81" w:name="_Ref519513661"/>
      <w:bookmarkStart w:id="82" w:name="_Toc533211778"/>
      <w:r w:rsidRPr="004A792A">
        <w:rPr>
          <w:lang w:val="en-US"/>
        </w:rPr>
        <w:t xml:space="preserve">Figure </w:t>
      </w:r>
      <w:r w:rsidRPr="004A792A">
        <w:rPr>
          <w:lang w:val="en-US"/>
        </w:rPr>
        <w:fldChar w:fldCharType="begin"/>
      </w:r>
      <w:r w:rsidRPr="004A792A">
        <w:rPr>
          <w:lang w:val="en-US"/>
        </w:rPr>
        <w:instrText xml:space="preserve"> SEQ Figure \* ARABIC </w:instrText>
      </w:r>
      <w:r w:rsidRPr="004A792A">
        <w:rPr>
          <w:lang w:val="en-US"/>
        </w:rPr>
        <w:fldChar w:fldCharType="separate"/>
      </w:r>
      <w:r w:rsidR="007F56F7">
        <w:rPr>
          <w:noProof/>
          <w:lang w:val="en-US"/>
        </w:rPr>
        <w:t>22</w:t>
      </w:r>
      <w:r w:rsidRPr="004A792A">
        <w:rPr>
          <w:lang w:val="en-US"/>
        </w:rPr>
        <w:fldChar w:fldCharType="end"/>
      </w:r>
      <w:bookmarkEnd w:id="81"/>
      <w:r w:rsidRPr="004A792A">
        <w:rPr>
          <w:lang w:val="en-US"/>
        </w:rPr>
        <w:t>: Gender pay gap: alternative measures</w:t>
      </w:r>
      <w:r w:rsidR="00DE1604">
        <w:rPr>
          <w:lang w:val="en-US"/>
        </w:rPr>
        <w:t xml:space="preserve"> (%)</w:t>
      </w:r>
      <w:r w:rsidRPr="004A792A">
        <w:rPr>
          <w:lang w:val="en-US"/>
        </w:rPr>
        <w:t>, 2010-2016</w:t>
      </w:r>
      <w:bookmarkEnd w:id="82"/>
    </w:p>
    <w:p w14:paraId="3D4E37AB" w14:textId="7EAF95FB" w:rsidR="00470BCE" w:rsidRPr="004A792A" w:rsidRDefault="00470BCE" w:rsidP="00470BCE">
      <w:pPr>
        <w:pStyle w:val="61"/>
        <w:shd w:val="clear" w:color="auto" w:fill="auto"/>
        <w:spacing w:before="120" w:line="240" w:lineRule="auto"/>
        <w:jc w:val="center"/>
      </w:pPr>
      <w:r w:rsidRPr="004A792A">
        <w:rPr>
          <w:noProof/>
          <w:lang w:val="ru-RU" w:eastAsia="ru-RU"/>
        </w:rPr>
        <w:drawing>
          <wp:inline distT="0" distB="0" distL="0" distR="0" wp14:anchorId="3D033CEA" wp14:editId="3119B459">
            <wp:extent cx="4578350" cy="24231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8350" cy="2423160"/>
                    </a:xfrm>
                    <a:prstGeom prst="rect">
                      <a:avLst/>
                    </a:prstGeom>
                    <a:noFill/>
                    <a:ln>
                      <a:noFill/>
                    </a:ln>
                  </pic:spPr>
                </pic:pic>
              </a:graphicData>
            </a:graphic>
          </wp:inline>
        </w:drawing>
      </w:r>
    </w:p>
    <w:p w14:paraId="7CBA6885" w14:textId="77777777" w:rsidR="00470BCE" w:rsidRPr="004A792A" w:rsidRDefault="00D02E22" w:rsidP="00D02E22">
      <w:pPr>
        <w:pStyle w:val="61"/>
        <w:shd w:val="clear" w:color="auto" w:fill="auto"/>
        <w:spacing w:before="120" w:line="240" w:lineRule="auto"/>
        <w:jc w:val="both"/>
        <w:rPr>
          <w:i/>
          <w:color w:val="000000"/>
          <w:sz w:val="20"/>
          <w:szCs w:val="20"/>
        </w:rPr>
      </w:pPr>
      <w:r w:rsidRPr="004A792A">
        <w:rPr>
          <w:i/>
          <w:color w:val="000000"/>
          <w:sz w:val="20"/>
          <w:szCs w:val="20"/>
        </w:rPr>
        <w:t>Source</w:t>
      </w:r>
      <w:r w:rsidR="000963B6">
        <w:rPr>
          <w:i/>
          <w:color w:val="000000"/>
          <w:sz w:val="20"/>
          <w:szCs w:val="20"/>
        </w:rPr>
        <w:t>s</w:t>
      </w:r>
      <w:r w:rsidRPr="004A792A">
        <w:rPr>
          <w:i/>
          <w:color w:val="000000"/>
          <w:sz w:val="20"/>
          <w:szCs w:val="20"/>
        </w:rPr>
        <w:t>: NBS databank, series: “Monthly gross average earning by Districts/Regions, Years and Sexes” based on Statistical survey M3-Annualy 'Salary earnings and labor force cost' which covers real sector economic units with 1 and more employees and all institutions in the budgetary sector; author’s calculations based on the individual-level LFS data.</w:t>
      </w:r>
    </w:p>
    <w:p w14:paraId="1648A883" w14:textId="538A220D" w:rsidR="006A1E52" w:rsidRPr="00847683" w:rsidRDefault="00607AF8" w:rsidP="00474D41">
      <w:pPr>
        <w:pStyle w:val="61"/>
        <w:shd w:val="clear" w:color="auto" w:fill="auto"/>
        <w:spacing w:before="120" w:line="240" w:lineRule="auto"/>
        <w:jc w:val="both"/>
      </w:pPr>
      <w:r w:rsidRPr="00607AF8">
        <w:rPr>
          <w:b/>
          <w:sz w:val="22"/>
          <w:szCs w:val="22"/>
        </w:rPr>
        <w:t>The gender pay gap in hourly earnings in Moldova seems to be substantially lower than in all European countries</w:t>
      </w:r>
      <w:r w:rsidRPr="00607AF8">
        <w:rPr>
          <w:sz w:val="22"/>
          <w:szCs w:val="22"/>
        </w:rPr>
        <w:t>. W</w:t>
      </w:r>
      <w:r w:rsidR="006A1E52" w:rsidRPr="00607AF8">
        <w:rPr>
          <w:sz w:val="22"/>
          <w:szCs w:val="22"/>
        </w:rPr>
        <w:t>omen in the EU-28 earned on average over 16.2 percent less per hour than men in 2016, with the gender pay gap varying within the Member states from 5.2</w:t>
      </w:r>
      <w:r w:rsidR="00474D41" w:rsidRPr="00607AF8">
        <w:rPr>
          <w:sz w:val="22"/>
          <w:szCs w:val="22"/>
        </w:rPr>
        <w:t xml:space="preserve"> </w:t>
      </w:r>
      <w:r w:rsidR="006A1E52" w:rsidRPr="00607AF8">
        <w:rPr>
          <w:sz w:val="22"/>
          <w:szCs w:val="22"/>
        </w:rPr>
        <w:t>percent in Romania to 25.3 percent in Estonia</w:t>
      </w:r>
      <w:r w:rsidRPr="00607AF8">
        <w:rPr>
          <w:sz w:val="22"/>
          <w:szCs w:val="22"/>
        </w:rPr>
        <w:t xml:space="preserve"> (EC, </w:t>
      </w:r>
      <w:r w:rsidRPr="00847683">
        <w:rPr>
          <w:sz w:val="22"/>
          <w:szCs w:val="22"/>
        </w:rPr>
        <w:t>2018)</w:t>
      </w:r>
      <w:r w:rsidR="006A1E52" w:rsidRPr="00847683">
        <w:rPr>
          <w:sz w:val="22"/>
          <w:szCs w:val="22"/>
        </w:rPr>
        <w:t>.</w:t>
      </w:r>
      <w:r w:rsidRPr="00847683">
        <w:rPr>
          <w:rStyle w:val="af9"/>
          <w:sz w:val="22"/>
          <w:szCs w:val="22"/>
        </w:rPr>
        <w:footnoteReference w:id="23"/>
      </w:r>
    </w:p>
    <w:p w14:paraId="7C75562B" w14:textId="75493E3C" w:rsidR="00DE1604" w:rsidRPr="008E082A" w:rsidRDefault="00DE1604" w:rsidP="00DE1604">
      <w:pPr>
        <w:pStyle w:val="61"/>
        <w:shd w:val="clear" w:color="auto" w:fill="auto"/>
        <w:spacing w:before="120" w:line="240" w:lineRule="auto"/>
        <w:jc w:val="both"/>
        <w:rPr>
          <w:sz w:val="22"/>
          <w:szCs w:val="22"/>
        </w:rPr>
      </w:pPr>
      <w:r w:rsidRPr="00847683">
        <w:rPr>
          <w:b/>
          <w:sz w:val="22"/>
          <w:szCs w:val="22"/>
        </w:rPr>
        <w:t xml:space="preserve">Not only </w:t>
      </w:r>
      <w:r w:rsidR="00B23C23" w:rsidRPr="00847683">
        <w:rPr>
          <w:b/>
          <w:sz w:val="22"/>
          <w:szCs w:val="22"/>
        </w:rPr>
        <w:t xml:space="preserve">has </w:t>
      </w:r>
      <w:r w:rsidRPr="00847683">
        <w:rPr>
          <w:b/>
          <w:sz w:val="22"/>
          <w:szCs w:val="22"/>
        </w:rPr>
        <w:t>the difference between the average hourly wages of men and women</w:t>
      </w:r>
      <w:r w:rsidR="00812895" w:rsidRPr="00847683">
        <w:rPr>
          <w:b/>
          <w:sz w:val="22"/>
          <w:szCs w:val="22"/>
        </w:rPr>
        <w:t xml:space="preserve"> – </w:t>
      </w:r>
      <w:r w:rsidRPr="00847683">
        <w:rPr>
          <w:b/>
          <w:sz w:val="22"/>
          <w:szCs w:val="22"/>
        </w:rPr>
        <w:t>the</w:t>
      </w:r>
      <w:r w:rsidR="00812895" w:rsidRPr="00847683">
        <w:rPr>
          <w:b/>
          <w:sz w:val="22"/>
          <w:szCs w:val="22"/>
        </w:rPr>
        <w:t xml:space="preserve"> </w:t>
      </w:r>
      <w:r w:rsidRPr="00847683">
        <w:rPr>
          <w:b/>
          <w:sz w:val="22"/>
          <w:szCs w:val="22"/>
        </w:rPr>
        <w:t xml:space="preserve">unadjusted gender wage gap </w:t>
      </w:r>
      <w:r w:rsidR="00812895" w:rsidRPr="00847683">
        <w:rPr>
          <w:b/>
          <w:sz w:val="22"/>
          <w:szCs w:val="22"/>
        </w:rPr>
        <w:t>–</w:t>
      </w:r>
      <w:r w:rsidRPr="00847683">
        <w:rPr>
          <w:b/>
          <w:sz w:val="22"/>
          <w:szCs w:val="22"/>
        </w:rPr>
        <w:t xml:space="preserve"> shr</w:t>
      </w:r>
      <w:r w:rsidR="00B23C23" w:rsidRPr="00847683">
        <w:rPr>
          <w:b/>
          <w:sz w:val="22"/>
          <w:szCs w:val="22"/>
        </w:rPr>
        <w:t>u</w:t>
      </w:r>
      <w:r w:rsidRPr="00847683">
        <w:rPr>
          <w:b/>
          <w:sz w:val="22"/>
          <w:szCs w:val="22"/>
        </w:rPr>
        <w:t>nk</w:t>
      </w:r>
      <w:r w:rsidR="00812895" w:rsidRPr="00847683">
        <w:rPr>
          <w:b/>
          <w:sz w:val="22"/>
          <w:szCs w:val="22"/>
        </w:rPr>
        <w:t xml:space="preserve"> </w:t>
      </w:r>
      <w:r w:rsidRPr="00847683">
        <w:rPr>
          <w:b/>
          <w:sz w:val="22"/>
          <w:szCs w:val="22"/>
        </w:rPr>
        <w:t>in 2016 compared to 2010</w:t>
      </w:r>
      <w:r w:rsidR="00B23C23" w:rsidRPr="00847683">
        <w:rPr>
          <w:b/>
          <w:sz w:val="22"/>
          <w:szCs w:val="22"/>
        </w:rPr>
        <w:t>, but t</w:t>
      </w:r>
      <w:r w:rsidRPr="00847683">
        <w:rPr>
          <w:b/>
          <w:sz w:val="22"/>
          <w:szCs w:val="22"/>
        </w:rPr>
        <w:t>here is also convergence between the male and female distribution of wages over the same period</w:t>
      </w:r>
      <w:r w:rsidRPr="008E082A">
        <w:rPr>
          <w:sz w:val="22"/>
          <w:szCs w:val="22"/>
        </w:rPr>
        <w:t xml:space="preserve"> (</w:t>
      </w:r>
      <w:r w:rsidR="00F74675" w:rsidRPr="008E082A">
        <w:rPr>
          <w:sz w:val="22"/>
          <w:szCs w:val="22"/>
        </w:rPr>
        <w:fldChar w:fldCharType="begin"/>
      </w:r>
      <w:r w:rsidR="00F74675" w:rsidRPr="008E082A">
        <w:rPr>
          <w:sz w:val="22"/>
          <w:szCs w:val="22"/>
        </w:rPr>
        <w:instrText xml:space="preserve"> REF _Ref519523195 \h  \* MERGEFORMAT </w:instrText>
      </w:r>
      <w:r w:rsidR="00F74675" w:rsidRPr="008E082A">
        <w:rPr>
          <w:sz w:val="22"/>
          <w:szCs w:val="22"/>
        </w:rPr>
      </w:r>
      <w:r w:rsidR="00F74675" w:rsidRPr="008E082A">
        <w:rPr>
          <w:sz w:val="22"/>
          <w:szCs w:val="22"/>
        </w:rPr>
        <w:fldChar w:fldCharType="separate"/>
      </w:r>
      <w:r w:rsidR="00607AF8" w:rsidRPr="00847683">
        <w:rPr>
          <w:sz w:val="22"/>
          <w:szCs w:val="22"/>
        </w:rPr>
        <w:t>Figure 23</w:t>
      </w:r>
      <w:r w:rsidR="00F74675" w:rsidRPr="008E082A">
        <w:rPr>
          <w:sz w:val="22"/>
          <w:szCs w:val="22"/>
        </w:rPr>
        <w:fldChar w:fldCharType="end"/>
      </w:r>
      <w:r w:rsidRPr="008E082A">
        <w:rPr>
          <w:sz w:val="22"/>
          <w:szCs w:val="22"/>
        </w:rPr>
        <w:t xml:space="preserve">). The distribution of </w:t>
      </w:r>
      <w:r w:rsidR="00B36EA2" w:rsidRPr="008E082A">
        <w:rPr>
          <w:sz w:val="22"/>
          <w:szCs w:val="22"/>
        </w:rPr>
        <w:t xml:space="preserve">women’s </w:t>
      </w:r>
      <w:r w:rsidRPr="008E082A">
        <w:rPr>
          <w:sz w:val="22"/>
          <w:szCs w:val="22"/>
        </w:rPr>
        <w:t xml:space="preserve">wages </w:t>
      </w:r>
      <w:r w:rsidR="00812895" w:rsidRPr="008E082A">
        <w:rPr>
          <w:sz w:val="22"/>
          <w:szCs w:val="22"/>
        </w:rPr>
        <w:t xml:space="preserve">was more skewed to the left </w:t>
      </w:r>
      <w:r w:rsidRPr="008E082A">
        <w:rPr>
          <w:sz w:val="22"/>
          <w:szCs w:val="22"/>
        </w:rPr>
        <w:t xml:space="preserve">in 2010 </w:t>
      </w:r>
      <w:r w:rsidR="00812895" w:rsidRPr="008E082A">
        <w:rPr>
          <w:sz w:val="22"/>
          <w:szCs w:val="22"/>
        </w:rPr>
        <w:t>than in 2016 whe</w:t>
      </w:r>
      <w:r w:rsidRPr="008E082A">
        <w:rPr>
          <w:sz w:val="22"/>
          <w:szCs w:val="22"/>
        </w:rPr>
        <w:t xml:space="preserve">reas the men's </w:t>
      </w:r>
      <w:r w:rsidR="00B36EA2" w:rsidRPr="008E082A">
        <w:rPr>
          <w:sz w:val="22"/>
          <w:szCs w:val="22"/>
        </w:rPr>
        <w:t xml:space="preserve">wage </w:t>
      </w:r>
      <w:r w:rsidRPr="008E082A">
        <w:rPr>
          <w:sz w:val="22"/>
          <w:szCs w:val="22"/>
        </w:rPr>
        <w:t xml:space="preserve">distribution is </w:t>
      </w:r>
      <w:r w:rsidRPr="008E082A">
        <w:rPr>
          <w:sz w:val="22"/>
          <w:szCs w:val="22"/>
        </w:rPr>
        <w:lastRenderedPageBreak/>
        <w:t xml:space="preserve">skewed to the </w:t>
      </w:r>
      <w:r w:rsidR="00812895" w:rsidRPr="008E082A">
        <w:rPr>
          <w:sz w:val="22"/>
          <w:szCs w:val="22"/>
        </w:rPr>
        <w:t>right in both years</w:t>
      </w:r>
      <w:r w:rsidRPr="008E082A">
        <w:rPr>
          <w:sz w:val="22"/>
          <w:szCs w:val="22"/>
        </w:rPr>
        <w:t xml:space="preserve">. </w:t>
      </w:r>
      <w:r w:rsidR="00812895" w:rsidRPr="008E082A">
        <w:rPr>
          <w:sz w:val="22"/>
          <w:szCs w:val="22"/>
        </w:rPr>
        <w:t>T</w:t>
      </w:r>
      <w:r w:rsidRPr="008E082A">
        <w:rPr>
          <w:sz w:val="22"/>
          <w:szCs w:val="22"/>
        </w:rPr>
        <w:t xml:space="preserve">he distributions </w:t>
      </w:r>
      <w:r w:rsidR="00812895" w:rsidRPr="008E082A">
        <w:rPr>
          <w:sz w:val="22"/>
          <w:szCs w:val="22"/>
        </w:rPr>
        <w:t xml:space="preserve">of women’s and men’s wage </w:t>
      </w:r>
      <w:r w:rsidR="00B36EA2" w:rsidRPr="008E082A">
        <w:rPr>
          <w:sz w:val="22"/>
          <w:szCs w:val="22"/>
        </w:rPr>
        <w:t>have more similar shapes in 2016, even though the Kolmogorov-Smirnov test rejects the hypothesis for equality of distribution functions for men and women.</w:t>
      </w:r>
    </w:p>
    <w:p w14:paraId="3C77B2BF" w14:textId="15E58B1F" w:rsidR="00DF1BBE" w:rsidRDefault="009265A1" w:rsidP="00F45665">
      <w:pPr>
        <w:pStyle w:val="ad"/>
        <w:spacing w:before="240" w:after="0"/>
        <w:jc w:val="left"/>
        <w:rPr>
          <w:lang w:val="en-US"/>
        </w:rPr>
      </w:pPr>
      <w:bookmarkStart w:id="83" w:name="_Ref519523195"/>
      <w:bookmarkStart w:id="84" w:name="_Toc533211779"/>
      <w:r w:rsidRPr="008E082A">
        <w:rPr>
          <w:lang w:val="en-US"/>
        </w:rPr>
        <w:t xml:space="preserve">Figure </w:t>
      </w:r>
      <w:r w:rsidRPr="008E082A">
        <w:rPr>
          <w:lang w:val="en-US"/>
        </w:rPr>
        <w:fldChar w:fldCharType="begin"/>
      </w:r>
      <w:r w:rsidRPr="008E082A">
        <w:rPr>
          <w:lang w:val="en-US"/>
        </w:rPr>
        <w:instrText xml:space="preserve"> SEQ Figure \* ARABIC </w:instrText>
      </w:r>
      <w:r w:rsidRPr="008E082A">
        <w:rPr>
          <w:lang w:val="en-US"/>
        </w:rPr>
        <w:fldChar w:fldCharType="separate"/>
      </w:r>
      <w:r w:rsidR="007F56F7">
        <w:rPr>
          <w:noProof/>
          <w:lang w:val="en-US"/>
        </w:rPr>
        <w:t>23</w:t>
      </w:r>
      <w:r w:rsidRPr="008E082A">
        <w:rPr>
          <w:lang w:val="en-US"/>
        </w:rPr>
        <w:fldChar w:fldCharType="end"/>
      </w:r>
      <w:bookmarkEnd w:id="83"/>
      <w:r w:rsidR="00DF1BBE" w:rsidRPr="008E082A">
        <w:rPr>
          <w:lang w:val="en-US"/>
        </w:rPr>
        <w:t xml:space="preserve">: </w:t>
      </w:r>
      <w:r w:rsidR="00220ED7" w:rsidRPr="008E082A">
        <w:rPr>
          <w:lang w:val="en-US"/>
        </w:rPr>
        <w:t xml:space="preserve">Kernel density </w:t>
      </w:r>
      <w:r w:rsidR="00EF1F50" w:rsidRPr="008E082A">
        <w:rPr>
          <w:lang w:val="en-US"/>
        </w:rPr>
        <w:t xml:space="preserve">estimates for </w:t>
      </w:r>
      <w:r w:rsidR="00DE1604" w:rsidRPr="008E082A">
        <w:rPr>
          <w:lang w:val="en-US"/>
        </w:rPr>
        <w:t xml:space="preserve">real log </w:t>
      </w:r>
      <w:r w:rsidR="00EF1F50" w:rsidRPr="008E082A">
        <w:rPr>
          <w:lang w:val="en-US"/>
        </w:rPr>
        <w:t>wage</w:t>
      </w:r>
      <w:r w:rsidR="00DE1604" w:rsidRPr="008E082A">
        <w:rPr>
          <w:lang w:val="en-US"/>
        </w:rPr>
        <w:t>s</w:t>
      </w:r>
      <w:r w:rsidR="00EF1F50" w:rsidRPr="008E082A">
        <w:rPr>
          <w:lang w:val="en-US"/>
        </w:rPr>
        <w:t xml:space="preserve"> </w:t>
      </w:r>
      <w:r w:rsidR="00220ED7" w:rsidRPr="008E082A">
        <w:rPr>
          <w:lang w:val="en-US"/>
        </w:rPr>
        <w:t xml:space="preserve">by gender, </w:t>
      </w:r>
      <w:r w:rsidR="00E11087" w:rsidRPr="008E082A">
        <w:rPr>
          <w:lang w:val="en-US"/>
        </w:rPr>
        <w:t xml:space="preserve">2010 and </w:t>
      </w:r>
      <w:r w:rsidR="00DF1BBE" w:rsidRPr="008E082A">
        <w:rPr>
          <w:lang w:val="en-US"/>
        </w:rPr>
        <w:t>2016</w:t>
      </w:r>
      <w:bookmarkEnd w:id="84"/>
    </w:p>
    <w:tbl>
      <w:tblPr>
        <w:tblStyle w:val="ac"/>
        <w:tblW w:w="104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348"/>
      </w:tblGrid>
      <w:tr w:rsidR="009265A1" w:rsidRPr="004A792A" w14:paraId="31F68E69" w14:textId="77777777" w:rsidTr="00DE1604">
        <w:tc>
          <w:tcPr>
            <w:tcW w:w="5104" w:type="dxa"/>
          </w:tcPr>
          <w:p w14:paraId="57111E6E" w14:textId="77777777" w:rsidR="009265A1" w:rsidRPr="004A792A" w:rsidRDefault="009265A1" w:rsidP="00E11087">
            <w:pPr>
              <w:pStyle w:val="61"/>
              <w:shd w:val="clear" w:color="auto" w:fill="auto"/>
              <w:spacing w:before="120" w:line="240" w:lineRule="auto"/>
              <w:jc w:val="both"/>
              <w:rPr>
                <w:noProof/>
                <w:color w:val="000000"/>
                <w:sz w:val="22"/>
                <w:szCs w:val="22"/>
              </w:rPr>
            </w:pPr>
            <w:r w:rsidRPr="004A792A">
              <w:rPr>
                <w:noProof/>
                <w:color w:val="000000"/>
                <w:sz w:val="22"/>
                <w:szCs w:val="22"/>
              </w:rPr>
              <w:t xml:space="preserve">A) </w:t>
            </w:r>
            <w:r w:rsidR="00E11087">
              <w:rPr>
                <w:noProof/>
                <w:color w:val="000000"/>
                <w:sz w:val="22"/>
                <w:szCs w:val="22"/>
              </w:rPr>
              <w:t>Log h</w:t>
            </w:r>
            <w:r w:rsidR="00E11087" w:rsidRPr="004A792A">
              <w:rPr>
                <w:noProof/>
                <w:color w:val="000000"/>
                <w:sz w:val="22"/>
                <w:szCs w:val="22"/>
              </w:rPr>
              <w:t>ourly net wage, all employees</w:t>
            </w:r>
            <w:r w:rsidR="00E11087">
              <w:rPr>
                <w:noProof/>
                <w:color w:val="000000"/>
                <w:sz w:val="22"/>
                <w:szCs w:val="22"/>
              </w:rPr>
              <w:t>, 2010</w:t>
            </w:r>
          </w:p>
        </w:tc>
        <w:tc>
          <w:tcPr>
            <w:tcW w:w="5348" w:type="dxa"/>
          </w:tcPr>
          <w:p w14:paraId="46C94205" w14:textId="77777777" w:rsidR="009265A1" w:rsidRPr="004A792A" w:rsidRDefault="009265A1" w:rsidP="00EF1F50">
            <w:pPr>
              <w:pStyle w:val="61"/>
              <w:shd w:val="clear" w:color="auto" w:fill="auto"/>
              <w:spacing w:before="120" w:line="240" w:lineRule="auto"/>
              <w:jc w:val="both"/>
              <w:rPr>
                <w:color w:val="000000"/>
                <w:sz w:val="22"/>
                <w:szCs w:val="22"/>
              </w:rPr>
            </w:pPr>
            <w:r w:rsidRPr="004A792A">
              <w:rPr>
                <w:noProof/>
                <w:color w:val="000000"/>
                <w:sz w:val="22"/>
                <w:szCs w:val="22"/>
              </w:rPr>
              <w:t xml:space="preserve">B) </w:t>
            </w:r>
            <w:r w:rsidR="00EF1F50">
              <w:rPr>
                <w:noProof/>
                <w:color w:val="000000"/>
                <w:sz w:val="22"/>
                <w:szCs w:val="22"/>
              </w:rPr>
              <w:t>Log h</w:t>
            </w:r>
            <w:r w:rsidRPr="004A792A">
              <w:rPr>
                <w:noProof/>
                <w:color w:val="000000"/>
                <w:sz w:val="22"/>
                <w:szCs w:val="22"/>
              </w:rPr>
              <w:t>ourly net wage, all employees</w:t>
            </w:r>
            <w:r w:rsidR="00E11087">
              <w:rPr>
                <w:noProof/>
                <w:color w:val="000000"/>
                <w:sz w:val="22"/>
                <w:szCs w:val="22"/>
              </w:rPr>
              <w:t>, 2016</w:t>
            </w:r>
          </w:p>
        </w:tc>
      </w:tr>
      <w:tr w:rsidR="009265A1" w:rsidRPr="004A792A" w14:paraId="1FF36FB1" w14:textId="77777777" w:rsidTr="00DE1604">
        <w:tc>
          <w:tcPr>
            <w:tcW w:w="5104" w:type="dxa"/>
          </w:tcPr>
          <w:p w14:paraId="5AC22EC1" w14:textId="77777777" w:rsidR="009265A1" w:rsidRPr="004A792A" w:rsidRDefault="00494AF6" w:rsidP="00EF1F50">
            <w:pPr>
              <w:pStyle w:val="61"/>
              <w:shd w:val="clear" w:color="auto" w:fill="auto"/>
              <w:spacing w:before="120" w:line="240" w:lineRule="auto"/>
              <w:rPr>
                <w:color w:val="000000"/>
                <w:sz w:val="22"/>
                <w:szCs w:val="22"/>
              </w:rPr>
            </w:pPr>
            <w:r w:rsidRPr="00494AF6">
              <w:rPr>
                <w:noProof/>
                <w:color w:val="000000"/>
                <w:sz w:val="22"/>
                <w:szCs w:val="22"/>
                <w:lang w:val="ru-RU" w:eastAsia="ru-RU"/>
              </w:rPr>
              <w:drawing>
                <wp:inline distT="0" distB="0" distL="0" distR="0" wp14:anchorId="23DD3A66" wp14:editId="79162049">
                  <wp:extent cx="3164400" cy="2322000"/>
                  <wp:effectExtent l="0" t="0" r="0" b="254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64400" cy="2322000"/>
                          </a:xfrm>
                          <a:prstGeom prst="rect">
                            <a:avLst/>
                          </a:prstGeom>
                          <a:noFill/>
                          <a:ln>
                            <a:noFill/>
                          </a:ln>
                        </pic:spPr>
                      </pic:pic>
                    </a:graphicData>
                  </a:graphic>
                </wp:inline>
              </w:drawing>
            </w:r>
          </w:p>
        </w:tc>
        <w:tc>
          <w:tcPr>
            <w:tcW w:w="5348" w:type="dxa"/>
          </w:tcPr>
          <w:p w14:paraId="66888F6E" w14:textId="77777777" w:rsidR="009265A1" w:rsidRPr="004A792A" w:rsidRDefault="00494AF6" w:rsidP="00EF1F50">
            <w:pPr>
              <w:pStyle w:val="61"/>
              <w:shd w:val="clear" w:color="auto" w:fill="auto"/>
              <w:spacing w:before="120" w:line="240" w:lineRule="auto"/>
              <w:rPr>
                <w:color w:val="000000"/>
                <w:sz w:val="22"/>
                <w:szCs w:val="22"/>
              </w:rPr>
            </w:pPr>
            <w:r w:rsidRPr="00494AF6">
              <w:rPr>
                <w:noProof/>
                <w:color w:val="000000"/>
                <w:sz w:val="22"/>
                <w:szCs w:val="22"/>
                <w:lang w:val="ru-RU" w:eastAsia="ru-RU"/>
              </w:rPr>
              <w:drawing>
                <wp:inline distT="0" distB="0" distL="0" distR="0" wp14:anchorId="60E18A6D" wp14:editId="478865D1">
                  <wp:extent cx="3193200" cy="2340000"/>
                  <wp:effectExtent l="0" t="0" r="7620" b="317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3200" cy="2340000"/>
                          </a:xfrm>
                          <a:prstGeom prst="rect">
                            <a:avLst/>
                          </a:prstGeom>
                          <a:noFill/>
                          <a:ln>
                            <a:noFill/>
                          </a:ln>
                        </pic:spPr>
                      </pic:pic>
                    </a:graphicData>
                  </a:graphic>
                </wp:inline>
              </w:drawing>
            </w:r>
          </w:p>
        </w:tc>
      </w:tr>
    </w:tbl>
    <w:p w14:paraId="59108F06" w14:textId="77777777" w:rsidR="00F45665" w:rsidRPr="00525B47" w:rsidRDefault="00BB4A8F" w:rsidP="00C36F13">
      <w:pPr>
        <w:pStyle w:val="61"/>
        <w:shd w:val="clear" w:color="auto" w:fill="auto"/>
        <w:spacing w:before="120" w:line="240" w:lineRule="auto"/>
        <w:jc w:val="both"/>
        <w:rPr>
          <w:rFonts w:asciiTheme="minorHAnsi" w:hAnsiTheme="minorHAnsi" w:cstheme="minorHAnsi"/>
          <w:i/>
          <w:color w:val="000000" w:themeColor="text1"/>
          <w:sz w:val="20"/>
          <w:szCs w:val="20"/>
        </w:rPr>
      </w:pPr>
      <w:r w:rsidRPr="002E29DE">
        <w:rPr>
          <w:rFonts w:asciiTheme="minorHAnsi" w:hAnsiTheme="minorHAnsi" w:cstheme="minorHAnsi"/>
          <w:i/>
          <w:color w:val="000000" w:themeColor="text1"/>
          <w:sz w:val="20"/>
          <w:szCs w:val="20"/>
        </w:rPr>
        <w:t xml:space="preserve">Note: </w:t>
      </w:r>
      <w:r w:rsidRPr="002E29DE">
        <w:rPr>
          <w:rFonts w:asciiTheme="minorHAnsi" w:hAnsiTheme="minorHAnsi" w:cstheme="minorHAnsi"/>
          <w:i/>
          <w:color w:val="000000" w:themeColor="text1"/>
          <w:sz w:val="20"/>
          <w:szCs w:val="20"/>
          <w:shd w:val="clear" w:color="auto" w:fill="FFFFFF"/>
        </w:rPr>
        <w:t>An</w:t>
      </w:r>
      <w:r w:rsidRPr="00525B47">
        <w:rPr>
          <w:rFonts w:asciiTheme="minorHAnsi" w:hAnsiTheme="minorHAnsi" w:cstheme="minorHAnsi"/>
          <w:i/>
          <w:color w:val="000000" w:themeColor="text1"/>
          <w:sz w:val="20"/>
          <w:szCs w:val="20"/>
          <w:shd w:val="clear" w:color="auto" w:fill="FFFFFF"/>
        </w:rPr>
        <w:t xml:space="preserve"> </w:t>
      </w:r>
      <w:proofErr w:type="spellStart"/>
      <w:r w:rsidRPr="00525B47">
        <w:rPr>
          <w:rStyle w:val="aff6"/>
          <w:rFonts w:asciiTheme="minorHAnsi" w:hAnsiTheme="minorHAnsi" w:cstheme="minorHAnsi"/>
          <w:b w:val="0"/>
          <w:i/>
          <w:color w:val="000000" w:themeColor="text1"/>
          <w:sz w:val="20"/>
          <w:szCs w:val="20"/>
          <w:shd w:val="clear" w:color="auto" w:fill="FFFFFF"/>
        </w:rPr>
        <w:t>Epanechnikov</w:t>
      </w:r>
      <w:proofErr w:type="spellEnd"/>
      <w:r w:rsidRPr="00525B47">
        <w:rPr>
          <w:rStyle w:val="aff6"/>
          <w:rFonts w:asciiTheme="minorHAnsi" w:hAnsiTheme="minorHAnsi" w:cstheme="minorHAnsi"/>
          <w:b w:val="0"/>
          <w:i/>
          <w:color w:val="000000" w:themeColor="text1"/>
          <w:sz w:val="20"/>
          <w:szCs w:val="20"/>
          <w:shd w:val="clear" w:color="auto" w:fill="FFFFFF"/>
        </w:rPr>
        <w:t xml:space="preserve"> kernel</w:t>
      </w:r>
      <w:r w:rsidRPr="00525B47">
        <w:rPr>
          <w:rFonts w:asciiTheme="minorHAnsi" w:hAnsiTheme="minorHAnsi" w:cstheme="minorHAnsi"/>
          <w:i/>
          <w:color w:val="000000" w:themeColor="text1"/>
          <w:sz w:val="20"/>
          <w:szCs w:val="20"/>
          <w:shd w:val="clear" w:color="auto" w:fill="FFFFFF"/>
        </w:rPr>
        <w:t xml:space="preserve"> f</w:t>
      </w:r>
      <w:r w:rsidR="00B401DE">
        <w:rPr>
          <w:rFonts w:asciiTheme="minorHAnsi" w:hAnsiTheme="minorHAnsi" w:cstheme="minorHAnsi"/>
          <w:i/>
          <w:color w:val="000000" w:themeColor="text1"/>
          <w:sz w:val="20"/>
          <w:szCs w:val="20"/>
          <w:shd w:val="clear" w:color="auto" w:fill="FFFFFF"/>
        </w:rPr>
        <w:t>unction with a bandwidth of 0.1</w:t>
      </w:r>
      <w:r w:rsidR="00DE1604">
        <w:rPr>
          <w:rFonts w:asciiTheme="minorHAnsi" w:hAnsiTheme="minorHAnsi" w:cstheme="minorHAnsi"/>
          <w:i/>
          <w:color w:val="000000" w:themeColor="text1"/>
          <w:sz w:val="20"/>
          <w:szCs w:val="20"/>
          <w:shd w:val="clear" w:color="auto" w:fill="FFFFFF"/>
        </w:rPr>
        <w:t xml:space="preserve"> is used</w:t>
      </w:r>
      <w:r w:rsidR="00494AF6">
        <w:rPr>
          <w:rFonts w:asciiTheme="minorHAnsi" w:hAnsiTheme="minorHAnsi" w:cstheme="minorHAnsi"/>
          <w:i/>
          <w:color w:val="000000" w:themeColor="text1"/>
          <w:sz w:val="20"/>
          <w:szCs w:val="20"/>
          <w:shd w:val="clear" w:color="auto" w:fill="FFFFFF"/>
        </w:rPr>
        <w:t>; sample weights are applied</w:t>
      </w:r>
      <w:r w:rsidRPr="00525B47">
        <w:rPr>
          <w:rFonts w:asciiTheme="minorHAnsi" w:hAnsiTheme="minorHAnsi" w:cstheme="minorHAnsi"/>
          <w:i/>
          <w:color w:val="000000" w:themeColor="text1"/>
          <w:sz w:val="20"/>
          <w:szCs w:val="20"/>
          <w:shd w:val="clear" w:color="auto" w:fill="FFFFFF"/>
        </w:rPr>
        <w:t>. According to the Kolmogorov-Smirnov test for equality of distribution functions, the gender difference in the wage distributions is statistically different at a 1% level.</w:t>
      </w:r>
    </w:p>
    <w:p w14:paraId="6B4BBC15" w14:textId="3FD4EA01" w:rsidR="00B0105D" w:rsidRPr="004A792A" w:rsidRDefault="00607AF8" w:rsidP="005F732A">
      <w:pPr>
        <w:pStyle w:val="61"/>
        <w:shd w:val="clear" w:color="auto" w:fill="auto"/>
        <w:spacing w:before="120" w:line="240" w:lineRule="auto"/>
        <w:jc w:val="both"/>
        <w:rPr>
          <w:sz w:val="22"/>
          <w:szCs w:val="22"/>
        </w:rPr>
      </w:pPr>
      <w:r w:rsidRPr="00847683">
        <w:rPr>
          <w:b/>
          <w:sz w:val="22"/>
          <w:szCs w:val="22"/>
        </w:rPr>
        <w:t>The hypothesis that Moldovan women are significantly underrepresented in higher-level jobs (managers and professionals) either due to discrimination or due to lower interest of women in high-level jobs is not supported with the LFS data</w:t>
      </w:r>
      <w:r>
        <w:rPr>
          <w:b/>
          <w:sz w:val="22"/>
          <w:szCs w:val="22"/>
        </w:rPr>
        <w:t xml:space="preserve"> </w:t>
      </w:r>
      <w:r w:rsidRPr="004A792A">
        <w:rPr>
          <w:sz w:val="22"/>
          <w:szCs w:val="22"/>
        </w:rPr>
        <w:t>(</w:t>
      </w:r>
      <w:r w:rsidRPr="00B23C23">
        <w:rPr>
          <w:sz w:val="22"/>
          <w:szCs w:val="22"/>
        </w:rPr>
        <w:fldChar w:fldCharType="begin"/>
      </w:r>
      <w:r w:rsidRPr="00B23C23">
        <w:rPr>
          <w:sz w:val="22"/>
          <w:szCs w:val="22"/>
        </w:rPr>
        <w:instrText xml:space="preserve"> REF _Ref519528684 \h  \* MERGEFORMAT </w:instrText>
      </w:r>
      <w:r w:rsidRPr="00B23C23">
        <w:rPr>
          <w:sz w:val="22"/>
          <w:szCs w:val="22"/>
        </w:rPr>
      </w:r>
      <w:r w:rsidRPr="00B23C23">
        <w:rPr>
          <w:sz w:val="22"/>
          <w:szCs w:val="22"/>
        </w:rPr>
        <w:fldChar w:fldCharType="separate"/>
      </w:r>
      <w:r w:rsidRPr="00B23C23">
        <w:rPr>
          <w:sz w:val="22"/>
          <w:szCs w:val="22"/>
        </w:rPr>
        <w:t>Table 5</w:t>
      </w:r>
      <w:r w:rsidRPr="00B23C23">
        <w:rPr>
          <w:sz w:val="22"/>
          <w:szCs w:val="22"/>
        </w:rPr>
        <w:fldChar w:fldCharType="end"/>
      </w:r>
      <w:r w:rsidRPr="00B23C23">
        <w:rPr>
          <w:sz w:val="22"/>
          <w:szCs w:val="22"/>
        </w:rPr>
        <w:t>).</w:t>
      </w:r>
      <w:r w:rsidRPr="000963B6">
        <w:rPr>
          <w:rStyle w:val="af9"/>
          <w:sz w:val="22"/>
          <w:szCs w:val="22"/>
        </w:rPr>
        <w:footnoteReference w:id="24"/>
      </w:r>
      <w:r w:rsidRPr="00B23C23">
        <w:rPr>
          <w:sz w:val="22"/>
          <w:szCs w:val="22"/>
        </w:rPr>
        <w:t xml:space="preserve"> </w:t>
      </w:r>
      <w:r w:rsidR="0055400B" w:rsidRPr="000963B6">
        <w:rPr>
          <w:sz w:val="22"/>
          <w:szCs w:val="22"/>
        </w:rPr>
        <w:t xml:space="preserve">The gender pay gap among managers and professionals is smaller than in medium-level occupations. A substantially smaller gender pay gap in hourly earnings of all professionals compared to the gap measured in terms of monthly wages for professionals working full-time indicates that the gender pay gap almost disappears when the important difference in </w:t>
      </w:r>
      <w:r w:rsidR="0055400B" w:rsidRPr="000963B6">
        <w:rPr>
          <w:color w:val="000000"/>
          <w:sz w:val="22"/>
          <w:szCs w:val="22"/>
        </w:rPr>
        <w:t xml:space="preserve">hours of work </w:t>
      </w:r>
      <w:r w:rsidR="0055400B" w:rsidRPr="000963B6">
        <w:rPr>
          <w:sz w:val="22"/>
          <w:szCs w:val="22"/>
        </w:rPr>
        <w:t>of female and male professionals</w:t>
      </w:r>
      <w:r w:rsidR="0055400B" w:rsidRPr="000963B6">
        <w:rPr>
          <w:color w:val="000000"/>
          <w:sz w:val="22"/>
          <w:szCs w:val="22"/>
        </w:rPr>
        <w:t xml:space="preserve"> is taken into account.</w:t>
      </w:r>
    </w:p>
    <w:p w14:paraId="537B68D7" w14:textId="5F255DB0" w:rsidR="007A2FDE" w:rsidRPr="004A792A" w:rsidRDefault="00F87ACB" w:rsidP="0051627C">
      <w:pPr>
        <w:pStyle w:val="ad"/>
        <w:spacing w:before="240"/>
        <w:jc w:val="left"/>
        <w:rPr>
          <w:rFonts w:cs="Calibri"/>
          <w:sz w:val="24"/>
          <w:szCs w:val="24"/>
          <w:lang w:val="en-US" w:eastAsia="ru-RU"/>
        </w:rPr>
      </w:pPr>
      <w:bookmarkStart w:id="85" w:name="_Ref519528684"/>
      <w:bookmarkStart w:id="86" w:name="_Toc533211795"/>
      <w:r w:rsidRPr="004A79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5</w:t>
      </w:r>
      <w:r w:rsidR="007B7CCA">
        <w:rPr>
          <w:lang w:val="en-US"/>
        </w:rPr>
        <w:fldChar w:fldCharType="end"/>
      </w:r>
      <w:bookmarkEnd w:id="85"/>
      <w:r w:rsidRPr="004A792A">
        <w:rPr>
          <w:lang w:val="en-US"/>
        </w:rPr>
        <w:t>: Gender pay gap by ISCO 1-digit occupati</w:t>
      </w:r>
      <w:r w:rsidR="0051627C" w:rsidRPr="004A792A">
        <w:rPr>
          <w:lang w:val="en-US"/>
        </w:rPr>
        <w:t>on</w:t>
      </w:r>
      <w:r w:rsidR="00763353" w:rsidRPr="004A792A">
        <w:rPr>
          <w:lang w:val="en-US"/>
        </w:rPr>
        <w:t xml:space="preserve"> </w:t>
      </w:r>
      <w:r w:rsidRPr="004A792A">
        <w:rPr>
          <w:lang w:val="en-US"/>
        </w:rPr>
        <w:t>(%), 2016</w:t>
      </w:r>
      <w:bookmarkEnd w:id="86"/>
    </w:p>
    <w:tbl>
      <w:tblPr>
        <w:tblW w:w="9072" w:type="dxa"/>
        <w:tblLayout w:type="fixed"/>
        <w:tblLook w:val="04A0" w:firstRow="1" w:lastRow="0" w:firstColumn="1" w:lastColumn="0" w:noHBand="0" w:noVBand="1"/>
      </w:tblPr>
      <w:tblGrid>
        <w:gridCol w:w="3469"/>
        <w:gridCol w:w="1027"/>
        <w:gridCol w:w="1028"/>
        <w:gridCol w:w="1027"/>
        <w:gridCol w:w="1028"/>
        <w:gridCol w:w="1493"/>
      </w:tblGrid>
      <w:tr w:rsidR="007A2FDE" w:rsidRPr="004A792A" w14:paraId="58B43DCA" w14:textId="77777777" w:rsidTr="007A2FDE">
        <w:tc>
          <w:tcPr>
            <w:tcW w:w="3469" w:type="dxa"/>
            <w:vMerge w:val="restart"/>
            <w:tcBorders>
              <w:top w:val="single" w:sz="4" w:space="0" w:color="auto"/>
              <w:left w:val="nil"/>
              <w:right w:val="single" w:sz="4" w:space="0" w:color="auto"/>
            </w:tcBorders>
            <w:shd w:val="clear" w:color="auto" w:fill="auto"/>
            <w:noWrap/>
          </w:tcPr>
          <w:p w14:paraId="4071D9A5" w14:textId="77777777" w:rsidR="007A2FDE" w:rsidRPr="004A792A" w:rsidRDefault="007A2FDE" w:rsidP="007A2FDE">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ISCO 1-digit</w:t>
            </w:r>
          </w:p>
        </w:tc>
        <w:tc>
          <w:tcPr>
            <w:tcW w:w="2055" w:type="dxa"/>
            <w:gridSpan w:val="2"/>
            <w:tcBorders>
              <w:top w:val="single" w:sz="4" w:space="0" w:color="auto"/>
              <w:left w:val="single" w:sz="4" w:space="0" w:color="auto"/>
              <w:right w:val="single" w:sz="4" w:space="0" w:color="auto"/>
            </w:tcBorders>
            <w:shd w:val="clear" w:color="auto" w:fill="auto"/>
            <w:noWrap/>
          </w:tcPr>
          <w:p w14:paraId="6AB76B1A" w14:textId="77777777" w:rsidR="007A2FDE" w:rsidRPr="004A792A" w:rsidRDefault="007A2FDE" w:rsidP="007A2FDE">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Gender pay gap</w:t>
            </w:r>
          </w:p>
        </w:tc>
        <w:tc>
          <w:tcPr>
            <w:tcW w:w="2055" w:type="dxa"/>
            <w:gridSpan w:val="2"/>
            <w:tcBorders>
              <w:top w:val="single" w:sz="4" w:space="0" w:color="auto"/>
              <w:left w:val="single" w:sz="4" w:space="0" w:color="auto"/>
              <w:right w:val="single" w:sz="4" w:space="0" w:color="auto"/>
            </w:tcBorders>
            <w:shd w:val="clear" w:color="auto" w:fill="auto"/>
            <w:noWrap/>
          </w:tcPr>
          <w:p w14:paraId="1994AE52" w14:textId="77777777" w:rsidR="007A2FDE" w:rsidRPr="004A792A" w:rsidRDefault="00F87ACB" w:rsidP="00F87ACB">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S</w:t>
            </w:r>
            <w:r w:rsidR="007A2FDE" w:rsidRPr="004A792A">
              <w:rPr>
                <w:rFonts w:eastAsia="Times New Roman" w:cstheme="minorHAnsi"/>
                <w:b/>
                <w:color w:val="000000"/>
                <w:sz w:val="20"/>
                <w:szCs w:val="20"/>
                <w:lang w:val="en-US"/>
              </w:rPr>
              <w:t xml:space="preserve">hare </w:t>
            </w:r>
            <w:r w:rsidRPr="004A792A">
              <w:rPr>
                <w:rFonts w:eastAsia="Times New Roman" w:cstheme="minorHAnsi"/>
                <w:b/>
                <w:color w:val="000000"/>
                <w:sz w:val="20"/>
                <w:szCs w:val="20"/>
                <w:lang w:val="en-US"/>
              </w:rPr>
              <w:t xml:space="preserve">of occupation </w:t>
            </w:r>
            <w:r w:rsidR="007A2FDE" w:rsidRPr="004A792A">
              <w:rPr>
                <w:rFonts w:eastAsia="Times New Roman" w:cstheme="minorHAnsi"/>
                <w:b/>
                <w:color w:val="000000"/>
                <w:sz w:val="20"/>
                <w:szCs w:val="20"/>
                <w:lang w:val="en-US"/>
              </w:rPr>
              <w:t>in employment</w:t>
            </w:r>
          </w:p>
        </w:tc>
        <w:tc>
          <w:tcPr>
            <w:tcW w:w="1493" w:type="dxa"/>
            <w:vMerge w:val="restart"/>
            <w:tcBorders>
              <w:top w:val="single" w:sz="4" w:space="0" w:color="auto"/>
              <w:left w:val="single" w:sz="4" w:space="0" w:color="auto"/>
              <w:right w:val="nil"/>
            </w:tcBorders>
            <w:shd w:val="clear" w:color="auto" w:fill="auto"/>
            <w:noWrap/>
          </w:tcPr>
          <w:p w14:paraId="77F04C83" w14:textId="77777777" w:rsidR="007A2FDE" w:rsidRPr="004A792A" w:rsidRDefault="007A2FDE" w:rsidP="007A2FDE">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Female share in occupational group</w:t>
            </w:r>
          </w:p>
        </w:tc>
      </w:tr>
      <w:tr w:rsidR="007A2FDE" w:rsidRPr="004A792A" w14:paraId="235FA45D" w14:textId="77777777" w:rsidTr="007A2FDE">
        <w:trPr>
          <w:trHeight w:val="145"/>
        </w:trPr>
        <w:tc>
          <w:tcPr>
            <w:tcW w:w="3469" w:type="dxa"/>
            <w:vMerge/>
            <w:tcBorders>
              <w:left w:val="nil"/>
              <w:bottom w:val="single" w:sz="4" w:space="0" w:color="auto"/>
              <w:right w:val="single" w:sz="4" w:space="0" w:color="auto"/>
            </w:tcBorders>
            <w:shd w:val="clear" w:color="auto" w:fill="auto"/>
            <w:noWrap/>
            <w:vAlign w:val="bottom"/>
            <w:hideMark/>
          </w:tcPr>
          <w:p w14:paraId="15B3667F" w14:textId="77777777" w:rsidR="007A2FDE" w:rsidRPr="004A792A" w:rsidRDefault="007A2FDE" w:rsidP="007A2FDE">
            <w:pPr>
              <w:spacing w:before="0"/>
              <w:rPr>
                <w:rFonts w:eastAsia="Times New Roman" w:cstheme="minorHAnsi"/>
                <w:color w:val="000000"/>
                <w:sz w:val="20"/>
                <w:szCs w:val="20"/>
                <w:lang w:val="en-US"/>
              </w:rPr>
            </w:pPr>
          </w:p>
        </w:tc>
        <w:tc>
          <w:tcPr>
            <w:tcW w:w="1027" w:type="dxa"/>
            <w:tcBorders>
              <w:left w:val="single" w:sz="4" w:space="0" w:color="auto"/>
              <w:bottom w:val="single" w:sz="4" w:space="0" w:color="auto"/>
              <w:right w:val="nil"/>
            </w:tcBorders>
            <w:shd w:val="clear" w:color="auto" w:fill="auto"/>
            <w:noWrap/>
            <w:vAlign w:val="bottom"/>
            <w:hideMark/>
          </w:tcPr>
          <w:p w14:paraId="1E6FD022"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Monthly, full-time</w:t>
            </w:r>
          </w:p>
        </w:tc>
        <w:tc>
          <w:tcPr>
            <w:tcW w:w="1028" w:type="dxa"/>
            <w:tcBorders>
              <w:left w:val="nil"/>
              <w:bottom w:val="single" w:sz="4" w:space="0" w:color="auto"/>
              <w:right w:val="single" w:sz="4" w:space="0" w:color="auto"/>
            </w:tcBorders>
            <w:shd w:val="clear" w:color="auto" w:fill="auto"/>
            <w:noWrap/>
            <w:vAlign w:val="bottom"/>
            <w:hideMark/>
          </w:tcPr>
          <w:p w14:paraId="42907275"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Hourly, all</w:t>
            </w:r>
          </w:p>
        </w:tc>
        <w:tc>
          <w:tcPr>
            <w:tcW w:w="1027" w:type="dxa"/>
            <w:tcBorders>
              <w:left w:val="single" w:sz="4" w:space="0" w:color="auto"/>
              <w:bottom w:val="single" w:sz="4" w:space="0" w:color="auto"/>
              <w:right w:val="nil"/>
            </w:tcBorders>
            <w:shd w:val="clear" w:color="auto" w:fill="auto"/>
            <w:noWrap/>
            <w:vAlign w:val="bottom"/>
            <w:hideMark/>
          </w:tcPr>
          <w:p w14:paraId="3A83BEA2"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Men</w:t>
            </w:r>
          </w:p>
        </w:tc>
        <w:tc>
          <w:tcPr>
            <w:tcW w:w="1028" w:type="dxa"/>
            <w:tcBorders>
              <w:left w:val="nil"/>
              <w:bottom w:val="single" w:sz="4" w:space="0" w:color="auto"/>
              <w:right w:val="single" w:sz="4" w:space="0" w:color="auto"/>
            </w:tcBorders>
            <w:shd w:val="clear" w:color="auto" w:fill="auto"/>
            <w:noWrap/>
            <w:vAlign w:val="bottom"/>
            <w:hideMark/>
          </w:tcPr>
          <w:p w14:paraId="6B35154E"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Women</w:t>
            </w:r>
          </w:p>
        </w:tc>
        <w:tc>
          <w:tcPr>
            <w:tcW w:w="1493" w:type="dxa"/>
            <w:vMerge/>
            <w:tcBorders>
              <w:left w:val="single" w:sz="4" w:space="0" w:color="auto"/>
              <w:bottom w:val="single" w:sz="4" w:space="0" w:color="auto"/>
              <w:right w:val="nil"/>
            </w:tcBorders>
            <w:shd w:val="clear" w:color="auto" w:fill="auto"/>
            <w:noWrap/>
            <w:vAlign w:val="bottom"/>
            <w:hideMark/>
          </w:tcPr>
          <w:p w14:paraId="6E7F43F9" w14:textId="77777777" w:rsidR="007A2FDE" w:rsidRPr="004A792A" w:rsidRDefault="007A2FDE" w:rsidP="007A2FDE">
            <w:pPr>
              <w:spacing w:before="0"/>
              <w:jc w:val="center"/>
              <w:rPr>
                <w:rFonts w:eastAsia="Times New Roman" w:cstheme="minorHAnsi"/>
                <w:color w:val="000000"/>
                <w:sz w:val="20"/>
                <w:szCs w:val="20"/>
                <w:lang w:val="en-US"/>
              </w:rPr>
            </w:pPr>
          </w:p>
        </w:tc>
      </w:tr>
      <w:tr w:rsidR="007A2FDE" w:rsidRPr="004A792A" w14:paraId="3F6BFCAE" w14:textId="77777777" w:rsidTr="007A2FDE">
        <w:tc>
          <w:tcPr>
            <w:tcW w:w="3469" w:type="dxa"/>
            <w:tcBorders>
              <w:top w:val="single" w:sz="4" w:space="0" w:color="auto"/>
              <w:left w:val="nil"/>
              <w:bottom w:val="nil"/>
              <w:right w:val="single" w:sz="4" w:space="0" w:color="auto"/>
            </w:tcBorders>
            <w:shd w:val="clear" w:color="auto" w:fill="auto"/>
            <w:noWrap/>
            <w:hideMark/>
          </w:tcPr>
          <w:p w14:paraId="273155D5"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Managers</w:t>
            </w:r>
          </w:p>
        </w:tc>
        <w:tc>
          <w:tcPr>
            <w:tcW w:w="1027" w:type="dxa"/>
            <w:tcBorders>
              <w:top w:val="single" w:sz="4" w:space="0" w:color="auto"/>
              <w:left w:val="single" w:sz="4" w:space="0" w:color="auto"/>
              <w:bottom w:val="nil"/>
              <w:right w:val="nil"/>
            </w:tcBorders>
            <w:shd w:val="clear" w:color="auto" w:fill="auto"/>
            <w:noWrap/>
            <w:hideMark/>
          </w:tcPr>
          <w:p w14:paraId="2AB6A240"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12.8</w:t>
            </w:r>
          </w:p>
        </w:tc>
        <w:tc>
          <w:tcPr>
            <w:tcW w:w="1028" w:type="dxa"/>
            <w:tcBorders>
              <w:top w:val="single" w:sz="4" w:space="0" w:color="auto"/>
              <w:left w:val="nil"/>
              <w:bottom w:val="nil"/>
              <w:right w:val="single" w:sz="4" w:space="0" w:color="auto"/>
            </w:tcBorders>
            <w:shd w:val="clear" w:color="auto" w:fill="auto"/>
            <w:noWrap/>
            <w:hideMark/>
          </w:tcPr>
          <w:p w14:paraId="3B7B2ADF"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7.1</w:t>
            </w:r>
          </w:p>
        </w:tc>
        <w:tc>
          <w:tcPr>
            <w:tcW w:w="1027" w:type="dxa"/>
            <w:tcBorders>
              <w:top w:val="single" w:sz="4" w:space="0" w:color="auto"/>
              <w:left w:val="single" w:sz="4" w:space="0" w:color="auto"/>
              <w:bottom w:val="nil"/>
              <w:right w:val="nil"/>
            </w:tcBorders>
            <w:shd w:val="clear" w:color="auto" w:fill="auto"/>
            <w:noWrap/>
            <w:hideMark/>
          </w:tcPr>
          <w:p w14:paraId="7F287AA2"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11.9</w:t>
            </w:r>
          </w:p>
        </w:tc>
        <w:tc>
          <w:tcPr>
            <w:tcW w:w="1028" w:type="dxa"/>
            <w:tcBorders>
              <w:top w:val="single" w:sz="4" w:space="0" w:color="auto"/>
              <w:left w:val="nil"/>
              <w:bottom w:val="nil"/>
              <w:right w:val="single" w:sz="4" w:space="0" w:color="auto"/>
            </w:tcBorders>
            <w:shd w:val="clear" w:color="auto" w:fill="auto"/>
            <w:noWrap/>
            <w:hideMark/>
          </w:tcPr>
          <w:p w14:paraId="4EF59FF2"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9.1</w:t>
            </w:r>
          </w:p>
        </w:tc>
        <w:tc>
          <w:tcPr>
            <w:tcW w:w="1493" w:type="dxa"/>
            <w:tcBorders>
              <w:top w:val="single" w:sz="4" w:space="0" w:color="auto"/>
              <w:left w:val="single" w:sz="4" w:space="0" w:color="auto"/>
              <w:bottom w:val="nil"/>
              <w:right w:val="nil"/>
            </w:tcBorders>
            <w:shd w:val="clear" w:color="auto" w:fill="auto"/>
            <w:noWrap/>
            <w:hideMark/>
          </w:tcPr>
          <w:p w14:paraId="4005F3EF"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47.3</w:t>
            </w:r>
          </w:p>
        </w:tc>
      </w:tr>
      <w:tr w:rsidR="007A2FDE" w:rsidRPr="004A792A" w14:paraId="62EB95D4" w14:textId="77777777" w:rsidTr="007A2FDE">
        <w:tc>
          <w:tcPr>
            <w:tcW w:w="3469" w:type="dxa"/>
            <w:tcBorders>
              <w:top w:val="nil"/>
              <w:left w:val="nil"/>
              <w:bottom w:val="nil"/>
              <w:right w:val="single" w:sz="4" w:space="0" w:color="auto"/>
            </w:tcBorders>
            <w:shd w:val="clear" w:color="auto" w:fill="auto"/>
            <w:noWrap/>
            <w:hideMark/>
          </w:tcPr>
          <w:p w14:paraId="2CC9656C"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Professionals</w:t>
            </w:r>
          </w:p>
        </w:tc>
        <w:tc>
          <w:tcPr>
            <w:tcW w:w="1027" w:type="dxa"/>
            <w:tcBorders>
              <w:top w:val="nil"/>
              <w:left w:val="single" w:sz="4" w:space="0" w:color="auto"/>
              <w:bottom w:val="nil"/>
              <w:right w:val="nil"/>
            </w:tcBorders>
            <w:shd w:val="clear" w:color="auto" w:fill="auto"/>
            <w:noWrap/>
            <w:hideMark/>
          </w:tcPr>
          <w:p w14:paraId="45449B47"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14.3</w:t>
            </w:r>
          </w:p>
        </w:tc>
        <w:tc>
          <w:tcPr>
            <w:tcW w:w="1028" w:type="dxa"/>
            <w:tcBorders>
              <w:top w:val="nil"/>
              <w:left w:val="nil"/>
              <w:bottom w:val="nil"/>
              <w:right w:val="single" w:sz="4" w:space="0" w:color="auto"/>
            </w:tcBorders>
            <w:shd w:val="clear" w:color="auto" w:fill="auto"/>
            <w:noWrap/>
            <w:hideMark/>
          </w:tcPr>
          <w:p w14:paraId="7405D1B9"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2.3</w:t>
            </w:r>
          </w:p>
        </w:tc>
        <w:tc>
          <w:tcPr>
            <w:tcW w:w="1027" w:type="dxa"/>
            <w:tcBorders>
              <w:top w:val="nil"/>
              <w:left w:val="single" w:sz="4" w:space="0" w:color="auto"/>
              <w:bottom w:val="nil"/>
              <w:right w:val="nil"/>
            </w:tcBorders>
            <w:shd w:val="clear" w:color="auto" w:fill="auto"/>
            <w:noWrap/>
            <w:hideMark/>
          </w:tcPr>
          <w:p w14:paraId="1E4BABBB"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14.8</w:t>
            </w:r>
          </w:p>
        </w:tc>
        <w:tc>
          <w:tcPr>
            <w:tcW w:w="1028" w:type="dxa"/>
            <w:tcBorders>
              <w:top w:val="nil"/>
              <w:left w:val="nil"/>
              <w:bottom w:val="nil"/>
              <w:right w:val="single" w:sz="4" w:space="0" w:color="auto"/>
            </w:tcBorders>
            <w:shd w:val="clear" w:color="auto" w:fill="auto"/>
            <w:noWrap/>
            <w:hideMark/>
          </w:tcPr>
          <w:p w14:paraId="5807F2C8"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26.5</w:t>
            </w:r>
          </w:p>
        </w:tc>
        <w:tc>
          <w:tcPr>
            <w:tcW w:w="1493" w:type="dxa"/>
            <w:tcBorders>
              <w:top w:val="nil"/>
              <w:left w:val="single" w:sz="4" w:space="0" w:color="auto"/>
              <w:bottom w:val="nil"/>
              <w:right w:val="nil"/>
            </w:tcBorders>
            <w:shd w:val="clear" w:color="auto" w:fill="auto"/>
            <w:noWrap/>
            <w:hideMark/>
          </w:tcPr>
          <w:p w14:paraId="43F9D84B"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67.7</w:t>
            </w:r>
          </w:p>
        </w:tc>
      </w:tr>
      <w:tr w:rsidR="007A2FDE" w:rsidRPr="004A792A" w14:paraId="11748D6A" w14:textId="77777777" w:rsidTr="007A2FDE">
        <w:tc>
          <w:tcPr>
            <w:tcW w:w="3469" w:type="dxa"/>
            <w:tcBorders>
              <w:top w:val="nil"/>
              <w:left w:val="nil"/>
              <w:bottom w:val="nil"/>
              <w:right w:val="single" w:sz="4" w:space="0" w:color="auto"/>
            </w:tcBorders>
            <w:shd w:val="clear" w:color="auto" w:fill="auto"/>
            <w:noWrap/>
            <w:hideMark/>
          </w:tcPr>
          <w:p w14:paraId="02DFC507"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Technicians and associate professionals</w:t>
            </w:r>
          </w:p>
        </w:tc>
        <w:tc>
          <w:tcPr>
            <w:tcW w:w="1027" w:type="dxa"/>
            <w:tcBorders>
              <w:top w:val="nil"/>
              <w:left w:val="single" w:sz="4" w:space="0" w:color="auto"/>
              <w:bottom w:val="nil"/>
              <w:right w:val="nil"/>
            </w:tcBorders>
            <w:shd w:val="clear" w:color="auto" w:fill="auto"/>
            <w:noWrap/>
            <w:hideMark/>
          </w:tcPr>
          <w:p w14:paraId="5D965D4E"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26.3</w:t>
            </w:r>
          </w:p>
        </w:tc>
        <w:tc>
          <w:tcPr>
            <w:tcW w:w="1028" w:type="dxa"/>
            <w:tcBorders>
              <w:top w:val="nil"/>
              <w:left w:val="nil"/>
              <w:bottom w:val="nil"/>
              <w:right w:val="single" w:sz="4" w:space="0" w:color="auto"/>
            </w:tcBorders>
            <w:shd w:val="clear" w:color="auto" w:fill="auto"/>
            <w:noWrap/>
            <w:hideMark/>
          </w:tcPr>
          <w:p w14:paraId="6C866947"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24.2</w:t>
            </w:r>
          </w:p>
        </w:tc>
        <w:tc>
          <w:tcPr>
            <w:tcW w:w="1027" w:type="dxa"/>
            <w:tcBorders>
              <w:top w:val="nil"/>
              <w:left w:val="single" w:sz="4" w:space="0" w:color="auto"/>
              <w:bottom w:val="nil"/>
              <w:right w:val="nil"/>
            </w:tcBorders>
            <w:shd w:val="clear" w:color="auto" w:fill="auto"/>
            <w:noWrap/>
            <w:hideMark/>
          </w:tcPr>
          <w:p w14:paraId="7B81C7DE"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7.5</w:t>
            </w:r>
          </w:p>
        </w:tc>
        <w:tc>
          <w:tcPr>
            <w:tcW w:w="1028" w:type="dxa"/>
            <w:tcBorders>
              <w:top w:val="nil"/>
              <w:left w:val="nil"/>
              <w:bottom w:val="nil"/>
              <w:right w:val="single" w:sz="4" w:space="0" w:color="auto"/>
            </w:tcBorders>
            <w:shd w:val="clear" w:color="auto" w:fill="auto"/>
            <w:noWrap/>
            <w:hideMark/>
          </w:tcPr>
          <w:p w14:paraId="3CDD9240"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11.6</w:t>
            </w:r>
          </w:p>
        </w:tc>
        <w:tc>
          <w:tcPr>
            <w:tcW w:w="1493" w:type="dxa"/>
            <w:tcBorders>
              <w:top w:val="nil"/>
              <w:left w:val="single" w:sz="4" w:space="0" w:color="auto"/>
              <w:bottom w:val="nil"/>
              <w:right w:val="nil"/>
            </w:tcBorders>
            <w:shd w:val="clear" w:color="auto" w:fill="auto"/>
            <w:noWrap/>
            <w:hideMark/>
          </w:tcPr>
          <w:p w14:paraId="1B406BCE"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64.6</w:t>
            </w:r>
          </w:p>
        </w:tc>
      </w:tr>
      <w:tr w:rsidR="007A2FDE" w:rsidRPr="004A792A" w14:paraId="236B7722" w14:textId="77777777" w:rsidTr="007A2FDE">
        <w:tc>
          <w:tcPr>
            <w:tcW w:w="3469" w:type="dxa"/>
            <w:tcBorders>
              <w:top w:val="nil"/>
              <w:left w:val="nil"/>
              <w:bottom w:val="nil"/>
              <w:right w:val="single" w:sz="4" w:space="0" w:color="auto"/>
            </w:tcBorders>
            <w:shd w:val="clear" w:color="auto" w:fill="auto"/>
            <w:noWrap/>
            <w:hideMark/>
          </w:tcPr>
          <w:p w14:paraId="3F61CB3D"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Clerical support workers</w:t>
            </w:r>
          </w:p>
        </w:tc>
        <w:tc>
          <w:tcPr>
            <w:tcW w:w="1027" w:type="dxa"/>
            <w:tcBorders>
              <w:top w:val="nil"/>
              <w:left w:val="single" w:sz="4" w:space="0" w:color="auto"/>
              <w:bottom w:val="nil"/>
              <w:right w:val="nil"/>
            </w:tcBorders>
            <w:shd w:val="clear" w:color="auto" w:fill="auto"/>
            <w:noWrap/>
            <w:hideMark/>
          </w:tcPr>
          <w:p w14:paraId="25BEB1B0"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17.5</w:t>
            </w:r>
          </w:p>
        </w:tc>
        <w:tc>
          <w:tcPr>
            <w:tcW w:w="1028" w:type="dxa"/>
            <w:tcBorders>
              <w:top w:val="nil"/>
              <w:left w:val="nil"/>
              <w:bottom w:val="nil"/>
              <w:right w:val="single" w:sz="4" w:space="0" w:color="auto"/>
            </w:tcBorders>
            <w:shd w:val="clear" w:color="auto" w:fill="auto"/>
            <w:noWrap/>
            <w:hideMark/>
          </w:tcPr>
          <w:p w14:paraId="1FB36E34"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13.8</w:t>
            </w:r>
          </w:p>
        </w:tc>
        <w:tc>
          <w:tcPr>
            <w:tcW w:w="1027" w:type="dxa"/>
            <w:tcBorders>
              <w:top w:val="nil"/>
              <w:left w:val="single" w:sz="4" w:space="0" w:color="auto"/>
              <w:bottom w:val="nil"/>
              <w:right w:val="nil"/>
            </w:tcBorders>
            <w:shd w:val="clear" w:color="auto" w:fill="auto"/>
            <w:noWrap/>
            <w:hideMark/>
          </w:tcPr>
          <w:p w14:paraId="41977C62"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2.3</w:t>
            </w:r>
          </w:p>
        </w:tc>
        <w:tc>
          <w:tcPr>
            <w:tcW w:w="1028" w:type="dxa"/>
            <w:tcBorders>
              <w:top w:val="nil"/>
              <w:left w:val="nil"/>
              <w:bottom w:val="nil"/>
              <w:right w:val="single" w:sz="4" w:space="0" w:color="auto"/>
            </w:tcBorders>
            <w:shd w:val="clear" w:color="auto" w:fill="auto"/>
            <w:noWrap/>
            <w:hideMark/>
          </w:tcPr>
          <w:p w14:paraId="6B8B9DFB"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5.4</w:t>
            </w:r>
          </w:p>
        </w:tc>
        <w:tc>
          <w:tcPr>
            <w:tcW w:w="1493" w:type="dxa"/>
            <w:tcBorders>
              <w:top w:val="nil"/>
              <w:left w:val="single" w:sz="4" w:space="0" w:color="auto"/>
              <w:bottom w:val="nil"/>
              <w:right w:val="nil"/>
            </w:tcBorders>
            <w:shd w:val="clear" w:color="auto" w:fill="auto"/>
            <w:noWrap/>
            <w:hideMark/>
          </w:tcPr>
          <w:p w14:paraId="663892FA"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73.0</w:t>
            </w:r>
          </w:p>
        </w:tc>
      </w:tr>
      <w:tr w:rsidR="007A2FDE" w:rsidRPr="004A792A" w14:paraId="3A1E4A91" w14:textId="77777777" w:rsidTr="007A2FDE">
        <w:tc>
          <w:tcPr>
            <w:tcW w:w="3469" w:type="dxa"/>
            <w:tcBorders>
              <w:top w:val="nil"/>
              <w:left w:val="nil"/>
              <w:bottom w:val="nil"/>
              <w:right w:val="single" w:sz="4" w:space="0" w:color="auto"/>
            </w:tcBorders>
            <w:shd w:val="clear" w:color="auto" w:fill="auto"/>
            <w:noWrap/>
            <w:hideMark/>
          </w:tcPr>
          <w:p w14:paraId="6CC625EC"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Service and sales workers</w:t>
            </w:r>
          </w:p>
        </w:tc>
        <w:tc>
          <w:tcPr>
            <w:tcW w:w="1027" w:type="dxa"/>
            <w:tcBorders>
              <w:top w:val="nil"/>
              <w:left w:val="single" w:sz="4" w:space="0" w:color="auto"/>
              <w:bottom w:val="nil"/>
              <w:right w:val="nil"/>
            </w:tcBorders>
            <w:shd w:val="clear" w:color="auto" w:fill="auto"/>
            <w:noWrap/>
            <w:hideMark/>
          </w:tcPr>
          <w:p w14:paraId="08A9AF05"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28.0</w:t>
            </w:r>
          </w:p>
        </w:tc>
        <w:tc>
          <w:tcPr>
            <w:tcW w:w="1028" w:type="dxa"/>
            <w:tcBorders>
              <w:top w:val="nil"/>
              <w:left w:val="nil"/>
              <w:bottom w:val="nil"/>
              <w:right w:val="single" w:sz="4" w:space="0" w:color="auto"/>
            </w:tcBorders>
            <w:shd w:val="clear" w:color="auto" w:fill="auto"/>
            <w:noWrap/>
            <w:hideMark/>
          </w:tcPr>
          <w:p w14:paraId="70AC1606"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26.4</w:t>
            </w:r>
          </w:p>
        </w:tc>
        <w:tc>
          <w:tcPr>
            <w:tcW w:w="1027" w:type="dxa"/>
            <w:tcBorders>
              <w:top w:val="nil"/>
              <w:left w:val="single" w:sz="4" w:space="0" w:color="auto"/>
              <w:bottom w:val="nil"/>
              <w:right w:val="nil"/>
            </w:tcBorders>
            <w:shd w:val="clear" w:color="auto" w:fill="auto"/>
            <w:noWrap/>
            <w:hideMark/>
          </w:tcPr>
          <w:p w14:paraId="14D5E1C3"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9.7</w:t>
            </w:r>
          </w:p>
        </w:tc>
        <w:tc>
          <w:tcPr>
            <w:tcW w:w="1028" w:type="dxa"/>
            <w:tcBorders>
              <w:top w:val="nil"/>
              <w:left w:val="nil"/>
              <w:bottom w:val="nil"/>
              <w:right w:val="single" w:sz="4" w:space="0" w:color="auto"/>
            </w:tcBorders>
            <w:shd w:val="clear" w:color="auto" w:fill="auto"/>
            <w:noWrap/>
            <w:hideMark/>
          </w:tcPr>
          <w:p w14:paraId="6C42B9CC"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23.6</w:t>
            </w:r>
          </w:p>
        </w:tc>
        <w:tc>
          <w:tcPr>
            <w:tcW w:w="1493" w:type="dxa"/>
            <w:tcBorders>
              <w:top w:val="nil"/>
              <w:left w:val="single" w:sz="4" w:space="0" w:color="auto"/>
              <w:bottom w:val="nil"/>
              <w:right w:val="nil"/>
            </w:tcBorders>
            <w:shd w:val="clear" w:color="auto" w:fill="auto"/>
            <w:noWrap/>
            <w:hideMark/>
          </w:tcPr>
          <w:p w14:paraId="56DEBDA5"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74.0</w:t>
            </w:r>
          </w:p>
        </w:tc>
      </w:tr>
      <w:tr w:rsidR="007A2FDE" w:rsidRPr="004A792A" w14:paraId="40B7958E" w14:textId="77777777" w:rsidTr="007A2FDE">
        <w:tc>
          <w:tcPr>
            <w:tcW w:w="3469" w:type="dxa"/>
            <w:tcBorders>
              <w:top w:val="nil"/>
              <w:left w:val="nil"/>
              <w:bottom w:val="nil"/>
              <w:right w:val="single" w:sz="4" w:space="0" w:color="auto"/>
            </w:tcBorders>
            <w:shd w:val="clear" w:color="auto" w:fill="auto"/>
            <w:noWrap/>
            <w:hideMark/>
          </w:tcPr>
          <w:p w14:paraId="371F7E88"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Skilled agricultural, forestry and fishery workers</w:t>
            </w:r>
          </w:p>
        </w:tc>
        <w:tc>
          <w:tcPr>
            <w:tcW w:w="1027" w:type="dxa"/>
            <w:tcBorders>
              <w:top w:val="nil"/>
              <w:left w:val="single" w:sz="4" w:space="0" w:color="auto"/>
              <w:bottom w:val="nil"/>
              <w:right w:val="nil"/>
            </w:tcBorders>
            <w:shd w:val="clear" w:color="auto" w:fill="auto"/>
            <w:noWrap/>
            <w:hideMark/>
          </w:tcPr>
          <w:p w14:paraId="4E4609C9"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-11.7</w:t>
            </w:r>
          </w:p>
        </w:tc>
        <w:tc>
          <w:tcPr>
            <w:tcW w:w="1028" w:type="dxa"/>
            <w:tcBorders>
              <w:top w:val="nil"/>
              <w:left w:val="nil"/>
              <w:bottom w:val="nil"/>
              <w:right w:val="single" w:sz="4" w:space="0" w:color="auto"/>
            </w:tcBorders>
            <w:shd w:val="clear" w:color="auto" w:fill="auto"/>
            <w:noWrap/>
            <w:hideMark/>
          </w:tcPr>
          <w:p w14:paraId="6FF250D0"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-13.5</w:t>
            </w:r>
          </w:p>
        </w:tc>
        <w:tc>
          <w:tcPr>
            <w:tcW w:w="1027" w:type="dxa"/>
            <w:tcBorders>
              <w:top w:val="nil"/>
              <w:left w:val="single" w:sz="4" w:space="0" w:color="auto"/>
              <w:bottom w:val="nil"/>
              <w:right w:val="nil"/>
            </w:tcBorders>
            <w:shd w:val="clear" w:color="auto" w:fill="auto"/>
            <w:noWrap/>
            <w:hideMark/>
          </w:tcPr>
          <w:p w14:paraId="3E1331E0"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1.5</w:t>
            </w:r>
          </w:p>
        </w:tc>
        <w:tc>
          <w:tcPr>
            <w:tcW w:w="1028" w:type="dxa"/>
            <w:tcBorders>
              <w:top w:val="nil"/>
              <w:left w:val="nil"/>
              <w:bottom w:val="nil"/>
              <w:right w:val="single" w:sz="4" w:space="0" w:color="auto"/>
            </w:tcBorders>
            <w:shd w:val="clear" w:color="auto" w:fill="auto"/>
            <w:noWrap/>
            <w:hideMark/>
          </w:tcPr>
          <w:p w14:paraId="016D3106"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1.4</w:t>
            </w:r>
          </w:p>
        </w:tc>
        <w:tc>
          <w:tcPr>
            <w:tcW w:w="1493" w:type="dxa"/>
            <w:tcBorders>
              <w:top w:val="nil"/>
              <w:left w:val="single" w:sz="4" w:space="0" w:color="auto"/>
              <w:bottom w:val="nil"/>
              <w:right w:val="nil"/>
            </w:tcBorders>
            <w:shd w:val="clear" w:color="auto" w:fill="auto"/>
            <w:noWrap/>
            <w:hideMark/>
          </w:tcPr>
          <w:p w14:paraId="54FE7411"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52.2</w:t>
            </w:r>
          </w:p>
        </w:tc>
      </w:tr>
      <w:tr w:rsidR="007A2FDE" w:rsidRPr="004A792A" w14:paraId="296A9987" w14:textId="77777777" w:rsidTr="007A2FDE">
        <w:tc>
          <w:tcPr>
            <w:tcW w:w="3469" w:type="dxa"/>
            <w:tcBorders>
              <w:top w:val="nil"/>
              <w:left w:val="nil"/>
              <w:bottom w:val="nil"/>
              <w:right w:val="single" w:sz="4" w:space="0" w:color="auto"/>
            </w:tcBorders>
            <w:shd w:val="clear" w:color="auto" w:fill="auto"/>
            <w:noWrap/>
            <w:hideMark/>
          </w:tcPr>
          <w:p w14:paraId="5DF144AC"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Craft and related trades workers</w:t>
            </w:r>
          </w:p>
        </w:tc>
        <w:tc>
          <w:tcPr>
            <w:tcW w:w="1027" w:type="dxa"/>
            <w:tcBorders>
              <w:top w:val="nil"/>
              <w:left w:val="single" w:sz="4" w:space="0" w:color="auto"/>
              <w:bottom w:val="nil"/>
              <w:right w:val="nil"/>
            </w:tcBorders>
            <w:shd w:val="clear" w:color="auto" w:fill="auto"/>
            <w:noWrap/>
            <w:hideMark/>
          </w:tcPr>
          <w:p w14:paraId="0BE45D65"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9.3</w:t>
            </w:r>
          </w:p>
        </w:tc>
        <w:tc>
          <w:tcPr>
            <w:tcW w:w="1028" w:type="dxa"/>
            <w:tcBorders>
              <w:top w:val="nil"/>
              <w:left w:val="nil"/>
              <w:bottom w:val="nil"/>
              <w:right w:val="single" w:sz="4" w:space="0" w:color="auto"/>
            </w:tcBorders>
            <w:shd w:val="clear" w:color="auto" w:fill="auto"/>
            <w:noWrap/>
            <w:hideMark/>
          </w:tcPr>
          <w:p w14:paraId="52DF962D"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8.9</w:t>
            </w:r>
          </w:p>
        </w:tc>
        <w:tc>
          <w:tcPr>
            <w:tcW w:w="1027" w:type="dxa"/>
            <w:tcBorders>
              <w:top w:val="nil"/>
              <w:left w:val="single" w:sz="4" w:space="0" w:color="auto"/>
              <w:bottom w:val="nil"/>
              <w:right w:val="nil"/>
            </w:tcBorders>
            <w:shd w:val="clear" w:color="auto" w:fill="auto"/>
            <w:noWrap/>
            <w:hideMark/>
          </w:tcPr>
          <w:p w14:paraId="669115CF"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17.3</w:t>
            </w:r>
          </w:p>
        </w:tc>
        <w:tc>
          <w:tcPr>
            <w:tcW w:w="1028" w:type="dxa"/>
            <w:tcBorders>
              <w:top w:val="nil"/>
              <w:left w:val="nil"/>
              <w:bottom w:val="nil"/>
              <w:right w:val="single" w:sz="4" w:space="0" w:color="auto"/>
            </w:tcBorders>
            <w:shd w:val="clear" w:color="auto" w:fill="auto"/>
            <w:noWrap/>
            <w:hideMark/>
          </w:tcPr>
          <w:p w14:paraId="66FEA1C1"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9.2</w:t>
            </w:r>
          </w:p>
        </w:tc>
        <w:tc>
          <w:tcPr>
            <w:tcW w:w="1493" w:type="dxa"/>
            <w:tcBorders>
              <w:top w:val="nil"/>
              <w:left w:val="single" w:sz="4" w:space="0" w:color="auto"/>
              <w:bottom w:val="nil"/>
              <w:right w:val="nil"/>
            </w:tcBorders>
            <w:shd w:val="clear" w:color="auto" w:fill="auto"/>
            <w:noWrap/>
            <w:hideMark/>
          </w:tcPr>
          <w:p w14:paraId="5190571B"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38.5</w:t>
            </w:r>
          </w:p>
        </w:tc>
      </w:tr>
      <w:tr w:rsidR="007A2FDE" w:rsidRPr="004A792A" w14:paraId="65550EDC" w14:textId="77777777" w:rsidTr="008D0C50">
        <w:tc>
          <w:tcPr>
            <w:tcW w:w="3469" w:type="dxa"/>
            <w:tcBorders>
              <w:top w:val="nil"/>
              <w:left w:val="nil"/>
              <w:right w:val="single" w:sz="4" w:space="0" w:color="auto"/>
            </w:tcBorders>
            <w:shd w:val="clear" w:color="auto" w:fill="auto"/>
            <w:noWrap/>
            <w:hideMark/>
          </w:tcPr>
          <w:p w14:paraId="7990870A"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Plant and machine operators, and assemblers</w:t>
            </w:r>
          </w:p>
        </w:tc>
        <w:tc>
          <w:tcPr>
            <w:tcW w:w="1027" w:type="dxa"/>
            <w:tcBorders>
              <w:top w:val="nil"/>
              <w:left w:val="single" w:sz="4" w:space="0" w:color="auto"/>
              <w:right w:val="nil"/>
            </w:tcBorders>
            <w:shd w:val="clear" w:color="auto" w:fill="auto"/>
            <w:noWrap/>
            <w:hideMark/>
          </w:tcPr>
          <w:p w14:paraId="389970E9"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12.1</w:t>
            </w:r>
          </w:p>
        </w:tc>
        <w:tc>
          <w:tcPr>
            <w:tcW w:w="1028" w:type="dxa"/>
            <w:tcBorders>
              <w:top w:val="nil"/>
              <w:left w:val="nil"/>
              <w:right w:val="single" w:sz="4" w:space="0" w:color="auto"/>
            </w:tcBorders>
            <w:shd w:val="clear" w:color="auto" w:fill="auto"/>
            <w:noWrap/>
            <w:hideMark/>
          </w:tcPr>
          <w:p w14:paraId="718D723C"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6.3</w:t>
            </w:r>
          </w:p>
        </w:tc>
        <w:tc>
          <w:tcPr>
            <w:tcW w:w="1027" w:type="dxa"/>
            <w:tcBorders>
              <w:top w:val="nil"/>
              <w:left w:val="single" w:sz="4" w:space="0" w:color="auto"/>
              <w:right w:val="nil"/>
            </w:tcBorders>
            <w:shd w:val="clear" w:color="auto" w:fill="auto"/>
            <w:noWrap/>
            <w:hideMark/>
          </w:tcPr>
          <w:p w14:paraId="5A644E99"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17.8</w:t>
            </w:r>
          </w:p>
        </w:tc>
        <w:tc>
          <w:tcPr>
            <w:tcW w:w="1028" w:type="dxa"/>
            <w:tcBorders>
              <w:top w:val="nil"/>
              <w:left w:val="nil"/>
              <w:right w:val="single" w:sz="4" w:space="0" w:color="auto"/>
            </w:tcBorders>
            <w:shd w:val="clear" w:color="auto" w:fill="auto"/>
            <w:noWrap/>
            <w:hideMark/>
          </w:tcPr>
          <w:p w14:paraId="55282583"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1.4</w:t>
            </w:r>
          </w:p>
        </w:tc>
        <w:tc>
          <w:tcPr>
            <w:tcW w:w="1493" w:type="dxa"/>
            <w:tcBorders>
              <w:top w:val="nil"/>
              <w:left w:val="single" w:sz="4" w:space="0" w:color="auto"/>
              <w:right w:val="nil"/>
            </w:tcBorders>
            <w:shd w:val="clear" w:color="auto" w:fill="auto"/>
            <w:noWrap/>
            <w:hideMark/>
          </w:tcPr>
          <w:p w14:paraId="0033FBF1"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8.6</w:t>
            </w:r>
          </w:p>
        </w:tc>
      </w:tr>
      <w:tr w:rsidR="007A2FDE" w:rsidRPr="004A792A" w14:paraId="623D43CA" w14:textId="77777777" w:rsidTr="008D0C50">
        <w:tc>
          <w:tcPr>
            <w:tcW w:w="3469" w:type="dxa"/>
            <w:tcBorders>
              <w:top w:val="nil"/>
              <w:left w:val="nil"/>
              <w:bottom w:val="single" w:sz="4" w:space="0" w:color="auto"/>
              <w:right w:val="single" w:sz="4" w:space="0" w:color="auto"/>
            </w:tcBorders>
            <w:shd w:val="clear" w:color="auto" w:fill="auto"/>
            <w:noWrap/>
            <w:hideMark/>
          </w:tcPr>
          <w:p w14:paraId="0B28049D" w14:textId="77777777" w:rsidR="007A2FDE" w:rsidRPr="004A792A" w:rsidRDefault="007A2FDE" w:rsidP="007A2FDE">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Elementary occupations</w:t>
            </w:r>
          </w:p>
        </w:tc>
        <w:tc>
          <w:tcPr>
            <w:tcW w:w="1027" w:type="dxa"/>
            <w:tcBorders>
              <w:top w:val="nil"/>
              <w:left w:val="single" w:sz="4" w:space="0" w:color="auto"/>
              <w:bottom w:val="single" w:sz="4" w:space="0" w:color="auto"/>
              <w:right w:val="nil"/>
            </w:tcBorders>
            <w:shd w:val="clear" w:color="auto" w:fill="auto"/>
            <w:noWrap/>
            <w:hideMark/>
          </w:tcPr>
          <w:p w14:paraId="1945B21C"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8.3</w:t>
            </w:r>
          </w:p>
        </w:tc>
        <w:tc>
          <w:tcPr>
            <w:tcW w:w="1028" w:type="dxa"/>
            <w:tcBorders>
              <w:top w:val="nil"/>
              <w:left w:val="nil"/>
              <w:bottom w:val="single" w:sz="4" w:space="0" w:color="auto"/>
              <w:right w:val="single" w:sz="4" w:space="0" w:color="auto"/>
            </w:tcBorders>
            <w:shd w:val="clear" w:color="auto" w:fill="auto"/>
            <w:noWrap/>
            <w:hideMark/>
          </w:tcPr>
          <w:p w14:paraId="21CEA30E"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-1.4</w:t>
            </w:r>
          </w:p>
        </w:tc>
        <w:tc>
          <w:tcPr>
            <w:tcW w:w="1027" w:type="dxa"/>
            <w:tcBorders>
              <w:top w:val="nil"/>
              <w:left w:val="single" w:sz="4" w:space="0" w:color="auto"/>
              <w:bottom w:val="single" w:sz="4" w:space="0" w:color="auto"/>
              <w:right w:val="nil"/>
            </w:tcBorders>
            <w:shd w:val="clear" w:color="auto" w:fill="auto"/>
            <w:noWrap/>
            <w:hideMark/>
          </w:tcPr>
          <w:p w14:paraId="0F52237C"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17.3</w:t>
            </w:r>
          </w:p>
        </w:tc>
        <w:tc>
          <w:tcPr>
            <w:tcW w:w="1028" w:type="dxa"/>
            <w:tcBorders>
              <w:top w:val="nil"/>
              <w:left w:val="nil"/>
              <w:bottom w:val="single" w:sz="4" w:space="0" w:color="auto"/>
              <w:right w:val="single" w:sz="4" w:space="0" w:color="auto"/>
            </w:tcBorders>
            <w:shd w:val="clear" w:color="auto" w:fill="auto"/>
            <w:noWrap/>
            <w:hideMark/>
          </w:tcPr>
          <w:p w14:paraId="5D2805E4"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12.0</w:t>
            </w:r>
          </w:p>
        </w:tc>
        <w:tc>
          <w:tcPr>
            <w:tcW w:w="1493" w:type="dxa"/>
            <w:tcBorders>
              <w:top w:val="nil"/>
              <w:left w:val="single" w:sz="4" w:space="0" w:color="auto"/>
              <w:bottom w:val="single" w:sz="4" w:space="0" w:color="auto"/>
              <w:right w:val="nil"/>
            </w:tcBorders>
            <w:shd w:val="clear" w:color="auto" w:fill="auto"/>
            <w:noWrap/>
            <w:hideMark/>
          </w:tcPr>
          <w:p w14:paraId="6376DE5B" w14:textId="77777777" w:rsidR="007A2FDE" w:rsidRPr="004A792A" w:rsidRDefault="007A2FDE" w:rsidP="007A2FDE">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45.0</w:t>
            </w:r>
          </w:p>
        </w:tc>
      </w:tr>
      <w:tr w:rsidR="008D0C50" w:rsidRPr="002E2503" w14:paraId="479A8D84" w14:textId="77777777" w:rsidTr="008D0C50">
        <w:tc>
          <w:tcPr>
            <w:tcW w:w="3469" w:type="dxa"/>
            <w:tcBorders>
              <w:top w:val="single" w:sz="4" w:space="0" w:color="auto"/>
              <w:left w:val="nil"/>
              <w:bottom w:val="single" w:sz="4" w:space="0" w:color="auto"/>
              <w:right w:val="single" w:sz="4" w:space="0" w:color="auto"/>
            </w:tcBorders>
            <w:shd w:val="clear" w:color="auto" w:fill="auto"/>
            <w:noWrap/>
          </w:tcPr>
          <w:p w14:paraId="635E8A73" w14:textId="77777777" w:rsidR="008D0C50" w:rsidRPr="002E2503" w:rsidRDefault="008D0C50" w:rsidP="007A2FDE">
            <w:pPr>
              <w:spacing w:before="0"/>
              <w:rPr>
                <w:rFonts w:eastAsia="Times New Roman" w:cstheme="minorHAnsi"/>
                <w:color w:val="000000"/>
                <w:sz w:val="20"/>
                <w:szCs w:val="20"/>
                <w:lang w:val="en-US"/>
              </w:rPr>
            </w:pPr>
            <w:r w:rsidRPr="002E2503">
              <w:rPr>
                <w:rFonts w:eastAsia="Times New Roman" w:cstheme="minorHAnsi"/>
                <w:color w:val="000000"/>
                <w:sz w:val="20"/>
                <w:szCs w:val="20"/>
                <w:lang w:val="en-US"/>
              </w:rPr>
              <w:lastRenderedPageBreak/>
              <w:t>Total</w:t>
            </w:r>
          </w:p>
        </w:tc>
        <w:tc>
          <w:tcPr>
            <w:tcW w:w="1027" w:type="dxa"/>
            <w:tcBorders>
              <w:top w:val="single" w:sz="4" w:space="0" w:color="auto"/>
              <w:left w:val="single" w:sz="4" w:space="0" w:color="auto"/>
              <w:bottom w:val="single" w:sz="4" w:space="0" w:color="auto"/>
              <w:right w:val="nil"/>
            </w:tcBorders>
            <w:shd w:val="clear" w:color="auto" w:fill="auto"/>
            <w:noWrap/>
          </w:tcPr>
          <w:p w14:paraId="3CF25776" w14:textId="77777777" w:rsidR="008D0C50" w:rsidRPr="002E2503" w:rsidRDefault="00BE5B2F" w:rsidP="00BE5B2F">
            <w:pPr>
              <w:spacing w:before="0"/>
              <w:jc w:val="center"/>
              <w:rPr>
                <w:rFonts w:eastAsia="Times New Roman" w:cstheme="minorHAnsi"/>
                <w:color w:val="000000"/>
                <w:sz w:val="20"/>
                <w:szCs w:val="20"/>
                <w:lang w:val="en-US"/>
              </w:rPr>
            </w:pPr>
            <w:r w:rsidRPr="002E2503">
              <w:rPr>
                <w:rFonts w:eastAsia="Times New Roman" w:cstheme="minorHAnsi"/>
                <w:color w:val="000000"/>
                <w:sz w:val="20"/>
                <w:szCs w:val="20"/>
                <w:lang w:val="en-US"/>
              </w:rPr>
              <w:t>12.6</w:t>
            </w:r>
          </w:p>
        </w:tc>
        <w:tc>
          <w:tcPr>
            <w:tcW w:w="1028" w:type="dxa"/>
            <w:tcBorders>
              <w:top w:val="single" w:sz="4" w:space="0" w:color="auto"/>
              <w:left w:val="nil"/>
              <w:bottom w:val="single" w:sz="4" w:space="0" w:color="auto"/>
              <w:right w:val="single" w:sz="4" w:space="0" w:color="auto"/>
            </w:tcBorders>
            <w:shd w:val="clear" w:color="auto" w:fill="auto"/>
            <w:noWrap/>
          </w:tcPr>
          <w:p w14:paraId="3812231C" w14:textId="77777777" w:rsidR="008D0C50" w:rsidRPr="002E2503" w:rsidRDefault="00BE5B2F" w:rsidP="00BE5B2F">
            <w:pPr>
              <w:spacing w:before="0"/>
              <w:jc w:val="center"/>
              <w:rPr>
                <w:rFonts w:eastAsia="Times New Roman" w:cstheme="minorHAnsi"/>
                <w:color w:val="000000"/>
                <w:sz w:val="20"/>
                <w:szCs w:val="20"/>
                <w:lang w:val="en-US"/>
              </w:rPr>
            </w:pPr>
            <w:r w:rsidRPr="002E2503">
              <w:rPr>
                <w:rFonts w:eastAsia="Times New Roman" w:cstheme="minorHAnsi"/>
                <w:color w:val="000000"/>
                <w:sz w:val="20"/>
                <w:szCs w:val="20"/>
                <w:lang w:val="en-US"/>
              </w:rPr>
              <w:t>3.8</w:t>
            </w:r>
          </w:p>
        </w:tc>
        <w:tc>
          <w:tcPr>
            <w:tcW w:w="1027" w:type="dxa"/>
            <w:tcBorders>
              <w:top w:val="single" w:sz="4" w:space="0" w:color="auto"/>
              <w:left w:val="single" w:sz="4" w:space="0" w:color="auto"/>
              <w:bottom w:val="single" w:sz="4" w:space="0" w:color="auto"/>
              <w:right w:val="nil"/>
            </w:tcBorders>
            <w:shd w:val="clear" w:color="auto" w:fill="auto"/>
            <w:noWrap/>
          </w:tcPr>
          <w:p w14:paraId="2AD9A976" w14:textId="77777777" w:rsidR="008D0C50" w:rsidRPr="002E2503" w:rsidRDefault="00BE5B2F" w:rsidP="007A2FDE">
            <w:pPr>
              <w:spacing w:before="0"/>
              <w:jc w:val="center"/>
              <w:rPr>
                <w:rFonts w:eastAsia="Times New Roman" w:cstheme="minorHAnsi"/>
                <w:color w:val="000000"/>
                <w:sz w:val="20"/>
                <w:szCs w:val="20"/>
                <w:lang w:val="en-US"/>
              </w:rPr>
            </w:pPr>
            <w:r w:rsidRPr="002E2503">
              <w:rPr>
                <w:rFonts w:eastAsia="Times New Roman" w:cstheme="minorHAnsi"/>
                <w:color w:val="000000"/>
                <w:sz w:val="20"/>
                <w:szCs w:val="20"/>
                <w:lang w:val="en-US"/>
              </w:rPr>
              <w:t>100</w:t>
            </w:r>
          </w:p>
        </w:tc>
        <w:tc>
          <w:tcPr>
            <w:tcW w:w="1028" w:type="dxa"/>
            <w:tcBorders>
              <w:top w:val="single" w:sz="4" w:space="0" w:color="auto"/>
              <w:left w:val="nil"/>
              <w:bottom w:val="single" w:sz="4" w:space="0" w:color="auto"/>
              <w:right w:val="single" w:sz="4" w:space="0" w:color="auto"/>
            </w:tcBorders>
            <w:shd w:val="clear" w:color="auto" w:fill="auto"/>
            <w:noWrap/>
          </w:tcPr>
          <w:p w14:paraId="7B46E7DC" w14:textId="77777777" w:rsidR="008D0C50" w:rsidRPr="002E2503" w:rsidRDefault="00BE5B2F" w:rsidP="007A2FDE">
            <w:pPr>
              <w:spacing w:before="0"/>
              <w:jc w:val="center"/>
              <w:rPr>
                <w:rFonts w:eastAsia="Times New Roman" w:cstheme="minorHAnsi"/>
                <w:color w:val="000000"/>
                <w:sz w:val="20"/>
                <w:szCs w:val="20"/>
                <w:lang w:val="en-US"/>
              </w:rPr>
            </w:pPr>
            <w:r w:rsidRPr="002E2503">
              <w:rPr>
                <w:rFonts w:eastAsia="Times New Roman" w:cstheme="minorHAnsi"/>
                <w:color w:val="000000"/>
                <w:sz w:val="20"/>
                <w:szCs w:val="20"/>
                <w:lang w:val="en-US"/>
              </w:rPr>
              <w:t>100</w:t>
            </w:r>
          </w:p>
        </w:tc>
        <w:tc>
          <w:tcPr>
            <w:tcW w:w="1493" w:type="dxa"/>
            <w:tcBorders>
              <w:top w:val="single" w:sz="4" w:space="0" w:color="auto"/>
              <w:left w:val="single" w:sz="4" w:space="0" w:color="auto"/>
              <w:bottom w:val="single" w:sz="4" w:space="0" w:color="auto"/>
              <w:right w:val="nil"/>
            </w:tcBorders>
            <w:shd w:val="clear" w:color="auto" w:fill="auto"/>
            <w:noWrap/>
          </w:tcPr>
          <w:p w14:paraId="6A39D483" w14:textId="77777777" w:rsidR="008D0C50" w:rsidRPr="002E2503" w:rsidRDefault="001C1C0E" w:rsidP="007A2FDE">
            <w:pPr>
              <w:spacing w:before="0"/>
              <w:jc w:val="center"/>
              <w:rPr>
                <w:rFonts w:eastAsia="Times New Roman" w:cstheme="minorHAnsi"/>
                <w:color w:val="000000"/>
                <w:sz w:val="20"/>
                <w:szCs w:val="20"/>
                <w:lang w:val="en-US"/>
              </w:rPr>
            </w:pPr>
            <w:r w:rsidRPr="002E2503">
              <w:rPr>
                <w:rFonts w:eastAsia="Times New Roman" w:cstheme="minorHAnsi"/>
                <w:color w:val="000000"/>
                <w:sz w:val="20"/>
                <w:szCs w:val="20"/>
                <w:lang w:val="en-US"/>
              </w:rPr>
              <w:t>53.7</w:t>
            </w:r>
          </w:p>
        </w:tc>
      </w:tr>
    </w:tbl>
    <w:p w14:paraId="5248E692" w14:textId="77777777" w:rsidR="00607AF8" w:rsidRDefault="00607AF8" w:rsidP="00371FF4">
      <w:pPr>
        <w:pStyle w:val="61"/>
        <w:shd w:val="clear" w:color="auto" w:fill="auto"/>
        <w:spacing w:before="120" w:line="240" w:lineRule="auto"/>
        <w:jc w:val="both"/>
        <w:rPr>
          <w:b/>
          <w:sz w:val="22"/>
          <w:szCs w:val="22"/>
        </w:rPr>
      </w:pPr>
    </w:p>
    <w:p w14:paraId="0F33D853" w14:textId="77777777" w:rsidR="0039631F" w:rsidRPr="004A792A" w:rsidRDefault="0055400B" w:rsidP="00371FF4">
      <w:pPr>
        <w:pStyle w:val="61"/>
        <w:shd w:val="clear" w:color="auto" w:fill="auto"/>
        <w:spacing w:before="120" w:line="240" w:lineRule="auto"/>
        <w:jc w:val="both"/>
        <w:rPr>
          <w:sz w:val="22"/>
          <w:szCs w:val="22"/>
        </w:rPr>
      </w:pPr>
      <w:r w:rsidRPr="00847683">
        <w:rPr>
          <w:b/>
          <w:sz w:val="22"/>
          <w:szCs w:val="22"/>
        </w:rPr>
        <w:t>There is evidence of substantial overrepresentation of women in relatively lower-paying clerical, service and sales occupations and their underrepresentation in blue-collar jobs, including relatively high-paying craft and related trades occupations</w:t>
      </w:r>
      <w:r w:rsidRPr="004A792A">
        <w:rPr>
          <w:sz w:val="22"/>
          <w:szCs w:val="22"/>
        </w:rPr>
        <w:t xml:space="preserve">. The occupational group </w:t>
      </w:r>
      <w:r w:rsidR="00732B8A">
        <w:rPr>
          <w:sz w:val="22"/>
          <w:szCs w:val="22"/>
        </w:rPr>
        <w:t>that</w:t>
      </w:r>
      <w:r w:rsidR="00732B8A" w:rsidRPr="004A792A">
        <w:rPr>
          <w:sz w:val="22"/>
          <w:szCs w:val="22"/>
        </w:rPr>
        <w:t xml:space="preserve"> </w:t>
      </w:r>
      <w:r w:rsidRPr="004A792A">
        <w:rPr>
          <w:sz w:val="22"/>
          <w:szCs w:val="22"/>
        </w:rPr>
        <w:t xml:space="preserve">has the largest female share (service and sales workers) and </w:t>
      </w:r>
      <w:r w:rsidR="00732B8A">
        <w:rPr>
          <w:sz w:val="22"/>
          <w:szCs w:val="22"/>
        </w:rPr>
        <w:t>that</w:t>
      </w:r>
      <w:r w:rsidR="00732B8A" w:rsidRPr="004A792A">
        <w:rPr>
          <w:sz w:val="22"/>
          <w:szCs w:val="22"/>
        </w:rPr>
        <w:t xml:space="preserve"> </w:t>
      </w:r>
      <w:r w:rsidRPr="004A792A">
        <w:rPr>
          <w:sz w:val="22"/>
          <w:szCs w:val="22"/>
        </w:rPr>
        <w:t xml:space="preserve">employs almost 24 percent of all female employees also stands out in terms of the largest gender pay gap of over 25 percent. </w:t>
      </w:r>
      <w:r>
        <w:rPr>
          <w:sz w:val="22"/>
          <w:szCs w:val="22"/>
        </w:rPr>
        <w:t>On the other hand, the</w:t>
      </w:r>
      <w:r w:rsidRPr="004A792A">
        <w:rPr>
          <w:sz w:val="22"/>
          <w:szCs w:val="22"/>
        </w:rPr>
        <w:t xml:space="preserve"> unadjusted gender pay gap </w:t>
      </w:r>
      <w:r>
        <w:rPr>
          <w:sz w:val="22"/>
          <w:szCs w:val="22"/>
        </w:rPr>
        <w:t xml:space="preserve">is </w:t>
      </w:r>
      <w:r w:rsidRPr="004A792A">
        <w:rPr>
          <w:sz w:val="22"/>
          <w:szCs w:val="22"/>
        </w:rPr>
        <w:t xml:space="preserve">negative </w:t>
      </w:r>
      <w:r>
        <w:rPr>
          <w:sz w:val="22"/>
          <w:szCs w:val="22"/>
        </w:rPr>
        <w:t>among female and male employees working as skilled agricultural workers or in elementary occupations, implying that women may get on average more per month and/or hour of work than men (</w:t>
      </w:r>
      <w:r w:rsidRPr="004A792A">
        <w:rPr>
          <w:sz w:val="22"/>
          <w:szCs w:val="22"/>
        </w:rPr>
        <w:fldChar w:fldCharType="begin"/>
      </w:r>
      <w:r w:rsidRPr="004A792A">
        <w:rPr>
          <w:sz w:val="22"/>
          <w:szCs w:val="22"/>
        </w:rPr>
        <w:instrText xml:space="preserve"> REF _Ref519528684 \h  \* MERGEFORMAT </w:instrText>
      </w:r>
      <w:r w:rsidRPr="004A792A">
        <w:rPr>
          <w:sz w:val="22"/>
          <w:szCs w:val="22"/>
        </w:rPr>
      </w:r>
      <w:r w:rsidRPr="004A792A">
        <w:rPr>
          <w:sz w:val="22"/>
          <w:szCs w:val="22"/>
        </w:rPr>
        <w:fldChar w:fldCharType="separate"/>
      </w:r>
      <w:r w:rsidRPr="00206AA9">
        <w:rPr>
          <w:sz w:val="22"/>
          <w:szCs w:val="22"/>
        </w:rPr>
        <w:t>Table 5</w:t>
      </w:r>
      <w:r w:rsidRPr="004A792A">
        <w:rPr>
          <w:sz w:val="22"/>
          <w:szCs w:val="22"/>
        </w:rPr>
        <w:fldChar w:fldCharType="end"/>
      </w:r>
      <w:r w:rsidRPr="004A792A">
        <w:rPr>
          <w:sz w:val="22"/>
          <w:szCs w:val="22"/>
        </w:rPr>
        <w:t>).</w:t>
      </w:r>
    </w:p>
    <w:p w14:paraId="52FE93AF" w14:textId="049AC579" w:rsidR="009A1C99" w:rsidRPr="004A792A" w:rsidRDefault="009A1C99" w:rsidP="009A1C99">
      <w:pPr>
        <w:pStyle w:val="2"/>
        <w:numPr>
          <w:ilvl w:val="0"/>
          <w:numId w:val="0"/>
        </w:numPr>
        <w:spacing w:before="360"/>
        <w:rPr>
          <w:color w:val="0070C0"/>
          <w:sz w:val="32"/>
          <w:szCs w:val="32"/>
        </w:rPr>
      </w:pPr>
      <w:bookmarkStart w:id="87" w:name="_Toc533211741"/>
      <w:r w:rsidRPr="004A792A">
        <w:rPr>
          <w:color w:val="0070C0"/>
          <w:sz w:val="32"/>
          <w:szCs w:val="32"/>
        </w:rPr>
        <w:t xml:space="preserve">4.2. </w:t>
      </w:r>
      <w:r w:rsidR="00AB4A89" w:rsidRPr="004A792A">
        <w:rPr>
          <w:color w:val="0070C0"/>
          <w:sz w:val="32"/>
          <w:szCs w:val="32"/>
        </w:rPr>
        <w:t xml:space="preserve">Adjusted </w:t>
      </w:r>
      <w:r w:rsidRPr="004A792A">
        <w:rPr>
          <w:color w:val="0070C0"/>
          <w:sz w:val="32"/>
          <w:szCs w:val="32"/>
        </w:rPr>
        <w:t xml:space="preserve">gender </w:t>
      </w:r>
      <w:r w:rsidR="00D466D0" w:rsidRPr="004A792A">
        <w:rPr>
          <w:color w:val="0070C0"/>
          <w:sz w:val="32"/>
          <w:szCs w:val="32"/>
        </w:rPr>
        <w:t>pay</w:t>
      </w:r>
      <w:r w:rsidRPr="004A792A">
        <w:rPr>
          <w:color w:val="0070C0"/>
          <w:sz w:val="32"/>
          <w:szCs w:val="32"/>
        </w:rPr>
        <w:t xml:space="preserve"> gap</w:t>
      </w:r>
      <w:r w:rsidR="00AB4A89" w:rsidRPr="004A792A">
        <w:rPr>
          <w:color w:val="0070C0"/>
          <w:sz w:val="32"/>
          <w:szCs w:val="32"/>
        </w:rPr>
        <w:t xml:space="preserve"> and its decomposition</w:t>
      </w:r>
      <w:r w:rsidR="00847683">
        <w:rPr>
          <w:rStyle w:val="af9"/>
          <w:color w:val="0070C0"/>
          <w:sz w:val="32"/>
          <w:szCs w:val="32"/>
        </w:rPr>
        <w:footnoteReference w:id="25"/>
      </w:r>
      <w:bookmarkEnd w:id="87"/>
    </w:p>
    <w:p w14:paraId="0789F49F" w14:textId="1EC7DBA3" w:rsidR="00847683" w:rsidRPr="00847683" w:rsidRDefault="00847683" w:rsidP="00847683">
      <w:pPr>
        <w:pStyle w:val="61"/>
        <w:shd w:val="clear" w:color="auto" w:fill="auto"/>
        <w:spacing w:before="120" w:line="240" w:lineRule="auto"/>
        <w:jc w:val="both"/>
        <w:rPr>
          <w:sz w:val="22"/>
          <w:szCs w:val="22"/>
        </w:rPr>
      </w:pPr>
      <w:r w:rsidRPr="00847683">
        <w:rPr>
          <w:b/>
          <w:sz w:val="22"/>
          <w:szCs w:val="22"/>
        </w:rPr>
        <w:t xml:space="preserve">Yet, if many other factors of wage variation are held constant, </w:t>
      </w:r>
      <w:r w:rsidR="00E52EDD" w:rsidRPr="00CD5F0B">
        <w:rPr>
          <w:b/>
          <w:sz w:val="22"/>
          <w:szCs w:val="22"/>
        </w:rPr>
        <w:t>occupation and sector</w:t>
      </w:r>
      <w:r w:rsidR="00E52EDD">
        <w:rPr>
          <w:sz w:val="22"/>
          <w:szCs w:val="22"/>
        </w:rPr>
        <w:t>,</w:t>
      </w:r>
      <w:r w:rsidR="00E52EDD" w:rsidRPr="008E082A">
        <w:rPr>
          <w:sz w:val="22"/>
          <w:szCs w:val="22"/>
        </w:rPr>
        <w:t xml:space="preserve"> </w:t>
      </w:r>
      <w:r w:rsidR="00E52EDD">
        <w:rPr>
          <w:sz w:val="22"/>
          <w:szCs w:val="22"/>
        </w:rPr>
        <w:t>which</w:t>
      </w:r>
      <w:r w:rsidR="00E52EDD" w:rsidRPr="008E082A">
        <w:rPr>
          <w:sz w:val="22"/>
          <w:szCs w:val="22"/>
        </w:rPr>
        <w:t xml:space="preserve"> are usually considered the main contributors to the existing pay gap in developed countries (e.g. </w:t>
      </w:r>
      <w:proofErr w:type="spellStart"/>
      <w:r w:rsidR="00E52EDD" w:rsidRPr="008E082A">
        <w:rPr>
          <w:sz w:val="22"/>
          <w:szCs w:val="22"/>
        </w:rPr>
        <w:t>Blau</w:t>
      </w:r>
      <w:proofErr w:type="spellEnd"/>
      <w:r w:rsidR="00E52EDD" w:rsidRPr="008E082A">
        <w:rPr>
          <w:sz w:val="22"/>
          <w:szCs w:val="22"/>
        </w:rPr>
        <w:t xml:space="preserve"> and Kahn, 2017)</w:t>
      </w:r>
      <w:r w:rsidR="00E52EDD">
        <w:rPr>
          <w:sz w:val="22"/>
          <w:szCs w:val="22"/>
        </w:rPr>
        <w:t>,</w:t>
      </w:r>
      <w:r w:rsidRPr="00847683">
        <w:rPr>
          <w:b/>
          <w:sz w:val="22"/>
          <w:szCs w:val="22"/>
        </w:rPr>
        <w:t xml:space="preserve"> appear to be an insignificant</w:t>
      </w:r>
      <w:r w:rsidR="00E52EDD">
        <w:rPr>
          <w:b/>
          <w:sz w:val="22"/>
          <w:szCs w:val="22"/>
        </w:rPr>
        <w:t xml:space="preserve"> or negative </w:t>
      </w:r>
      <w:r w:rsidRPr="00847683">
        <w:rPr>
          <w:b/>
          <w:sz w:val="22"/>
          <w:szCs w:val="22"/>
        </w:rPr>
        <w:t>contributor to the gender pay gap</w:t>
      </w:r>
      <w:r w:rsidR="00E52EDD">
        <w:rPr>
          <w:b/>
          <w:sz w:val="22"/>
          <w:szCs w:val="22"/>
        </w:rPr>
        <w:t xml:space="preserve"> in Moldova</w:t>
      </w:r>
      <w:r w:rsidRPr="00847683">
        <w:rPr>
          <w:sz w:val="22"/>
          <w:szCs w:val="22"/>
        </w:rPr>
        <w:t xml:space="preserve"> (</w:t>
      </w:r>
      <w:r w:rsidRPr="00847683">
        <w:rPr>
          <w:sz w:val="22"/>
          <w:szCs w:val="22"/>
        </w:rPr>
        <w:fldChar w:fldCharType="begin"/>
      </w:r>
      <w:r w:rsidRPr="00847683">
        <w:rPr>
          <w:sz w:val="22"/>
          <w:szCs w:val="22"/>
        </w:rPr>
        <w:instrText xml:space="preserve"> REF _Ref519547332 \h  \* MERGEFORMAT </w:instrText>
      </w:r>
      <w:r w:rsidRPr="00847683">
        <w:rPr>
          <w:sz w:val="22"/>
          <w:szCs w:val="22"/>
        </w:rPr>
      </w:r>
      <w:r w:rsidRPr="00847683">
        <w:rPr>
          <w:sz w:val="22"/>
          <w:szCs w:val="22"/>
        </w:rPr>
        <w:fldChar w:fldCharType="separate"/>
      </w:r>
      <w:r w:rsidRPr="00847683">
        <w:rPr>
          <w:sz w:val="22"/>
          <w:szCs w:val="22"/>
        </w:rPr>
        <w:t>Table 6</w:t>
      </w:r>
      <w:r w:rsidRPr="00847683">
        <w:rPr>
          <w:sz w:val="22"/>
          <w:szCs w:val="22"/>
        </w:rPr>
        <w:fldChar w:fldCharType="end"/>
      </w:r>
      <w:r w:rsidRPr="00847683">
        <w:rPr>
          <w:sz w:val="22"/>
          <w:szCs w:val="22"/>
        </w:rPr>
        <w:t xml:space="preserve">). </w:t>
      </w:r>
      <w:r w:rsidR="0082581D" w:rsidRPr="00847683">
        <w:rPr>
          <w:sz w:val="22"/>
          <w:szCs w:val="22"/>
        </w:rPr>
        <w:t>In both specifications the gender gap narrowed between 2010 and 2016, which mirrors our findings based on the analysis of unadjusted pay gap (</w:t>
      </w:r>
      <w:r w:rsidR="0082581D" w:rsidRPr="00847683">
        <w:rPr>
          <w:sz w:val="22"/>
          <w:szCs w:val="22"/>
        </w:rPr>
        <w:fldChar w:fldCharType="begin"/>
      </w:r>
      <w:r w:rsidR="0082581D" w:rsidRPr="00847683">
        <w:rPr>
          <w:sz w:val="22"/>
          <w:szCs w:val="22"/>
        </w:rPr>
        <w:instrText xml:space="preserve"> REF _Ref519513661 \h  \* MERGEFORMAT </w:instrText>
      </w:r>
      <w:r w:rsidR="0082581D" w:rsidRPr="00847683">
        <w:rPr>
          <w:sz w:val="22"/>
          <w:szCs w:val="22"/>
        </w:rPr>
      </w:r>
      <w:r w:rsidR="0082581D" w:rsidRPr="00847683">
        <w:rPr>
          <w:sz w:val="22"/>
          <w:szCs w:val="22"/>
        </w:rPr>
        <w:fldChar w:fldCharType="separate"/>
      </w:r>
      <w:r w:rsidR="0082581D" w:rsidRPr="00410C98">
        <w:rPr>
          <w:sz w:val="22"/>
          <w:szCs w:val="22"/>
        </w:rPr>
        <w:t>Figure 22</w:t>
      </w:r>
      <w:r w:rsidR="0082581D" w:rsidRPr="00847683">
        <w:rPr>
          <w:sz w:val="22"/>
          <w:szCs w:val="22"/>
        </w:rPr>
        <w:fldChar w:fldCharType="end"/>
      </w:r>
      <w:r w:rsidR="0082581D" w:rsidRPr="00847683">
        <w:rPr>
          <w:sz w:val="22"/>
          <w:szCs w:val="22"/>
        </w:rPr>
        <w:t>). In line with expectations, the gender pay gap narrows when we control for important job characteristics in the full specification.</w:t>
      </w:r>
      <w:r w:rsidR="0082581D" w:rsidRPr="0082581D">
        <w:rPr>
          <w:sz w:val="22"/>
          <w:szCs w:val="22"/>
        </w:rPr>
        <w:t xml:space="preserve"> </w:t>
      </w:r>
      <w:r w:rsidR="0082581D" w:rsidRPr="00847683">
        <w:rPr>
          <w:sz w:val="22"/>
          <w:szCs w:val="22"/>
        </w:rPr>
        <w:t>According to the Oaxaca-Blinder decomposition of gender pay gap in hourly wages in 2016, place of residence</w:t>
      </w:r>
      <w:r w:rsidR="0082581D">
        <w:rPr>
          <w:sz w:val="22"/>
          <w:szCs w:val="22"/>
        </w:rPr>
        <w:t>, marital status</w:t>
      </w:r>
      <w:r w:rsidR="0082581D" w:rsidRPr="00847683">
        <w:rPr>
          <w:sz w:val="22"/>
          <w:szCs w:val="22"/>
        </w:rPr>
        <w:t xml:space="preserve"> and number of children under 15 years are also insignificant contributors to the existing pay gap.</w:t>
      </w:r>
    </w:p>
    <w:p w14:paraId="7AE4C4BD" w14:textId="5F17BF42" w:rsidR="00847683" w:rsidRPr="00847683" w:rsidRDefault="00847683" w:rsidP="00847683">
      <w:pPr>
        <w:pStyle w:val="61"/>
        <w:shd w:val="clear" w:color="auto" w:fill="auto"/>
        <w:spacing w:before="120" w:line="240" w:lineRule="auto"/>
        <w:jc w:val="both"/>
        <w:rPr>
          <w:sz w:val="22"/>
          <w:szCs w:val="22"/>
        </w:rPr>
      </w:pPr>
      <w:r w:rsidRPr="00847683">
        <w:rPr>
          <w:b/>
          <w:sz w:val="22"/>
          <w:szCs w:val="22"/>
        </w:rPr>
        <w:t>Education makes a negative contribution to the gender wage difference</w:t>
      </w:r>
      <w:r w:rsidRPr="00847683">
        <w:rPr>
          <w:sz w:val="22"/>
          <w:szCs w:val="22"/>
        </w:rPr>
        <w:t xml:space="preserve"> </w:t>
      </w:r>
      <w:proofErr w:type="gramStart"/>
      <w:r w:rsidRPr="00847683">
        <w:rPr>
          <w:b/>
          <w:sz w:val="22"/>
          <w:szCs w:val="22"/>
        </w:rPr>
        <w:t>reflecting  increasing</w:t>
      </w:r>
      <w:proofErr w:type="gramEnd"/>
      <w:r w:rsidRPr="00847683">
        <w:rPr>
          <w:b/>
          <w:sz w:val="22"/>
          <w:szCs w:val="22"/>
        </w:rPr>
        <w:t xml:space="preserve"> educational attainment of women compared to men and subsequent increase in their relative wages</w:t>
      </w:r>
      <w:r>
        <w:rPr>
          <w:sz w:val="22"/>
          <w:szCs w:val="22"/>
        </w:rPr>
        <w:t xml:space="preserve"> (</w:t>
      </w:r>
      <w:r w:rsidRPr="00847683">
        <w:rPr>
          <w:sz w:val="22"/>
          <w:szCs w:val="22"/>
        </w:rPr>
        <w:fldChar w:fldCharType="begin"/>
      </w:r>
      <w:r w:rsidRPr="00847683">
        <w:rPr>
          <w:sz w:val="22"/>
          <w:szCs w:val="22"/>
        </w:rPr>
        <w:instrText xml:space="preserve"> REF _Ref519547332 \h  \* MERGEFORMAT </w:instrText>
      </w:r>
      <w:r w:rsidRPr="00847683">
        <w:rPr>
          <w:sz w:val="22"/>
          <w:szCs w:val="22"/>
        </w:rPr>
      </w:r>
      <w:r w:rsidRPr="00847683">
        <w:rPr>
          <w:sz w:val="22"/>
          <w:szCs w:val="22"/>
        </w:rPr>
        <w:fldChar w:fldCharType="separate"/>
      </w:r>
      <w:r w:rsidRPr="00847683">
        <w:rPr>
          <w:sz w:val="22"/>
          <w:szCs w:val="22"/>
        </w:rPr>
        <w:t>Table 6</w:t>
      </w:r>
      <w:r w:rsidRPr="00847683">
        <w:rPr>
          <w:sz w:val="22"/>
          <w:szCs w:val="22"/>
        </w:rPr>
        <w:fldChar w:fldCharType="end"/>
      </w:r>
      <w:r w:rsidRPr="00847683">
        <w:rPr>
          <w:sz w:val="22"/>
          <w:szCs w:val="22"/>
        </w:rPr>
        <w:t xml:space="preserve">, Panel </w:t>
      </w:r>
      <w:r>
        <w:rPr>
          <w:sz w:val="22"/>
          <w:szCs w:val="22"/>
        </w:rPr>
        <w:t>A)</w:t>
      </w:r>
      <w:r w:rsidRPr="00847683">
        <w:rPr>
          <w:sz w:val="22"/>
          <w:szCs w:val="22"/>
        </w:rPr>
        <w:t>. A notable change is that this effect of education increased in magnitude between 2010 and 2016. When job characteristics are controlled for in the full specification (</w:t>
      </w:r>
      <w:r w:rsidRPr="00847683">
        <w:rPr>
          <w:sz w:val="22"/>
          <w:szCs w:val="22"/>
        </w:rPr>
        <w:fldChar w:fldCharType="begin"/>
      </w:r>
      <w:r w:rsidRPr="00847683">
        <w:rPr>
          <w:sz w:val="22"/>
          <w:szCs w:val="22"/>
        </w:rPr>
        <w:instrText xml:space="preserve"> REF _Ref519547332 \h  \* MERGEFORMAT </w:instrText>
      </w:r>
      <w:r w:rsidRPr="00847683">
        <w:rPr>
          <w:sz w:val="22"/>
          <w:szCs w:val="22"/>
        </w:rPr>
      </w:r>
      <w:r w:rsidRPr="00847683">
        <w:rPr>
          <w:sz w:val="22"/>
          <w:szCs w:val="22"/>
        </w:rPr>
        <w:fldChar w:fldCharType="separate"/>
      </w:r>
      <w:r w:rsidRPr="00847683">
        <w:rPr>
          <w:sz w:val="22"/>
          <w:szCs w:val="22"/>
        </w:rPr>
        <w:t>Table 6</w:t>
      </w:r>
      <w:r w:rsidRPr="00847683">
        <w:rPr>
          <w:sz w:val="22"/>
          <w:szCs w:val="22"/>
        </w:rPr>
        <w:fldChar w:fldCharType="end"/>
      </w:r>
      <w:r w:rsidRPr="00847683">
        <w:rPr>
          <w:sz w:val="22"/>
          <w:szCs w:val="22"/>
        </w:rPr>
        <w:t>, Panel B), the effect of education remains significant and negative but its contribution to the explanation of the total pay gap decreases in magnitude compared to the reduced human capital specification.</w:t>
      </w:r>
    </w:p>
    <w:p w14:paraId="1BE3DF3D" w14:textId="22D4FDFE" w:rsidR="00E52EDD" w:rsidRDefault="00A57C2F" w:rsidP="00B673BB">
      <w:pPr>
        <w:pStyle w:val="61"/>
        <w:shd w:val="clear" w:color="auto" w:fill="auto"/>
        <w:spacing w:before="120" w:line="240" w:lineRule="auto"/>
        <w:jc w:val="both"/>
        <w:rPr>
          <w:sz w:val="22"/>
          <w:szCs w:val="22"/>
        </w:rPr>
      </w:pPr>
      <w:r w:rsidRPr="00E52EDD">
        <w:rPr>
          <w:b/>
          <w:sz w:val="22"/>
          <w:szCs w:val="22"/>
        </w:rPr>
        <w:t>A</w:t>
      </w:r>
      <w:r w:rsidR="001B206C" w:rsidRPr="00E52EDD">
        <w:rPr>
          <w:b/>
          <w:sz w:val="22"/>
          <w:szCs w:val="22"/>
        </w:rPr>
        <w:t xml:space="preserve">ge variables </w:t>
      </w:r>
      <w:r w:rsidR="00473C6F" w:rsidRPr="00E52EDD">
        <w:rPr>
          <w:b/>
          <w:sz w:val="22"/>
          <w:szCs w:val="22"/>
        </w:rPr>
        <w:t xml:space="preserve">(age and age squared) </w:t>
      </w:r>
      <w:r w:rsidR="001B206C" w:rsidRPr="00E52EDD">
        <w:rPr>
          <w:b/>
          <w:sz w:val="22"/>
          <w:szCs w:val="22"/>
        </w:rPr>
        <w:t>that are used as a proxy for labor market experience also contribute to a decrease in the gender pay gap</w:t>
      </w:r>
      <w:r w:rsidR="00473C6F" w:rsidRPr="008E082A">
        <w:rPr>
          <w:sz w:val="22"/>
          <w:szCs w:val="22"/>
        </w:rPr>
        <w:t>, even though the effect was significant only in 2010</w:t>
      </w:r>
      <w:r w:rsidR="001B206C" w:rsidRPr="008E082A">
        <w:rPr>
          <w:sz w:val="22"/>
          <w:szCs w:val="22"/>
        </w:rPr>
        <w:t>.</w:t>
      </w:r>
      <w:r w:rsidR="00473C6F" w:rsidRPr="008E082A">
        <w:rPr>
          <w:sz w:val="22"/>
          <w:szCs w:val="22"/>
        </w:rPr>
        <w:t xml:space="preserve"> </w:t>
      </w:r>
      <w:r w:rsidR="00DF3BF7" w:rsidRPr="008E082A">
        <w:t xml:space="preserve"> </w:t>
      </w:r>
      <w:r w:rsidR="00DF3BF7" w:rsidRPr="008E082A">
        <w:rPr>
          <w:sz w:val="22"/>
          <w:szCs w:val="22"/>
        </w:rPr>
        <w:t xml:space="preserve">In the post-Soviet context, age proxies more for the “vintage” of individual, with older workers being less valuable because of depreciation of many </w:t>
      </w:r>
      <w:r w:rsidR="00F0706A">
        <w:rPr>
          <w:sz w:val="22"/>
          <w:szCs w:val="22"/>
        </w:rPr>
        <w:t>technical</w:t>
      </w:r>
      <w:r w:rsidR="00F0706A" w:rsidRPr="008E082A">
        <w:rPr>
          <w:sz w:val="22"/>
          <w:szCs w:val="22"/>
        </w:rPr>
        <w:t xml:space="preserve"> </w:t>
      </w:r>
      <w:r w:rsidR="00DF3BF7" w:rsidRPr="008E082A">
        <w:rPr>
          <w:sz w:val="22"/>
          <w:szCs w:val="22"/>
        </w:rPr>
        <w:t xml:space="preserve">skills and poor </w:t>
      </w:r>
      <w:r w:rsidR="00F0706A">
        <w:rPr>
          <w:sz w:val="22"/>
          <w:szCs w:val="22"/>
        </w:rPr>
        <w:t>socio</w:t>
      </w:r>
      <w:r w:rsidR="00E52EDD">
        <w:rPr>
          <w:sz w:val="22"/>
          <w:szCs w:val="22"/>
        </w:rPr>
        <w:t>-</w:t>
      </w:r>
      <w:r w:rsidR="00F0706A">
        <w:rPr>
          <w:sz w:val="22"/>
          <w:szCs w:val="22"/>
        </w:rPr>
        <w:t>emotional</w:t>
      </w:r>
      <w:r w:rsidR="00F0706A" w:rsidRPr="008E082A">
        <w:rPr>
          <w:sz w:val="22"/>
          <w:szCs w:val="22"/>
        </w:rPr>
        <w:t xml:space="preserve"> </w:t>
      </w:r>
      <w:r w:rsidR="00DF3BF7" w:rsidRPr="008E082A">
        <w:rPr>
          <w:sz w:val="22"/>
          <w:szCs w:val="22"/>
        </w:rPr>
        <w:t>skills.</w:t>
      </w:r>
    </w:p>
    <w:p w14:paraId="52D5D840" w14:textId="62C4463A" w:rsidR="001B206C" w:rsidRDefault="00E52EDD" w:rsidP="00B673BB">
      <w:pPr>
        <w:pStyle w:val="61"/>
        <w:shd w:val="clear" w:color="auto" w:fill="auto"/>
        <w:spacing w:before="120" w:line="240" w:lineRule="auto"/>
        <w:jc w:val="both"/>
        <w:rPr>
          <w:sz w:val="22"/>
          <w:szCs w:val="22"/>
        </w:rPr>
      </w:pPr>
      <w:r w:rsidRPr="00E52EDD">
        <w:rPr>
          <w:b/>
          <w:sz w:val="22"/>
          <w:szCs w:val="22"/>
        </w:rPr>
        <w:t xml:space="preserve">The positive contribution to the gender wage gap comes from the differences in the </w:t>
      </w:r>
      <w:r w:rsidR="00A57C2F" w:rsidRPr="00E52EDD">
        <w:rPr>
          <w:b/>
          <w:sz w:val="22"/>
          <w:szCs w:val="22"/>
        </w:rPr>
        <w:t>firm size and an integrated variable of ownership and informal employment</w:t>
      </w:r>
      <w:r w:rsidR="00A57C2F" w:rsidRPr="008E082A">
        <w:rPr>
          <w:sz w:val="22"/>
          <w:szCs w:val="22"/>
        </w:rPr>
        <w:t xml:space="preserve"> (with 3 categories </w:t>
      </w:r>
      <w:r w:rsidR="00171FE0" w:rsidRPr="008E082A">
        <w:rPr>
          <w:sz w:val="22"/>
          <w:szCs w:val="22"/>
        </w:rPr>
        <w:t>–</w:t>
      </w:r>
      <w:r w:rsidR="00A57C2F" w:rsidRPr="008E082A">
        <w:rPr>
          <w:sz w:val="22"/>
          <w:szCs w:val="22"/>
        </w:rPr>
        <w:t xml:space="preserve"> public</w:t>
      </w:r>
      <w:r w:rsidR="00171FE0" w:rsidRPr="008E082A">
        <w:rPr>
          <w:sz w:val="22"/>
          <w:szCs w:val="22"/>
        </w:rPr>
        <w:t xml:space="preserve"> </w:t>
      </w:r>
      <w:r w:rsidR="00A57C2F" w:rsidRPr="008E082A">
        <w:rPr>
          <w:sz w:val="22"/>
          <w:szCs w:val="22"/>
        </w:rPr>
        <w:t>sector, non-public formal employment</w:t>
      </w:r>
      <w:r w:rsidR="00F0706A">
        <w:rPr>
          <w:sz w:val="22"/>
          <w:szCs w:val="22"/>
        </w:rPr>
        <w:t>,</w:t>
      </w:r>
      <w:r w:rsidR="00A57C2F" w:rsidRPr="008E082A">
        <w:rPr>
          <w:sz w:val="22"/>
          <w:szCs w:val="22"/>
        </w:rPr>
        <w:t xml:space="preserve"> and non-public informal employment)</w:t>
      </w:r>
      <w:r>
        <w:rPr>
          <w:sz w:val="22"/>
          <w:szCs w:val="22"/>
        </w:rPr>
        <w:t>.</w:t>
      </w:r>
      <w:r w:rsidR="002E29DE">
        <w:rPr>
          <w:sz w:val="22"/>
          <w:szCs w:val="22"/>
        </w:rPr>
        <w:t xml:space="preserve"> </w:t>
      </w:r>
      <w:r w:rsidR="002E29DE">
        <w:rPr>
          <w:rStyle w:val="af9"/>
          <w:sz w:val="22"/>
          <w:szCs w:val="22"/>
        </w:rPr>
        <w:footnoteReference w:id="26"/>
      </w:r>
      <w:r w:rsidR="00A57C2F" w:rsidRPr="008E082A">
        <w:rPr>
          <w:sz w:val="22"/>
          <w:szCs w:val="22"/>
        </w:rPr>
        <w:t xml:space="preserve"> Gender differences in the type of employment and firm size accounted for over 65 percent of total pay gap in 2016.</w:t>
      </w:r>
      <w:r w:rsidR="00537905" w:rsidRPr="008E082A">
        <w:rPr>
          <w:sz w:val="22"/>
          <w:szCs w:val="22"/>
        </w:rPr>
        <w:t xml:space="preserve"> </w:t>
      </w:r>
      <w:r w:rsidRPr="00E52EDD">
        <w:rPr>
          <w:sz w:val="22"/>
          <w:szCs w:val="22"/>
        </w:rPr>
        <w:t>Thus, the impact of segregation of female and male employees on the pay gap comes not through occupation per se but via the women’s preference towards public sector jobs.</w:t>
      </w:r>
    </w:p>
    <w:p w14:paraId="53E71F92" w14:textId="4CF91835" w:rsidR="00E52EDD" w:rsidRPr="008E082A" w:rsidRDefault="0082581D" w:rsidP="00E52EDD">
      <w:pPr>
        <w:pStyle w:val="61"/>
        <w:shd w:val="clear" w:color="auto" w:fill="auto"/>
        <w:spacing w:before="120" w:line="240" w:lineRule="auto"/>
        <w:jc w:val="both"/>
        <w:rPr>
          <w:sz w:val="22"/>
          <w:szCs w:val="22"/>
        </w:rPr>
      </w:pPr>
      <w:r w:rsidRPr="00CD5F0B">
        <w:rPr>
          <w:b/>
          <w:sz w:val="22"/>
          <w:szCs w:val="22"/>
        </w:rPr>
        <w:t>T</w:t>
      </w:r>
      <w:r w:rsidR="00E52EDD" w:rsidRPr="00CD5F0B">
        <w:rPr>
          <w:b/>
          <w:sz w:val="22"/>
          <w:szCs w:val="22"/>
        </w:rPr>
        <w:t xml:space="preserve">otal explained gender pay gap is negative </w:t>
      </w:r>
      <w:r w:rsidRPr="00CD5F0B">
        <w:rPr>
          <w:b/>
          <w:sz w:val="22"/>
          <w:szCs w:val="22"/>
        </w:rPr>
        <w:t xml:space="preserve">in 2010 and 2016 </w:t>
      </w:r>
      <w:r w:rsidR="00E52EDD" w:rsidRPr="00FA6CF8">
        <w:rPr>
          <w:sz w:val="22"/>
          <w:szCs w:val="22"/>
        </w:rPr>
        <w:t>(</w:t>
      </w:r>
      <w:r w:rsidR="00E52EDD" w:rsidRPr="00FA6CF8">
        <w:rPr>
          <w:sz w:val="22"/>
          <w:szCs w:val="22"/>
        </w:rPr>
        <w:fldChar w:fldCharType="begin"/>
      </w:r>
      <w:r w:rsidR="00E52EDD" w:rsidRPr="00FA6CF8">
        <w:rPr>
          <w:sz w:val="22"/>
          <w:szCs w:val="22"/>
        </w:rPr>
        <w:instrText xml:space="preserve"> REF _Ref519547332 \h  \* MERGEFORMAT </w:instrText>
      </w:r>
      <w:r w:rsidR="00E52EDD" w:rsidRPr="00FA6CF8">
        <w:rPr>
          <w:sz w:val="22"/>
          <w:szCs w:val="22"/>
        </w:rPr>
      </w:r>
      <w:r w:rsidR="00E52EDD" w:rsidRPr="00FA6CF8">
        <w:rPr>
          <w:sz w:val="22"/>
          <w:szCs w:val="22"/>
        </w:rPr>
        <w:fldChar w:fldCharType="separate"/>
      </w:r>
      <w:r w:rsidR="00E52EDD" w:rsidRPr="00FA6CF8">
        <w:rPr>
          <w:sz w:val="22"/>
          <w:szCs w:val="22"/>
        </w:rPr>
        <w:t xml:space="preserve">Table </w:t>
      </w:r>
      <w:r w:rsidR="00E52EDD" w:rsidRPr="00FA6CF8">
        <w:rPr>
          <w:noProof/>
          <w:sz w:val="22"/>
          <w:szCs w:val="22"/>
        </w:rPr>
        <w:t>6</w:t>
      </w:r>
      <w:r w:rsidR="00E52EDD" w:rsidRPr="00FA6CF8">
        <w:rPr>
          <w:sz w:val="22"/>
          <w:szCs w:val="22"/>
        </w:rPr>
        <w:fldChar w:fldCharType="end"/>
      </w:r>
      <w:r w:rsidR="00E52EDD" w:rsidRPr="00FA6CF8">
        <w:rPr>
          <w:sz w:val="22"/>
          <w:szCs w:val="22"/>
        </w:rPr>
        <w:t>)</w:t>
      </w:r>
      <w:r w:rsidRPr="00CD5F0B">
        <w:rPr>
          <w:b/>
          <w:sz w:val="22"/>
          <w:szCs w:val="22"/>
        </w:rPr>
        <w:t xml:space="preserve"> that </w:t>
      </w:r>
      <w:r w:rsidR="00E52EDD" w:rsidRPr="00CD5F0B">
        <w:rPr>
          <w:b/>
          <w:sz w:val="22"/>
          <w:szCs w:val="22"/>
        </w:rPr>
        <w:t xml:space="preserve">can be interpreted as a sign of the </w:t>
      </w:r>
      <w:r>
        <w:rPr>
          <w:b/>
          <w:sz w:val="22"/>
          <w:szCs w:val="22"/>
        </w:rPr>
        <w:t>s</w:t>
      </w:r>
      <w:r w:rsidR="00E52EDD" w:rsidRPr="00CD5F0B">
        <w:rPr>
          <w:b/>
          <w:sz w:val="22"/>
          <w:szCs w:val="22"/>
        </w:rPr>
        <w:t>elf-selection effect</w:t>
      </w:r>
      <w:r>
        <w:rPr>
          <w:sz w:val="22"/>
          <w:szCs w:val="22"/>
        </w:rPr>
        <w:t xml:space="preserve">: </w:t>
      </w:r>
      <w:r w:rsidR="00E52EDD" w:rsidRPr="008E082A">
        <w:rPr>
          <w:sz w:val="22"/>
          <w:szCs w:val="22"/>
        </w:rPr>
        <w:t xml:space="preserve">women with higher education and better employability join wage </w:t>
      </w:r>
      <w:r w:rsidR="00E52EDD" w:rsidRPr="008E082A">
        <w:rPr>
          <w:sz w:val="22"/>
          <w:szCs w:val="22"/>
        </w:rPr>
        <w:lastRenderedPageBreak/>
        <w:t>employment, and therefore female employees have average characteristics that are more favorable than those of men (</w:t>
      </w:r>
      <w:proofErr w:type="spellStart"/>
      <w:r w:rsidR="00E52EDD" w:rsidRPr="008E082A">
        <w:rPr>
          <w:sz w:val="22"/>
          <w:szCs w:val="22"/>
        </w:rPr>
        <w:t>Leythienne</w:t>
      </w:r>
      <w:proofErr w:type="spellEnd"/>
      <w:r w:rsidR="00E52EDD" w:rsidRPr="008E082A">
        <w:rPr>
          <w:sz w:val="22"/>
          <w:szCs w:val="22"/>
        </w:rPr>
        <w:t xml:space="preserve"> and </w:t>
      </w:r>
      <w:proofErr w:type="spellStart"/>
      <w:r w:rsidR="00E52EDD" w:rsidRPr="008E082A">
        <w:rPr>
          <w:sz w:val="22"/>
          <w:szCs w:val="22"/>
        </w:rPr>
        <w:t>Ronkowski</w:t>
      </w:r>
      <w:proofErr w:type="spellEnd"/>
      <w:r w:rsidR="00E52EDD" w:rsidRPr="008E082A">
        <w:rPr>
          <w:sz w:val="22"/>
          <w:szCs w:val="22"/>
        </w:rPr>
        <w:t>, 2018). Decomposition of the difference between log hourly earnings of men and women based on the 2014 Structure of Earnings Survey in EU countries revealed the negative explained gap and the negative contribution of education and occupation in many transition countries, including Bulgaria, Croatia, Lithuania, Poland, Romania</w:t>
      </w:r>
      <w:r w:rsidR="00E52EDD">
        <w:rPr>
          <w:sz w:val="22"/>
          <w:szCs w:val="22"/>
        </w:rPr>
        <w:t>,</w:t>
      </w:r>
      <w:r w:rsidR="00E52EDD" w:rsidRPr="008E082A">
        <w:rPr>
          <w:sz w:val="22"/>
          <w:szCs w:val="22"/>
        </w:rPr>
        <w:t xml:space="preserve"> and Slovenia (</w:t>
      </w:r>
      <w:proofErr w:type="spellStart"/>
      <w:r w:rsidR="00E52EDD" w:rsidRPr="008E082A">
        <w:rPr>
          <w:sz w:val="22"/>
          <w:szCs w:val="22"/>
        </w:rPr>
        <w:t>Leythienne</w:t>
      </w:r>
      <w:proofErr w:type="spellEnd"/>
      <w:r w:rsidR="00E52EDD" w:rsidRPr="008E082A">
        <w:rPr>
          <w:sz w:val="22"/>
          <w:szCs w:val="22"/>
        </w:rPr>
        <w:t xml:space="preserve"> and </w:t>
      </w:r>
      <w:proofErr w:type="spellStart"/>
      <w:r w:rsidR="00E52EDD" w:rsidRPr="008E082A">
        <w:rPr>
          <w:sz w:val="22"/>
          <w:szCs w:val="22"/>
        </w:rPr>
        <w:t>Ronkowski</w:t>
      </w:r>
      <w:proofErr w:type="spellEnd"/>
      <w:r w:rsidR="00E52EDD" w:rsidRPr="008E082A">
        <w:rPr>
          <w:sz w:val="22"/>
          <w:szCs w:val="22"/>
        </w:rPr>
        <w:t>, 2018). Thus, Moldova is similar to other transition countries where female employees have a higher level of education</w:t>
      </w:r>
      <w:r w:rsidR="00E52EDD" w:rsidRPr="008E082A">
        <w:t xml:space="preserve"> </w:t>
      </w:r>
      <w:r w:rsidR="00E52EDD" w:rsidRPr="008E082A">
        <w:rPr>
          <w:sz w:val="22"/>
          <w:szCs w:val="22"/>
        </w:rPr>
        <w:t xml:space="preserve">and often take better-paid occupations than men while lower-educated women do not participate in the labor force or are predominantly </w:t>
      </w:r>
      <w:r w:rsidR="00E52EDD">
        <w:rPr>
          <w:sz w:val="22"/>
          <w:szCs w:val="22"/>
        </w:rPr>
        <w:t>working</w:t>
      </w:r>
      <w:r w:rsidR="00E52EDD" w:rsidRPr="008E082A">
        <w:rPr>
          <w:sz w:val="22"/>
          <w:szCs w:val="22"/>
        </w:rPr>
        <w:t xml:space="preserve"> as self-employed or unpaid family workers.</w:t>
      </w:r>
    </w:p>
    <w:p w14:paraId="70D5F706" w14:textId="6C365741" w:rsidR="00252D14" w:rsidRPr="008E082A" w:rsidRDefault="001E6BEE" w:rsidP="00B673BB">
      <w:pPr>
        <w:pStyle w:val="ad"/>
        <w:spacing w:before="240"/>
        <w:jc w:val="left"/>
        <w:rPr>
          <w:rFonts w:ascii="NewCaledoniaLTStd" w:hAnsi="NewCaledoniaLTStd" w:cs="NewCaledoniaLTStd"/>
          <w:sz w:val="21"/>
          <w:szCs w:val="21"/>
          <w:lang w:val="en-US"/>
        </w:rPr>
      </w:pPr>
      <w:bookmarkStart w:id="88" w:name="_Ref519547332"/>
      <w:bookmarkStart w:id="89" w:name="_Toc533211796"/>
      <w:r w:rsidRPr="008E08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6</w:t>
      </w:r>
      <w:r w:rsidR="007B7CCA">
        <w:rPr>
          <w:lang w:val="en-US"/>
        </w:rPr>
        <w:fldChar w:fldCharType="end"/>
      </w:r>
      <w:bookmarkEnd w:id="88"/>
      <w:r w:rsidRPr="008E082A">
        <w:rPr>
          <w:lang w:val="en-US"/>
        </w:rPr>
        <w:t>: Oaxaca-Blinder decomposition of gender pay gap in log hourly wage, 2010 and 2016</w:t>
      </w:r>
      <w:bookmarkEnd w:id="89"/>
    </w:p>
    <w:tbl>
      <w:tblPr>
        <w:tblW w:w="9029" w:type="dxa"/>
        <w:tblLayout w:type="fixed"/>
        <w:tblLook w:val="04A0" w:firstRow="1" w:lastRow="0" w:firstColumn="1" w:lastColumn="0" w:noHBand="0" w:noVBand="1"/>
      </w:tblPr>
      <w:tblGrid>
        <w:gridCol w:w="2694"/>
        <w:gridCol w:w="1087"/>
        <w:gridCol w:w="1749"/>
        <w:gridCol w:w="1749"/>
        <w:gridCol w:w="1750"/>
      </w:tblGrid>
      <w:tr w:rsidR="007B05AC" w:rsidRPr="008E082A" w14:paraId="76FC561B" w14:textId="77777777" w:rsidTr="007B05AC">
        <w:trPr>
          <w:trHeight w:val="290"/>
        </w:trPr>
        <w:tc>
          <w:tcPr>
            <w:tcW w:w="2694" w:type="dxa"/>
            <w:tcBorders>
              <w:top w:val="single" w:sz="4" w:space="0" w:color="auto"/>
              <w:left w:val="nil"/>
              <w:bottom w:val="nil"/>
              <w:right w:val="nil"/>
            </w:tcBorders>
            <w:shd w:val="clear" w:color="auto" w:fill="auto"/>
            <w:noWrap/>
            <w:vAlign w:val="bottom"/>
            <w:hideMark/>
          </w:tcPr>
          <w:p w14:paraId="5B7290F9" w14:textId="77777777" w:rsidR="007B05AC" w:rsidRPr="008E082A" w:rsidRDefault="007B05AC" w:rsidP="007B05AC">
            <w:pPr>
              <w:spacing w:before="0"/>
              <w:rPr>
                <w:rFonts w:ascii="Calibri" w:eastAsia="Times New Roman" w:hAnsi="Calibri" w:cs="Calibri"/>
                <w:sz w:val="20"/>
                <w:szCs w:val="20"/>
                <w:lang w:val="en-US"/>
              </w:rPr>
            </w:pPr>
          </w:p>
        </w:tc>
        <w:tc>
          <w:tcPr>
            <w:tcW w:w="2836" w:type="dxa"/>
            <w:gridSpan w:val="2"/>
            <w:tcBorders>
              <w:top w:val="single" w:sz="4" w:space="0" w:color="auto"/>
              <w:left w:val="nil"/>
              <w:bottom w:val="nil"/>
              <w:right w:val="nil"/>
            </w:tcBorders>
            <w:shd w:val="clear" w:color="auto" w:fill="auto"/>
            <w:noWrap/>
            <w:vAlign w:val="bottom"/>
            <w:hideMark/>
          </w:tcPr>
          <w:p w14:paraId="55307A98" w14:textId="77777777" w:rsidR="007B05AC" w:rsidRPr="008E082A" w:rsidRDefault="007B05AC" w:rsidP="007B05AC">
            <w:pPr>
              <w:spacing w:before="0"/>
              <w:jc w:val="center"/>
              <w:rPr>
                <w:rFonts w:ascii="Calibri" w:eastAsia="Times New Roman" w:hAnsi="Calibri" w:cs="Calibri"/>
                <w:b/>
                <w:color w:val="000000"/>
                <w:sz w:val="20"/>
                <w:szCs w:val="20"/>
                <w:lang w:val="en-US"/>
              </w:rPr>
            </w:pPr>
            <w:r w:rsidRPr="008E082A">
              <w:rPr>
                <w:rFonts w:ascii="Calibri" w:eastAsia="Times New Roman" w:hAnsi="Calibri" w:cs="Calibri"/>
                <w:b/>
                <w:color w:val="000000"/>
                <w:sz w:val="20"/>
                <w:szCs w:val="20"/>
                <w:lang w:val="en-US"/>
              </w:rPr>
              <w:t>2010</w:t>
            </w:r>
          </w:p>
        </w:tc>
        <w:tc>
          <w:tcPr>
            <w:tcW w:w="3499" w:type="dxa"/>
            <w:gridSpan w:val="2"/>
            <w:tcBorders>
              <w:top w:val="single" w:sz="4" w:space="0" w:color="auto"/>
              <w:left w:val="nil"/>
              <w:bottom w:val="nil"/>
            </w:tcBorders>
            <w:shd w:val="clear" w:color="auto" w:fill="auto"/>
            <w:noWrap/>
            <w:vAlign w:val="bottom"/>
            <w:hideMark/>
          </w:tcPr>
          <w:p w14:paraId="3FDC06C4" w14:textId="77777777" w:rsidR="007B05AC" w:rsidRPr="008E082A" w:rsidRDefault="007B05AC" w:rsidP="007B05AC">
            <w:pPr>
              <w:spacing w:before="0"/>
              <w:jc w:val="center"/>
              <w:rPr>
                <w:rFonts w:ascii="Calibri" w:eastAsia="Times New Roman" w:hAnsi="Calibri" w:cs="Calibri"/>
                <w:b/>
                <w:color w:val="000000"/>
                <w:sz w:val="20"/>
                <w:szCs w:val="20"/>
                <w:lang w:val="en-US"/>
              </w:rPr>
            </w:pPr>
            <w:r w:rsidRPr="008E082A">
              <w:rPr>
                <w:rFonts w:ascii="Calibri" w:eastAsia="Times New Roman" w:hAnsi="Calibri" w:cs="Calibri"/>
                <w:b/>
                <w:color w:val="000000"/>
                <w:sz w:val="20"/>
                <w:szCs w:val="20"/>
                <w:lang w:val="en-US"/>
              </w:rPr>
              <w:t>2016</w:t>
            </w:r>
          </w:p>
        </w:tc>
      </w:tr>
      <w:tr w:rsidR="007B05AC" w:rsidRPr="008E082A" w14:paraId="0297656B" w14:textId="77777777" w:rsidTr="007B05AC">
        <w:trPr>
          <w:trHeight w:val="290"/>
        </w:trPr>
        <w:tc>
          <w:tcPr>
            <w:tcW w:w="2694" w:type="dxa"/>
            <w:tcBorders>
              <w:top w:val="nil"/>
              <w:left w:val="nil"/>
              <w:bottom w:val="single" w:sz="4" w:space="0" w:color="auto"/>
              <w:right w:val="nil"/>
            </w:tcBorders>
            <w:shd w:val="clear" w:color="auto" w:fill="auto"/>
            <w:noWrap/>
            <w:vAlign w:val="bottom"/>
          </w:tcPr>
          <w:p w14:paraId="49803FE5" w14:textId="77777777" w:rsidR="007B05AC" w:rsidRPr="008E082A" w:rsidRDefault="007B05AC" w:rsidP="007B05AC">
            <w:pPr>
              <w:spacing w:before="0"/>
              <w:rPr>
                <w:rFonts w:ascii="Calibri" w:eastAsia="Times New Roman" w:hAnsi="Calibri" w:cs="Calibri"/>
                <w:i/>
                <w:iCs/>
                <w:color w:val="000000"/>
                <w:sz w:val="20"/>
                <w:szCs w:val="20"/>
                <w:lang w:val="en-US"/>
              </w:rPr>
            </w:pPr>
          </w:p>
        </w:tc>
        <w:tc>
          <w:tcPr>
            <w:tcW w:w="1087" w:type="dxa"/>
            <w:tcBorders>
              <w:top w:val="nil"/>
              <w:left w:val="nil"/>
              <w:bottom w:val="single" w:sz="4" w:space="0" w:color="auto"/>
              <w:right w:val="nil"/>
            </w:tcBorders>
            <w:shd w:val="clear" w:color="auto" w:fill="auto"/>
            <w:noWrap/>
            <w:vAlign w:val="bottom"/>
          </w:tcPr>
          <w:p w14:paraId="5820183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log points</w:t>
            </w:r>
          </w:p>
        </w:tc>
        <w:tc>
          <w:tcPr>
            <w:tcW w:w="1749" w:type="dxa"/>
            <w:tcBorders>
              <w:top w:val="nil"/>
              <w:left w:val="nil"/>
              <w:bottom w:val="single" w:sz="4" w:space="0" w:color="auto"/>
              <w:right w:val="nil"/>
            </w:tcBorders>
            <w:shd w:val="clear" w:color="auto" w:fill="auto"/>
            <w:noWrap/>
            <w:vAlign w:val="bottom"/>
          </w:tcPr>
          <w:p w14:paraId="624E08FD" w14:textId="77777777" w:rsidR="007B05AC" w:rsidRPr="008E082A" w:rsidRDefault="007B05AC" w:rsidP="00A57C2F">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 xml:space="preserve">percent of gender gap </w:t>
            </w:r>
          </w:p>
        </w:tc>
        <w:tc>
          <w:tcPr>
            <w:tcW w:w="1749" w:type="dxa"/>
            <w:tcBorders>
              <w:top w:val="nil"/>
              <w:left w:val="nil"/>
              <w:bottom w:val="single" w:sz="4" w:space="0" w:color="auto"/>
              <w:right w:val="nil"/>
            </w:tcBorders>
            <w:shd w:val="clear" w:color="auto" w:fill="auto"/>
            <w:noWrap/>
            <w:vAlign w:val="bottom"/>
          </w:tcPr>
          <w:p w14:paraId="66BBBA49"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log points</w:t>
            </w:r>
          </w:p>
        </w:tc>
        <w:tc>
          <w:tcPr>
            <w:tcW w:w="1750" w:type="dxa"/>
            <w:tcBorders>
              <w:top w:val="nil"/>
              <w:left w:val="nil"/>
              <w:bottom w:val="single" w:sz="4" w:space="0" w:color="auto"/>
              <w:right w:val="nil"/>
            </w:tcBorders>
            <w:shd w:val="clear" w:color="auto" w:fill="auto"/>
            <w:noWrap/>
            <w:vAlign w:val="bottom"/>
          </w:tcPr>
          <w:p w14:paraId="4AE65D55" w14:textId="77777777" w:rsidR="007B05AC" w:rsidRPr="008E082A" w:rsidRDefault="00A57C2F" w:rsidP="00A57C2F">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percent of gender gap</w:t>
            </w:r>
          </w:p>
        </w:tc>
      </w:tr>
      <w:tr w:rsidR="007B05AC" w:rsidRPr="008E082A" w14:paraId="49E22978" w14:textId="77777777" w:rsidTr="007B05AC">
        <w:trPr>
          <w:trHeight w:val="290"/>
        </w:trPr>
        <w:tc>
          <w:tcPr>
            <w:tcW w:w="2694" w:type="dxa"/>
            <w:tcBorders>
              <w:top w:val="single" w:sz="4" w:space="0" w:color="auto"/>
              <w:left w:val="nil"/>
              <w:bottom w:val="nil"/>
              <w:right w:val="nil"/>
            </w:tcBorders>
            <w:shd w:val="clear" w:color="auto" w:fill="auto"/>
            <w:noWrap/>
            <w:vAlign w:val="bottom"/>
            <w:hideMark/>
          </w:tcPr>
          <w:p w14:paraId="051A5DB1" w14:textId="77777777" w:rsidR="007B05AC" w:rsidRPr="008E082A" w:rsidRDefault="00DF3BF7" w:rsidP="00DF3BF7">
            <w:pPr>
              <w:spacing w:before="0"/>
              <w:rPr>
                <w:rFonts w:ascii="Calibri" w:eastAsia="Times New Roman" w:hAnsi="Calibri" w:cs="Calibri"/>
                <w:color w:val="000000"/>
                <w:sz w:val="20"/>
                <w:szCs w:val="20"/>
                <w:lang w:val="en-US"/>
              </w:rPr>
            </w:pPr>
            <w:r w:rsidRPr="008E082A">
              <w:rPr>
                <w:rFonts w:ascii="Calibri" w:eastAsia="Times New Roman" w:hAnsi="Calibri" w:cs="Calibri"/>
                <w:i/>
                <w:iCs/>
                <w:color w:val="000000"/>
                <w:sz w:val="20"/>
                <w:szCs w:val="20"/>
                <w:lang w:val="en-US"/>
              </w:rPr>
              <w:t>A</w:t>
            </w:r>
            <w:r w:rsidR="00047315" w:rsidRPr="008E082A">
              <w:rPr>
                <w:rFonts w:ascii="Calibri" w:eastAsia="Times New Roman" w:hAnsi="Calibri" w:cs="Calibri"/>
                <w:i/>
                <w:iCs/>
                <w:color w:val="000000"/>
                <w:sz w:val="20"/>
                <w:szCs w:val="20"/>
                <w:lang w:val="en-US"/>
              </w:rPr>
              <w:t xml:space="preserve">. </w:t>
            </w:r>
            <w:r w:rsidR="007B05AC" w:rsidRPr="008E082A">
              <w:rPr>
                <w:rFonts w:ascii="Calibri" w:eastAsia="Times New Roman" w:hAnsi="Calibri" w:cs="Calibri"/>
                <w:i/>
                <w:iCs/>
                <w:color w:val="000000"/>
                <w:sz w:val="20"/>
                <w:szCs w:val="20"/>
                <w:lang w:val="en-US"/>
              </w:rPr>
              <w:t>Human capital specification</w:t>
            </w:r>
          </w:p>
        </w:tc>
        <w:tc>
          <w:tcPr>
            <w:tcW w:w="1087" w:type="dxa"/>
            <w:tcBorders>
              <w:top w:val="single" w:sz="4" w:space="0" w:color="auto"/>
              <w:left w:val="nil"/>
              <w:bottom w:val="nil"/>
              <w:right w:val="nil"/>
            </w:tcBorders>
            <w:shd w:val="clear" w:color="auto" w:fill="auto"/>
            <w:noWrap/>
            <w:vAlign w:val="bottom"/>
          </w:tcPr>
          <w:p w14:paraId="5F88FC09" w14:textId="77777777" w:rsidR="007B05AC" w:rsidRPr="008E082A" w:rsidRDefault="007B05AC" w:rsidP="007B05AC">
            <w:pPr>
              <w:spacing w:before="0"/>
              <w:jc w:val="right"/>
              <w:rPr>
                <w:rFonts w:ascii="Calibri" w:eastAsia="Times New Roman" w:hAnsi="Calibri" w:cs="Calibri"/>
                <w:color w:val="000000"/>
                <w:sz w:val="20"/>
                <w:szCs w:val="20"/>
                <w:lang w:val="en-US"/>
              </w:rPr>
            </w:pPr>
          </w:p>
        </w:tc>
        <w:tc>
          <w:tcPr>
            <w:tcW w:w="1749" w:type="dxa"/>
            <w:tcBorders>
              <w:top w:val="single" w:sz="4" w:space="0" w:color="auto"/>
              <w:left w:val="nil"/>
              <w:bottom w:val="nil"/>
              <w:right w:val="nil"/>
            </w:tcBorders>
            <w:shd w:val="clear" w:color="auto" w:fill="auto"/>
            <w:noWrap/>
            <w:vAlign w:val="bottom"/>
          </w:tcPr>
          <w:p w14:paraId="2539C09A" w14:textId="77777777" w:rsidR="007B05AC" w:rsidRPr="008E082A" w:rsidRDefault="007B05AC" w:rsidP="007B05AC">
            <w:pPr>
              <w:spacing w:before="0"/>
              <w:jc w:val="right"/>
              <w:rPr>
                <w:rFonts w:ascii="Calibri" w:eastAsia="Times New Roman" w:hAnsi="Calibri" w:cs="Calibri"/>
                <w:color w:val="000000"/>
                <w:sz w:val="20"/>
                <w:szCs w:val="20"/>
                <w:lang w:val="en-US"/>
              </w:rPr>
            </w:pPr>
          </w:p>
        </w:tc>
        <w:tc>
          <w:tcPr>
            <w:tcW w:w="1749" w:type="dxa"/>
            <w:tcBorders>
              <w:top w:val="single" w:sz="4" w:space="0" w:color="auto"/>
              <w:left w:val="nil"/>
              <w:bottom w:val="nil"/>
              <w:right w:val="nil"/>
            </w:tcBorders>
            <w:shd w:val="clear" w:color="auto" w:fill="auto"/>
            <w:noWrap/>
            <w:vAlign w:val="bottom"/>
          </w:tcPr>
          <w:p w14:paraId="339E883F" w14:textId="77777777" w:rsidR="007B05AC" w:rsidRPr="008E082A" w:rsidRDefault="007B05AC" w:rsidP="007B05AC">
            <w:pPr>
              <w:spacing w:before="0"/>
              <w:jc w:val="right"/>
              <w:rPr>
                <w:rFonts w:ascii="Calibri" w:eastAsia="Times New Roman" w:hAnsi="Calibri" w:cs="Calibri"/>
                <w:color w:val="000000"/>
                <w:sz w:val="20"/>
                <w:szCs w:val="20"/>
                <w:lang w:val="en-US"/>
              </w:rPr>
            </w:pPr>
          </w:p>
        </w:tc>
        <w:tc>
          <w:tcPr>
            <w:tcW w:w="1750" w:type="dxa"/>
            <w:tcBorders>
              <w:top w:val="single" w:sz="4" w:space="0" w:color="auto"/>
              <w:left w:val="nil"/>
              <w:bottom w:val="nil"/>
              <w:right w:val="nil"/>
            </w:tcBorders>
            <w:shd w:val="clear" w:color="auto" w:fill="auto"/>
            <w:noWrap/>
            <w:vAlign w:val="bottom"/>
          </w:tcPr>
          <w:p w14:paraId="63DDAA7B" w14:textId="77777777" w:rsidR="007B05AC" w:rsidRPr="008E082A" w:rsidRDefault="007B05AC" w:rsidP="007B05AC">
            <w:pPr>
              <w:spacing w:before="0"/>
              <w:jc w:val="right"/>
              <w:rPr>
                <w:rFonts w:ascii="Calibri" w:eastAsia="Times New Roman" w:hAnsi="Calibri" w:cs="Calibri"/>
                <w:color w:val="000000"/>
                <w:sz w:val="20"/>
                <w:szCs w:val="20"/>
                <w:lang w:val="en-US"/>
              </w:rPr>
            </w:pPr>
          </w:p>
        </w:tc>
      </w:tr>
      <w:tr w:rsidR="007B05AC" w:rsidRPr="008E082A" w14:paraId="5B8AEF1F" w14:textId="77777777" w:rsidTr="007B05AC">
        <w:trPr>
          <w:trHeight w:val="290"/>
        </w:trPr>
        <w:tc>
          <w:tcPr>
            <w:tcW w:w="2694" w:type="dxa"/>
            <w:tcBorders>
              <w:top w:val="nil"/>
              <w:left w:val="nil"/>
              <w:bottom w:val="nil"/>
              <w:right w:val="nil"/>
            </w:tcBorders>
            <w:shd w:val="clear" w:color="auto" w:fill="auto"/>
            <w:noWrap/>
            <w:vAlign w:val="bottom"/>
          </w:tcPr>
          <w:p w14:paraId="045DB2F2" w14:textId="77777777" w:rsidR="007B05AC" w:rsidRPr="008E082A" w:rsidRDefault="007B05AC" w:rsidP="007B05AC">
            <w:pPr>
              <w:spacing w:before="0"/>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Total pay gap</w:t>
            </w:r>
          </w:p>
        </w:tc>
        <w:tc>
          <w:tcPr>
            <w:tcW w:w="1087" w:type="dxa"/>
            <w:tcBorders>
              <w:top w:val="nil"/>
              <w:left w:val="nil"/>
              <w:bottom w:val="nil"/>
              <w:right w:val="nil"/>
            </w:tcBorders>
            <w:shd w:val="clear" w:color="auto" w:fill="auto"/>
            <w:noWrap/>
            <w:vAlign w:val="bottom"/>
          </w:tcPr>
          <w:p w14:paraId="19A692E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0.085</w:t>
            </w:r>
            <w:r w:rsidRPr="008E082A">
              <w:rPr>
                <w:rFonts w:ascii="Calibri" w:eastAsia="Times New Roman" w:hAnsi="Calibri" w:cs="Calibri"/>
                <w:bCs/>
                <w:color w:val="000000"/>
                <w:sz w:val="20"/>
                <w:szCs w:val="20"/>
                <w:lang w:val="en-US"/>
              </w:rPr>
              <w:t>***</w:t>
            </w:r>
          </w:p>
        </w:tc>
        <w:tc>
          <w:tcPr>
            <w:tcW w:w="1749" w:type="dxa"/>
            <w:tcBorders>
              <w:top w:val="nil"/>
              <w:left w:val="nil"/>
              <w:bottom w:val="nil"/>
              <w:right w:val="nil"/>
            </w:tcBorders>
            <w:shd w:val="clear" w:color="auto" w:fill="auto"/>
            <w:noWrap/>
            <w:vAlign w:val="bottom"/>
          </w:tcPr>
          <w:p w14:paraId="265F83F6"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100</w:t>
            </w:r>
          </w:p>
        </w:tc>
        <w:tc>
          <w:tcPr>
            <w:tcW w:w="1749" w:type="dxa"/>
            <w:tcBorders>
              <w:top w:val="nil"/>
              <w:left w:val="nil"/>
              <w:bottom w:val="nil"/>
              <w:right w:val="nil"/>
            </w:tcBorders>
            <w:shd w:val="clear" w:color="auto" w:fill="auto"/>
            <w:noWrap/>
            <w:vAlign w:val="bottom"/>
          </w:tcPr>
          <w:p w14:paraId="3956437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0.061</w:t>
            </w:r>
            <w:r w:rsidRPr="008E082A">
              <w:rPr>
                <w:rFonts w:ascii="Calibri" w:eastAsia="Times New Roman" w:hAnsi="Calibri" w:cs="Calibri"/>
                <w:bCs/>
                <w:color w:val="000000"/>
                <w:sz w:val="20"/>
                <w:szCs w:val="20"/>
                <w:lang w:val="en-US"/>
              </w:rPr>
              <w:t>***</w:t>
            </w:r>
          </w:p>
        </w:tc>
        <w:tc>
          <w:tcPr>
            <w:tcW w:w="1750" w:type="dxa"/>
            <w:tcBorders>
              <w:top w:val="nil"/>
              <w:left w:val="nil"/>
              <w:bottom w:val="nil"/>
              <w:right w:val="nil"/>
            </w:tcBorders>
            <w:shd w:val="clear" w:color="auto" w:fill="auto"/>
            <w:noWrap/>
            <w:vAlign w:val="bottom"/>
          </w:tcPr>
          <w:p w14:paraId="3D680B6B"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100</w:t>
            </w:r>
          </w:p>
        </w:tc>
      </w:tr>
      <w:tr w:rsidR="007B05AC" w:rsidRPr="008E082A" w14:paraId="4EDD0E69" w14:textId="77777777" w:rsidTr="007B05AC">
        <w:trPr>
          <w:trHeight w:val="290"/>
        </w:trPr>
        <w:tc>
          <w:tcPr>
            <w:tcW w:w="2694" w:type="dxa"/>
            <w:tcBorders>
              <w:top w:val="nil"/>
              <w:left w:val="nil"/>
              <w:bottom w:val="nil"/>
              <w:right w:val="nil"/>
            </w:tcBorders>
            <w:shd w:val="clear" w:color="auto" w:fill="auto"/>
            <w:noWrap/>
            <w:vAlign w:val="bottom"/>
            <w:hideMark/>
          </w:tcPr>
          <w:p w14:paraId="7C045DA3" w14:textId="77777777" w:rsidR="007B05AC" w:rsidRPr="008E082A" w:rsidRDefault="007B05AC" w:rsidP="007B05AC">
            <w:pPr>
              <w:spacing w:before="0"/>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Total explained gap</w:t>
            </w:r>
          </w:p>
        </w:tc>
        <w:tc>
          <w:tcPr>
            <w:tcW w:w="1087" w:type="dxa"/>
            <w:tcBorders>
              <w:top w:val="nil"/>
              <w:left w:val="nil"/>
              <w:bottom w:val="nil"/>
              <w:right w:val="nil"/>
            </w:tcBorders>
            <w:shd w:val="clear" w:color="auto" w:fill="auto"/>
            <w:noWrap/>
            <w:vAlign w:val="bottom"/>
            <w:hideMark/>
          </w:tcPr>
          <w:p w14:paraId="4E892D33"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-0.060</w:t>
            </w:r>
            <w:r w:rsidRPr="008E082A">
              <w:rPr>
                <w:rFonts w:ascii="Calibri" w:eastAsia="Times New Roman" w:hAnsi="Calibri" w:cs="Calibri"/>
                <w:bCs/>
                <w:color w:val="000000"/>
                <w:sz w:val="20"/>
                <w:szCs w:val="20"/>
                <w:lang w:val="en-US"/>
              </w:rPr>
              <w:t>***</w:t>
            </w:r>
          </w:p>
        </w:tc>
        <w:tc>
          <w:tcPr>
            <w:tcW w:w="1749" w:type="dxa"/>
            <w:tcBorders>
              <w:top w:val="nil"/>
              <w:left w:val="nil"/>
              <w:bottom w:val="nil"/>
              <w:right w:val="nil"/>
            </w:tcBorders>
            <w:shd w:val="clear" w:color="auto" w:fill="auto"/>
            <w:noWrap/>
            <w:vAlign w:val="bottom"/>
            <w:hideMark/>
          </w:tcPr>
          <w:p w14:paraId="7F97E872"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-70.2</w:t>
            </w:r>
          </w:p>
        </w:tc>
        <w:tc>
          <w:tcPr>
            <w:tcW w:w="1749" w:type="dxa"/>
            <w:tcBorders>
              <w:top w:val="nil"/>
              <w:left w:val="nil"/>
              <w:bottom w:val="nil"/>
              <w:right w:val="nil"/>
            </w:tcBorders>
            <w:shd w:val="clear" w:color="auto" w:fill="auto"/>
            <w:noWrap/>
            <w:vAlign w:val="bottom"/>
            <w:hideMark/>
          </w:tcPr>
          <w:p w14:paraId="01BD6557"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-0.049</w:t>
            </w:r>
            <w:r w:rsidRPr="008E082A">
              <w:rPr>
                <w:rFonts w:ascii="Calibri" w:eastAsia="Times New Roman" w:hAnsi="Calibri" w:cs="Calibri"/>
                <w:bCs/>
                <w:color w:val="000000"/>
                <w:sz w:val="20"/>
                <w:szCs w:val="20"/>
                <w:lang w:val="en-US"/>
              </w:rPr>
              <w:t>***</w:t>
            </w:r>
          </w:p>
        </w:tc>
        <w:tc>
          <w:tcPr>
            <w:tcW w:w="1750" w:type="dxa"/>
            <w:tcBorders>
              <w:top w:val="nil"/>
              <w:left w:val="nil"/>
              <w:bottom w:val="nil"/>
              <w:right w:val="nil"/>
            </w:tcBorders>
            <w:shd w:val="clear" w:color="auto" w:fill="auto"/>
            <w:noWrap/>
            <w:vAlign w:val="bottom"/>
            <w:hideMark/>
          </w:tcPr>
          <w:p w14:paraId="59E55AE6"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-80.0</w:t>
            </w:r>
          </w:p>
        </w:tc>
      </w:tr>
      <w:tr w:rsidR="007B05AC" w:rsidRPr="008E082A" w14:paraId="31300018" w14:textId="77777777" w:rsidTr="007B05AC">
        <w:trPr>
          <w:trHeight w:val="290"/>
        </w:trPr>
        <w:tc>
          <w:tcPr>
            <w:tcW w:w="2694" w:type="dxa"/>
            <w:tcBorders>
              <w:top w:val="nil"/>
              <w:left w:val="nil"/>
              <w:bottom w:val="nil"/>
              <w:right w:val="nil"/>
            </w:tcBorders>
            <w:shd w:val="clear" w:color="auto" w:fill="auto"/>
            <w:noWrap/>
            <w:vAlign w:val="bottom"/>
            <w:hideMark/>
          </w:tcPr>
          <w:p w14:paraId="117EAF5C" w14:textId="77777777" w:rsidR="007B05AC" w:rsidRPr="008E082A" w:rsidRDefault="007B05AC" w:rsidP="007B05AC">
            <w:pPr>
              <w:spacing w:before="0"/>
              <w:ind w:left="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Age</w:t>
            </w:r>
          </w:p>
        </w:tc>
        <w:tc>
          <w:tcPr>
            <w:tcW w:w="1087" w:type="dxa"/>
            <w:tcBorders>
              <w:top w:val="nil"/>
              <w:left w:val="nil"/>
              <w:bottom w:val="nil"/>
              <w:right w:val="nil"/>
            </w:tcBorders>
            <w:shd w:val="clear" w:color="auto" w:fill="auto"/>
            <w:noWrap/>
            <w:vAlign w:val="bottom"/>
            <w:hideMark/>
          </w:tcPr>
          <w:p w14:paraId="441A0E66"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-0.005***</w:t>
            </w:r>
          </w:p>
        </w:tc>
        <w:tc>
          <w:tcPr>
            <w:tcW w:w="1749" w:type="dxa"/>
            <w:tcBorders>
              <w:top w:val="nil"/>
              <w:left w:val="nil"/>
              <w:bottom w:val="nil"/>
              <w:right w:val="nil"/>
            </w:tcBorders>
            <w:shd w:val="clear" w:color="auto" w:fill="auto"/>
            <w:noWrap/>
            <w:vAlign w:val="bottom"/>
            <w:hideMark/>
          </w:tcPr>
          <w:p w14:paraId="36A73ED0"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-5.4</w:t>
            </w:r>
          </w:p>
        </w:tc>
        <w:tc>
          <w:tcPr>
            <w:tcW w:w="1749" w:type="dxa"/>
            <w:tcBorders>
              <w:top w:val="nil"/>
              <w:left w:val="nil"/>
              <w:bottom w:val="nil"/>
              <w:right w:val="nil"/>
            </w:tcBorders>
            <w:shd w:val="clear" w:color="auto" w:fill="auto"/>
            <w:noWrap/>
            <w:vAlign w:val="bottom"/>
            <w:hideMark/>
          </w:tcPr>
          <w:p w14:paraId="492190A5"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-0.003</w:t>
            </w:r>
          </w:p>
        </w:tc>
        <w:tc>
          <w:tcPr>
            <w:tcW w:w="1750" w:type="dxa"/>
            <w:tcBorders>
              <w:top w:val="nil"/>
              <w:left w:val="nil"/>
              <w:bottom w:val="nil"/>
              <w:right w:val="nil"/>
            </w:tcBorders>
            <w:shd w:val="clear" w:color="auto" w:fill="auto"/>
            <w:noWrap/>
            <w:vAlign w:val="bottom"/>
            <w:hideMark/>
          </w:tcPr>
          <w:p w14:paraId="27B6F70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-5.4</w:t>
            </w:r>
          </w:p>
        </w:tc>
      </w:tr>
      <w:tr w:rsidR="007B05AC" w:rsidRPr="008E082A" w14:paraId="52F82E0C" w14:textId="77777777" w:rsidTr="007B05AC">
        <w:trPr>
          <w:trHeight w:val="290"/>
        </w:trPr>
        <w:tc>
          <w:tcPr>
            <w:tcW w:w="2694" w:type="dxa"/>
            <w:tcBorders>
              <w:top w:val="nil"/>
              <w:left w:val="nil"/>
              <w:bottom w:val="nil"/>
              <w:right w:val="nil"/>
            </w:tcBorders>
            <w:shd w:val="clear" w:color="auto" w:fill="auto"/>
            <w:noWrap/>
            <w:vAlign w:val="bottom"/>
            <w:hideMark/>
          </w:tcPr>
          <w:p w14:paraId="19805ACF" w14:textId="77777777" w:rsidR="007B05AC" w:rsidRPr="008E082A" w:rsidRDefault="007B05AC" w:rsidP="007B05AC">
            <w:pPr>
              <w:spacing w:before="0"/>
              <w:ind w:left="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Education</w:t>
            </w:r>
          </w:p>
        </w:tc>
        <w:tc>
          <w:tcPr>
            <w:tcW w:w="1087" w:type="dxa"/>
            <w:tcBorders>
              <w:top w:val="nil"/>
              <w:left w:val="nil"/>
              <w:bottom w:val="nil"/>
              <w:right w:val="nil"/>
            </w:tcBorders>
            <w:shd w:val="clear" w:color="auto" w:fill="auto"/>
            <w:noWrap/>
            <w:vAlign w:val="bottom"/>
            <w:hideMark/>
          </w:tcPr>
          <w:p w14:paraId="6C28729D"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-0.056***</w:t>
            </w:r>
          </w:p>
        </w:tc>
        <w:tc>
          <w:tcPr>
            <w:tcW w:w="1749" w:type="dxa"/>
            <w:tcBorders>
              <w:top w:val="nil"/>
              <w:left w:val="nil"/>
              <w:bottom w:val="nil"/>
              <w:right w:val="nil"/>
            </w:tcBorders>
            <w:shd w:val="clear" w:color="auto" w:fill="auto"/>
            <w:noWrap/>
            <w:vAlign w:val="bottom"/>
            <w:hideMark/>
          </w:tcPr>
          <w:p w14:paraId="66C1F2CF"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-65.7</w:t>
            </w:r>
          </w:p>
        </w:tc>
        <w:tc>
          <w:tcPr>
            <w:tcW w:w="1749" w:type="dxa"/>
            <w:tcBorders>
              <w:top w:val="nil"/>
              <w:left w:val="nil"/>
              <w:bottom w:val="nil"/>
              <w:right w:val="nil"/>
            </w:tcBorders>
            <w:shd w:val="clear" w:color="auto" w:fill="auto"/>
            <w:noWrap/>
            <w:vAlign w:val="bottom"/>
            <w:hideMark/>
          </w:tcPr>
          <w:p w14:paraId="398CE01E"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-0.052***</w:t>
            </w:r>
          </w:p>
        </w:tc>
        <w:tc>
          <w:tcPr>
            <w:tcW w:w="1750" w:type="dxa"/>
            <w:tcBorders>
              <w:top w:val="nil"/>
              <w:left w:val="nil"/>
              <w:bottom w:val="nil"/>
              <w:right w:val="nil"/>
            </w:tcBorders>
            <w:shd w:val="clear" w:color="auto" w:fill="auto"/>
            <w:noWrap/>
            <w:vAlign w:val="bottom"/>
            <w:hideMark/>
          </w:tcPr>
          <w:p w14:paraId="6C7EAE7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-85.0</w:t>
            </w:r>
          </w:p>
        </w:tc>
      </w:tr>
      <w:tr w:rsidR="007B05AC" w:rsidRPr="008E082A" w14:paraId="1BDA605B" w14:textId="77777777" w:rsidTr="007B05AC">
        <w:trPr>
          <w:trHeight w:val="290"/>
        </w:trPr>
        <w:tc>
          <w:tcPr>
            <w:tcW w:w="2694" w:type="dxa"/>
            <w:tcBorders>
              <w:top w:val="nil"/>
              <w:left w:val="nil"/>
              <w:bottom w:val="nil"/>
              <w:right w:val="nil"/>
            </w:tcBorders>
            <w:shd w:val="clear" w:color="auto" w:fill="auto"/>
            <w:noWrap/>
            <w:vAlign w:val="bottom"/>
            <w:hideMark/>
          </w:tcPr>
          <w:p w14:paraId="160B7753" w14:textId="77777777" w:rsidR="007B05AC" w:rsidRPr="008E082A" w:rsidRDefault="007B05AC" w:rsidP="007B05AC">
            <w:pPr>
              <w:spacing w:before="0"/>
              <w:ind w:left="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Married</w:t>
            </w:r>
          </w:p>
        </w:tc>
        <w:tc>
          <w:tcPr>
            <w:tcW w:w="1087" w:type="dxa"/>
            <w:tcBorders>
              <w:top w:val="nil"/>
              <w:left w:val="nil"/>
              <w:bottom w:val="nil"/>
              <w:right w:val="nil"/>
            </w:tcBorders>
            <w:shd w:val="clear" w:color="auto" w:fill="auto"/>
            <w:noWrap/>
            <w:vAlign w:val="bottom"/>
            <w:hideMark/>
          </w:tcPr>
          <w:p w14:paraId="50ED7362"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0.000</w:t>
            </w:r>
          </w:p>
        </w:tc>
        <w:tc>
          <w:tcPr>
            <w:tcW w:w="1749" w:type="dxa"/>
            <w:tcBorders>
              <w:top w:val="nil"/>
              <w:left w:val="nil"/>
              <w:bottom w:val="nil"/>
              <w:right w:val="nil"/>
            </w:tcBorders>
            <w:shd w:val="clear" w:color="auto" w:fill="auto"/>
            <w:noWrap/>
            <w:vAlign w:val="bottom"/>
            <w:hideMark/>
          </w:tcPr>
          <w:p w14:paraId="40705456"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-0.2</w:t>
            </w:r>
          </w:p>
        </w:tc>
        <w:tc>
          <w:tcPr>
            <w:tcW w:w="1749" w:type="dxa"/>
            <w:tcBorders>
              <w:top w:val="nil"/>
              <w:left w:val="nil"/>
              <w:bottom w:val="nil"/>
              <w:right w:val="nil"/>
            </w:tcBorders>
            <w:shd w:val="clear" w:color="auto" w:fill="auto"/>
            <w:noWrap/>
            <w:vAlign w:val="bottom"/>
            <w:hideMark/>
          </w:tcPr>
          <w:p w14:paraId="30604A00"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50" w:type="dxa"/>
            <w:tcBorders>
              <w:top w:val="nil"/>
              <w:left w:val="nil"/>
              <w:bottom w:val="nil"/>
              <w:right w:val="nil"/>
            </w:tcBorders>
            <w:shd w:val="clear" w:color="auto" w:fill="auto"/>
            <w:noWrap/>
            <w:vAlign w:val="bottom"/>
            <w:hideMark/>
          </w:tcPr>
          <w:p w14:paraId="7903A4E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1.6</w:t>
            </w:r>
          </w:p>
        </w:tc>
      </w:tr>
      <w:tr w:rsidR="007B05AC" w:rsidRPr="008E082A" w14:paraId="0FF93C94" w14:textId="77777777" w:rsidTr="007B05AC">
        <w:trPr>
          <w:trHeight w:val="290"/>
        </w:trPr>
        <w:tc>
          <w:tcPr>
            <w:tcW w:w="2694" w:type="dxa"/>
            <w:tcBorders>
              <w:top w:val="nil"/>
              <w:left w:val="nil"/>
              <w:bottom w:val="nil"/>
              <w:right w:val="nil"/>
            </w:tcBorders>
            <w:shd w:val="clear" w:color="auto" w:fill="auto"/>
            <w:noWrap/>
            <w:vAlign w:val="bottom"/>
            <w:hideMark/>
          </w:tcPr>
          <w:p w14:paraId="23AF3124" w14:textId="77777777" w:rsidR="007B05AC" w:rsidRPr="008E082A" w:rsidRDefault="007B05AC" w:rsidP="007B05AC">
            <w:pPr>
              <w:spacing w:before="0"/>
              <w:ind w:left="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Children under 15 years</w:t>
            </w:r>
          </w:p>
        </w:tc>
        <w:tc>
          <w:tcPr>
            <w:tcW w:w="1087" w:type="dxa"/>
            <w:tcBorders>
              <w:top w:val="nil"/>
              <w:left w:val="nil"/>
              <w:bottom w:val="nil"/>
              <w:right w:val="nil"/>
            </w:tcBorders>
            <w:shd w:val="clear" w:color="auto" w:fill="auto"/>
            <w:noWrap/>
            <w:vAlign w:val="bottom"/>
            <w:hideMark/>
          </w:tcPr>
          <w:p w14:paraId="12FD00C2"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49" w:type="dxa"/>
            <w:tcBorders>
              <w:top w:val="nil"/>
              <w:left w:val="nil"/>
              <w:bottom w:val="nil"/>
              <w:right w:val="nil"/>
            </w:tcBorders>
            <w:shd w:val="clear" w:color="auto" w:fill="auto"/>
            <w:noWrap/>
            <w:vAlign w:val="bottom"/>
            <w:hideMark/>
          </w:tcPr>
          <w:p w14:paraId="0F12BB51"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1.0</w:t>
            </w:r>
          </w:p>
        </w:tc>
        <w:tc>
          <w:tcPr>
            <w:tcW w:w="1749" w:type="dxa"/>
            <w:tcBorders>
              <w:top w:val="nil"/>
              <w:left w:val="nil"/>
              <w:bottom w:val="nil"/>
              <w:right w:val="nil"/>
            </w:tcBorders>
            <w:shd w:val="clear" w:color="auto" w:fill="auto"/>
            <w:noWrap/>
            <w:vAlign w:val="bottom"/>
            <w:hideMark/>
          </w:tcPr>
          <w:p w14:paraId="5CA8C5AD"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0.000</w:t>
            </w:r>
          </w:p>
        </w:tc>
        <w:tc>
          <w:tcPr>
            <w:tcW w:w="1750" w:type="dxa"/>
            <w:tcBorders>
              <w:top w:val="nil"/>
              <w:left w:val="nil"/>
              <w:bottom w:val="nil"/>
              <w:right w:val="nil"/>
            </w:tcBorders>
            <w:shd w:val="clear" w:color="auto" w:fill="auto"/>
            <w:noWrap/>
            <w:vAlign w:val="bottom"/>
            <w:hideMark/>
          </w:tcPr>
          <w:p w14:paraId="51B460F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-0.2</w:t>
            </w:r>
          </w:p>
        </w:tc>
      </w:tr>
      <w:tr w:rsidR="007B05AC" w:rsidRPr="008E082A" w14:paraId="06A8DB34" w14:textId="77777777" w:rsidTr="007B05AC">
        <w:trPr>
          <w:trHeight w:val="290"/>
        </w:trPr>
        <w:tc>
          <w:tcPr>
            <w:tcW w:w="2694" w:type="dxa"/>
            <w:tcBorders>
              <w:top w:val="nil"/>
              <w:left w:val="nil"/>
              <w:bottom w:val="nil"/>
              <w:right w:val="nil"/>
            </w:tcBorders>
            <w:shd w:val="clear" w:color="auto" w:fill="auto"/>
            <w:noWrap/>
            <w:vAlign w:val="bottom"/>
            <w:hideMark/>
          </w:tcPr>
          <w:p w14:paraId="6795A080" w14:textId="77777777" w:rsidR="007B05AC" w:rsidRPr="008E082A" w:rsidRDefault="007B05AC" w:rsidP="007B05AC">
            <w:pPr>
              <w:spacing w:before="0"/>
              <w:ind w:left="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Urban</w:t>
            </w:r>
          </w:p>
        </w:tc>
        <w:tc>
          <w:tcPr>
            <w:tcW w:w="1087" w:type="dxa"/>
            <w:tcBorders>
              <w:top w:val="nil"/>
              <w:left w:val="nil"/>
              <w:bottom w:val="nil"/>
              <w:right w:val="nil"/>
            </w:tcBorders>
            <w:shd w:val="clear" w:color="auto" w:fill="auto"/>
            <w:noWrap/>
            <w:vAlign w:val="bottom"/>
            <w:hideMark/>
          </w:tcPr>
          <w:p w14:paraId="723B4B2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49" w:type="dxa"/>
            <w:tcBorders>
              <w:top w:val="nil"/>
              <w:left w:val="nil"/>
              <w:bottom w:val="nil"/>
              <w:right w:val="nil"/>
            </w:tcBorders>
            <w:shd w:val="clear" w:color="auto" w:fill="auto"/>
            <w:noWrap/>
            <w:vAlign w:val="bottom"/>
            <w:hideMark/>
          </w:tcPr>
          <w:p w14:paraId="67C00724"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-1.4</w:t>
            </w:r>
          </w:p>
        </w:tc>
        <w:tc>
          <w:tcPr>
            <w:tcW w:w="1749" w:type="dxa"/>
            <w:tcBorders>
              <w:top w:val="nil"/>
              <w:left w:val="nil"/>
              <w:bottom w:val="nil"/>
              <w:right w:val="nil"/>
            </w:tcBorders>
            <w:shd w:val="clear" w:color="auto" w:fill="auto"/>
            <w:noWrap/>
            <w:vAlign w:val="bottom"/>
            <w:hideMark/>
          </w:tcPr>
          <w:p w14:paraId="4CDECB6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0.003</w:t>
            </w:r>
          </w:p>
        </w:tc>
        <w:tc>
          <w:tcPr>
            <w:tcW w:w="1750" w:type="dxa"/>
            <w:tcBorders>
              <w:top w:val="nil"/>
              <w:left w:val="nil"/>
              <w:bottom w:val="nil"/>
              <w:right w:val="nil"/>
            </w:tcBorders>
            <w:shd w:val="clear" w:color="auto" w:fill="auto"/>
            <w:noWrap/>
            <w:vAlign w:val="bottom"/>
            <w:hideMark/>
          </w:tcPr>
          <w:p w14:paraId="1A2E8B76"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5.4</w:t>
            </w:r>
          </w:p>
        </w:tc>
      </w:tr>
      <w:tr w:rsidR="007B05AC" w:rsidRPr="008E082A" w14:paraId="4F7AFD2C" w14:textId="77777777" w:rsidTr="007B05AC">
        <w:trPr>
          <w:trHeight w:val="290"/>
        </w:trPr>
        <w:tc>
          <w:tcPr>
            <w:tcW w:w="2694" w:type="dxa"/>
            <w:tcBorders>
              <w:top w:val="nil"/>
              <w:left w:val="nil"/>
              <w:right w:val="nil"/>
            </w:tcBorders>
            <w:shd w:val="clear" w:color="auto" w:fill="auto"/>
            <w:noWrap/>
            <w:vAlign w:val="bottom"/>
            <w:hideMark/>
          </w:tcPr>
          <w:p w14:paraId="16EE0940" w14:textId="77777777" w:rsidR="007B05AC" w:rsidRPr="008E082A" w:rsidRDefault="007B05AC" w:rsidP="007B05AC">
            <w:pPr>
              <w:spacing w:before="0"/>
              <w:ind w:left="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Region</w:t>
            </w:r>
          </w:p>
        </w:tc>
        <w:tc>
          <w:tcPr>
            <w:tcW w:w="1087" w:type="dxa"/>
            <w:tcBorders>
              <w:top w:val="nil"/>
              <w:left w:val="nil"/>
              <w:right w:val="nil"/>
            </w:tcBorders>
            <w:shd w:val="clear" w:color="auto" w:fill="auto"/>
            <w:noWrap/>
            <w:vAlign w:val="bottom"/>
            <w:hideMark/>
          </w:tcPr>
          <w:p w14:paraId="44E587EF"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49" w:type="dxa"/>
            <w:tcBorders>
              <w:top w:val="nil"/>
              <w:left w:val="nil"/>
              <w:right w:val="nil"/>
            </w:tcBorders>
            <w:shd w:val="clear" w:color="auto" w:fill="auto"/>
            <w:noWrap/>
            <w:vAlign w:val="bottom"/>
            <w:hideMark/>
          </w:tcPr>
          <w:p w14:paraId="349CB1B1"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1.5</w:t>
            </w:r>
          </w:p>
        </w:tc>
        <w:tc>
          <w:tcPr>
            <w:tcW w:w="1749" w:type="dxa"/>
            <w:tcBorders>
              <w:top w:val="nil"/>
              <w:left w:val="nil"/>
              <w:right w:val="nil"/>
            </w:tcBorders>
            <w:shd w:val="clear" w:color="auto" w:fill="auto"/>
            <w:noWrap/>
            <w:vAlign w:val="bottom"/>
            <w:hideMark/>
          </w:tcPr>
          <w:p w14:paraId="7A59B348"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0.002*</w:t>
            </w:r>
          </w:p>
        </w:tc>
        <w:tc>
          <w:tcPr>
            <w:tcW w:w="1750" w:type="dxa"/>
            <w:tcBorders>
              <w:top w:val="nil"/>
              <w:left w:val="nil"/>
              <w:right w:val="nil"/>
            </w:tcBorders>
            <w:shd w:val="clear" w:color="auto" w:fill="auto"/>
            <w:noWrap/>
            <w:vAlign w:val="bottom"/>
            <w:hideMark/>
          </w:tcPr>
          <w:p w14:paraId="5E3FC525"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3.5</w:t>
            </w:r>
          </w:p>
        </w:tc>
      </w:tr>
      <w:tr w:rsidR="007B05AC" w:rsidRPr="008E082A" w14:paraId="65CCAEFD" w14:textId="77777777" w:rsidTr="007B05AC">
        <w:trPr>
          <w:trHeight w:val="290"/>
        </w:trPr>
        <w:tc>
          <w:tcPr>
            <w:tcW w:w="2694" w:type="dxa"/>
            <w:tcBorders>
              <w:top w:val="nil"/>
              <w:left w:val="nil"/>
              <w:bottom w:val="single" w:sz="4" w:space="0" w:color="auto"/>
              <w:right w:val="nil"/>
            </w:tcBorders>
            <w:shd w:val="clear" w:color="auto" w:fill="auto"/>
            <w:noWrap/>
            <w:vAlign w:val="bottom"/>
            <w:hideMark/>
          </w:tcPr>
          <w:p w14:paraId="3C4F6DEE" w14:textId="77777777" w:rsidR="007B05AC" w:rsidRPr="008E082A" w:rsidRDefault="007B05AC" w:rsidP="007B05AC">
            <w:pPr>
              <w:spacing w:before="0"/>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Total unexplained gap</w:t>
            </w:r>
          </w:p>
        </w:tc>
        <w:tc>
          <w:tcPr>
            <w:tcW w:w="1087" w:type="dxa"/>
            <w:tcBorders>
              <w:top w:val="nil"/>
              <w:left w:val="nil"/>
              <w:bottom w:val="single" w:sz="4" w:space="0" w:color="auto"/>
              <w:right w:val="nil"/>
            </w:tcBorders>
            <w:shd w:val="clear" w:color="auto" w:fill="auto"/>
            <w:noWrap/>
            <w:vAlign w:val="bottom"/>
            <w:hideMark/>
          </w:tcPr>
          <w:p w14:paraId="4E39215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0.145</w:t>
            </w:r>
            <w:r w:rsidRPr="008E082A">
              <w:rPr>
                <w:rFonts w:ascii="Calibri" w:eastAsia="Times New Roman" w:hAnsi="Calibri" w:cs="Calibri"/>
                <w:bCs/>
                <w:color w:val="000000"/>
                <w:sz w:val="20"/>
                <w:szCs w:val="20"/>
                <w:lang w:val="en-US"/>
              </w:rPr>
              <w:t>***</w:t>
            </w:r>
          </w:p>
        </w:tc>
        <w:tc>
          <w:tcPr>
            <w:tcW w:w="1749" w:type="dxa"/>
            <w:tcBorders>
              <w:top w:val="nil"/>
              <w:left w:val="nil"/>
              <w:bottom w:val="single" w:sz="4" w:space="0" w:color="auto"/>
              <w:right w:val="nil"/>
            </w:tcBorders>
            <w:shd w:val="clear" w:color="auto" w:fill="auto"/>
            <w:noWrap/>
            <w:vAlign w:val="bottom"/>
            <w:hideMark/>
          </w:tcPr>
          <w:p w14:paraId="00C11DA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170.2</w:t>
            </w:r>
          </w:p>
        </w:tc>
        <w:tc>
          <w:tcPr>
            <w:tcW w:w="1749" w:type="dxa"/>
            <w:tcBorders>
              <w:top w:val="nil"/>
              <w:left w:val="nil"/>
              <w:bottom w:val="single" w:sz="4" w:space="0" w:color="auto"/>
              <w:right w:val="nil"/>
            </w:tcBorders>
            <w:shd w:val="clear" w:color="auto" w:fill="auto"/>
            <w:noWrap/>
            <w:vAlign w:val="bottom"/>
            <w:hideMark/>
          </w:tcPr>
          <w:p w14:paraId="0B9BBD6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0.110</w:t>
            </w:r>
            <w:r w:rsidRPr="008E082A">
              <w:rPr>
                <w:rFonts w:ascii="Calibri" w:eastAsia="Times New Roman" w:hAnsi="Calibri" w:cs="Calibri"/>
                <w:bCs/>
                <w:color w:val="000000"/>
                <w:sz w:val="20"/>
                <w:szCs w:val="20"/>
                <w:lang w:val="en-US"/>
              </w:rPr>
              <w:t>***</w:t>
            </w:r>
          </w:p>
        </w:tc>
        <w:tc>
          <w:tcPr>
            <w:tcW w:w="1750" w:type="dxa"/>
            <w:tcBorders>
              <w:top w:val="nil"/>
              <w:left w:val="nil"/>
              <w:bottom w:val="single" w:sz="4" w:space="0" w:color="auto"/>
              <w:right w:val="nil"/>
            </w:tcBorders>
            <w:shd w:val="clear" w:color="auto" w:fill="auto"/>
            <w:noWrap/>
            <w:vAlign w:val="bottom"/>
            <w:hideMark/>
          </w:tcPr>
          <w:p w14:paraId="70BEE10D"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180.0</w:t>
            </w:r>
          </w:p>
        </w:tc>
      </w:tr>
      <w:tr w:rsidR="007B05AC" w:rsidRPr="008E082A" w14:paraId="17F7C8D2" w14:textId="77777777" w:rsidTr="007B05AC">
        <w:trPr>
          <w:trHeight w:val="290"/>
        </w:trPr>
        <w:tc>
          <w:tcPr>
            <w:tcW w:w="2694" w:type="dxa"/>
            <w:tcBorders>
              <w:top w:val="single" w:sz="4" w:space="0" w:color="auto"/>
              <w:left w:val="nil"/>
              <w:bottom w:val="nil"/>
              <w:right w:val="nil"/>
            </w:tcBorders>
            <w:shd w:val="clear" w:color="auto" w:fill="auto"/>
            <w:noWrap/>
            <w:vAlign w:val="bottom"/>
          </w:tcPr>
          <w:p w14:paraId="7861FA7F" w14:textId="77777777" w:rsidR="007B05AC" w:rsidRPr="008E082A" w:rsidRDefault="00DF3BF7" w:rsidP="00DF3BF7">
            <w:pPr>
              <w:spacing w:before="0"/>
              <w:rPr>
                <w:rFonts w:ascii="Calibri" w:eastAsia="Times New Roman" w:hAnsi="Calibri" w:cs="Calibri"/>
                <w:color w:val="000000"/>
                <w:sz w:val="20"/>
                <w:szCs w:val="20"/>
                <w:lang w:val="en-US"/>
              </w:rPr>
            </w:pPr>
            <w:r w:rsidRPr="008E082A">
              <w:rPr>
                <w:rFonts w:ascii="Calibri" w:eastAsia="Times New Roman" w:hAnsi="Calibri" w:cs="Calibri"/>
                <w:i/>
                <w:iCs/>
                <w:color w:val="000000"/>
                <w:sz w:val="20"/>
                <w:szCs w:val="20"/>
                <w:lang w:val="en-US"/>
              </w:rPr>
              <w:t>B</w:t>
            </w:r>
            <w:r w:rsidR="00047315" w:rsidRPr="008E082A">
              <w:rPr>
                <w:rFonts w:ascii="Calibri" w:eastAsia="Times New Roman" w:hAnsi="Calibri" w:cs="Calibri"/>
                <w:i/>
                <w:iCs/>
                <w:color w:val="000000"/>
                <w:sz w:val="20"/>
                <w:szCs w:val="20"/>
                <w:lang w:val="en-US"/>
              </w:rPr>
              <w:t xml:space="preserve">. </w:t>
            </w:r>
            <w:r w:rsidR="007B05AC" w:rsidRPr="008E082A">
              <w:rPr>
                <w:rFonts w:ascii="Calibri" w:eastAsia="Times New Roman" w:hAnsi="Calibri" w:cs="Calibri"/>
                <w:i/>
                <w:iCs/>
                <w:color w:val="000000"/>
                <w:sz w:val="20"/>
                <w:szCs w:val="20"/>
                <w:lang w:val="en-US"/>
              </w:rPr>
              <w:t>Full specification</w:t>
            </w:r>
          </w:p>
        </w:tc>
        <w:tc>
          <w:tcPr>
            <w:tcW w:w="1087" w:type="dxa"/>
            <w:tcBorders>
              <w:top w:val="single" w:sz="4" w:space="0" w:color="auto"/>
              <w:left w:val="nil"/>
              <w:bottom w:val="nil"/>
              <w:right w:val="nil"/>
            </w:tcBorders>
            <w:shd w:val="clear" w:color="auto" w:fill="auto"/>
            <w:noWrap/>
            <w:vAlign w:val="bottom"/>
          </w:tcPr>
          <w:p w14:paraId="61D3CB20" w14:textId="77777777" w:rsidR="007B05AC" w:rsidRPr="008E082A" w:rsidRDefault="007B05AC" w:rsidP="007B05AC">
            <w:pPr>
              <w:spacing w:before="0"/>
              <w:jc w:val="right"/>
              <w:rPr>
                <w:rFonts w:ascii="Calibri" w:eastAsia="Times New Roman" w:hAnsi="Calibri" w:cs="Calibri"/>
                <w:color w:val="000000"/>
                <w:sz w:val="20"/>
                <w:szCs w:val="20"/>
                <w:lang w:val="en-US"/>
              </w:rPr>
            </w:pPr>
          </w:p>
        </w:tc>
        <w:tc>
          <w:tcPr>
            <w:tcW w:w="1749" w:type="dxa"/>
            <w:tcBorders>
              <w:top w:val="single" w:sz="4" w:space="0" w:color="auto"/>
              <w:left w:val="nil"/>
              <w:bottom w:val="nil"/>
              <w:right w:val="nil"/>
            </w:tcBorders>
            <w:shd w:val="clear" w:color="auto" w:fill="auto"/>
            <w:noWrap/>
            <w:vAlign w:val="bottom"/>
          </w:tcPr>
          <w:p w14:paraId="15248789" w14:textId="77777777" w:rsidR="007B05AC" w:rsidRPr="008E082A" w:rsidRDefault="007B05AC" w:rsidP="007B05AC">
            <w:pPr>
              <w:spacing w:before="0"/>
              <w:jc w:val="right"/>
              <w:rPr>
                <w:rFonts w:ascii="Calibri" w:eastAsia="Times New Roman" w:hAnsi="Calibri" w:cs="Calibri"/>
                <w:color w:val="000000"/>
                <w:sz w:val="20"/>
                <w:szCs w:val="20"/>
                <w:lang w:val="en-US"/>
              </w:rPr>
            </w:pPr>
          </w:p>
        </w:tc>
        <w:tc>
          <w:tcPr>
            <w:tcW w:w="1749" w:type="dxa"/>
            <w:tcBorders>
              <w:top w:val="single" w:sz="4" w:space="0" w:color="auto"/>
              <w:left w:val="nil"/>
              <w:bottom w:val="nil"/>
              <w:right w:val="nil"/>
            </w:tcBorders>
            <w:shd w:val="clear" w:color="auto" w:fill="auto"/>
            <w:noWrap/>
            <w:vAlign w:val="bottom"/>
          </w:tcPr>
          <w:p w14:paraId="35703E61" w14:textId="77777777" w:rsidR="007B05AC" w:rsidRPr="008E082A" w:rsidRDefault="007B05AC" w:rsidP="007B05AC">
            <w:pPr>
              <w:spacing w:before="0"/>
              <w:jc w:val="right"/>
              <w:rPr>
                <w:rFonts w:ascii="Calibri" w:eastAsia="Times New Roman" w:hAnsi="Calibri" w:cs="Calibri"/>
                <w:color w:val="000000"/>
                <w:sz w:val="20"/>
                <w:szCs w:val="20"/>
                <w:lang w:val="en-US"/>
              </w:rPr>
            </w:pPr>
          </w:p>
        </w:tc>
        <w:tc>
          <w:tcPr>
            <w:tcW w:w="1750" w:type="dxa"/>
            <w:tcBorders>
              <w:top w:val="single" w:sz="4" w:space="0" w:color="auto"/>
              <w:left w:val="nil"/>
              <w:bottom w:val="nil"/>
              <w:right w:val="nil"/>
            </w:tcBorders>
            <w:shd w:val="clear" w:color="auto" w:fill="auto"/>
            <w:noWrap/>
            <w:vAlign w:val="bottom"/>
          </w:tcPr>
          <w:p w14:paraId="2E15DE24" w14:textId="77777777" w:rsidR="007B05AC" w:rsidRPr="008E082A" w:rsidRDefault="007B05AC" w:rsidP="007B05AC">
            <w:pPr>
              <w:spacing w:before="0"/>
              <w:jc w:val="right"/>
              <w:rPr>
                <w:rFonts w:ascii="Calibri" w:eastAsia="Times New Roman" w:hAnsi="Calibri" w:cs="Calibri"/>
                <w:color w:val="000000"/>
                <w:sz w:val="20"/>
                <w:szCs w:val="20"/>
                <w:lang w:val="en-US"/>
              </w:rPr>
            </w:pPr>
          </w:p>
        </w:tc>
      </w:tr>
      <w:tr w:rsidR="007B05AC" w:rsidRPr="008E082A" w14:paraId="53B8D946" w14:textId="77777777" w:rsidTr="007B05AC">
        <w:trPr>
          <w:trHeight w:val="290"/>
        </w:trPr>
        <w:tc>
          <w:tcPr>
            <w:tcW w:w="2694" w:type="dxa"/>
            <w:tcBorders>
              <w:top w:val="nil"/>
              <w:left w:val="nil"/>
              <w:bottom w:val="nil"/>
              <w:right w:val="nil"/>
            </w:tcBorders>
            <w:shd w:val="clear" w:color="auto" w:fill="auto"/>
            <w:noWrap/>
            <w:vAlign w:val="bottom"/>
            <w:hideMark/>
          </w:tcPr>
          <w:p w14:paraId="17DFED8B" w14:textId="77777777" w:rsidR="007B05AC" w:rsidRPr="008E082A" w:rsidRDefault="007B05AC" w:rsidP="007B05AC">
            <w:pPr>
              <w:spacing w:before="0"/>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Total pay gap</w:t>
            </w:r>
          </w:p>
        </w:tc>
        <w:tc>
          <w:tcPr>
            <w:tcW w:w="1087" w:type="dxa"/>
            <w:tcBorders>
              <w:top w:val="nil"/>
              <w:left w:val="nil"/>
              <w:bottom w:val="nil"/>
              <w:right w:val="nil"/>
            </w:tcBorders>
            <w:shd w:val="clear" w:color="auto" w:fill="auto"/>
            <w:noWrap/>
            <w:vAlign w:val="bottom"/>
            <w:hideMark/>
          </w:tcPr>
          <w:p w14:paraId="04A8AB64"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0.064</w:t>
            </w:r>
            <w:r w:rsidRPr="008E082A">
              <w:rPr>
                <w:rFonts w:ascii="Calibri" w:eastAsia="Times New Roman" w:hAnsi="Calibri" w:cs="Calibri"/>
                <w:bCs/>
                <w:color w:val="000000"/>
                <w:sz w:val="20"/>
                <w:szCs w:val="20"/>
                <w:lang w:val="en-US"/>
              </w:rPr>
              <w:t>***</w:t>
            </w:r>
          </w:p>
        </w:tc>
        <w:tc>
          <w:tcPr>
            <w:tcW w:w="1749" w:type="dxa"/>
            <w:tcBorders>
              <w:top w:val="nil"/>
              <w:left w:val="nil"/>
              <w:bottom w:val="nil"/>
              <w:right w:val="nil"/>
            </w:tcBorders>
            <w:shd w:val="clear" w:color="auto" w:fill="auto"/>
            <w:noWrap/>
            <w:vAlign w:val="bottom"/>
            <w:hideMark/>
          </w:tcPr>
          <w:p w14:paraId="55C3D027"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100</w:t>
            </w:r>
          </w:p>
        </w:tc>
        <w:tc>
          <w:tcPr>
            <w:tcW w:w="1749" w:type="dxa"/>
            <w:tcBorders>
              <w:top w:val="nil"/>
              <w:left w:val="nil"/>
              <w:bottom w:val="nil"/>
              <w:right w:val="nil"/>
            </w:tcBorders>
            <w:shd w:val="clear" w:color="auto" w:fill="auto"/>
            <w:noWrap/>
            <w:vAlign w:val="bottom"/>
            <w:hideMark/>
          </w:tcPr>
          <w:p w14:paraId="5415442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0.056</w:t>
            </w:r>
            <w:r w:rsidRPr="008E082A">
              <w:rPr>
                <w:rFonts w:ascii="Calibri" w:eastAsia="Times New Roman" w:hAnsi="Calibri" w:cs="Calibri"/>
                <w:bCs/>
                <w:color w:val="000000"/>
                <w:sz w:val="20"/>
                <w:szCs w:val="20"/>
                <w:lang w:val="en-US"/>
              </w:rPr>
              <w:t>***</w:t>
            </w:r>
          </w:p>
        </w:tc>
        <w:tc>
          <w:tcPr>
            <w:tcW w:w="1750" w:type="dxa"/>
            <w:tcBorders>
              <w:top w:val="nil"/>
              <w:left w:val="nil"/>
              <w:bottom w:val="nil"/>
              <w:right w:val="nil"/>
            </w:tcBorders>
            <w:shd w:val="clear" w:color="auto" w:fill="auto"/>
            <w:noWrap/>
            <w:vAlign w:val="bottom"/>
            <w:hideMark/>
          </w:tcPr>
          <w:p w14:paraId="4EE574A6"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100</w:t>
            </w:r>
          </w:p>
        </w:tc>
      </w:tr>
      <w:tr w:rsidR="007B05AC" w:rsidRPr="008E082A" w14:paraId="3252FFE5" w14:textId="77777777" w:rsidTr="007B05AC">
        <w:trPr>
          <w:trHeight w:val="290"/>
        </w:trPr>
        <w:tc>
          <w:tcPr>
            <w:tcW w:w="2694" w:type="dxa"/>
            <w:tcBorders>
              <w:top w:val="nil"/>
              <w:left w:val="nil"/>
              <w:bottom w:val="nil"/>
              <w:right w:val="nil"/>
            </w:tcBorders>
            <w:shd w:val="clear" w:color="auto" w:fill="auto"/>
            <w:noWrap/>
            <w:vAlign w:val="bottom"/>
            <w:hideMark/>
          </w:tcPr>
          <w:p w14:paraId="75742B84" w14:textId="77777777" w:rsidR="007B05AC" w:rsidRPr="008E082A" w:rsidRDefault="007B05AC" w:rsidP="007B05AC">
            <w:pPr>
              <w:spacing w:before="0"/>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Total explained gap</w:t>
            </w:r>
          </w:p>
        </w:tc>
        <w:tc>
          <w:tcPr>
            <w:tcW w:w="1087" w:type="dxa"/>
            <w:tcBorders>
              <w:top w:val="nil"/>
              <w:left w:val="nil"/>
              <w:bottom w:val="nil"/>
              <w:right w:val="nil"/>
            </w:tcBorders>
            <w:shd w:val="clear" w:color="auto" w:fill="auto"/>
            <w:noWrap/>
            <w:vAlign w:val="bottom"/>
            <w:hideMark/>
          </w:tcPr>
          <w:p w14:paraId="04B66609"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-0.054</w:t>
            </w:r>
            <w:r w:rsidRPr="008E082A">
              <w:rPr>
                <w:rFonts w:ascii="Calibri" w:eastAsia="Times New Roman" w:hAnsi="Calibri" w:cs="Calibri"/>
                <w:bCs/>
                <w:color w:val="000000"/>
                <w:sz w:val="20"/>
                <w:szCs w:val="20"/>
                <w:lang w:val="en-US"/>
              </w:rPr>
              <w:t>***</w:t>
            </w:r>
          </w:p>
        </w:tc>
        <w:tc>
          <w:tcPr>
            <w:tcW w:w="1749" w:type="dxa"/>
            <w:tcBorders>
              <w:top w:val="nil"/>
              <w:left w:val="nil"/>
              <w:bottom w:val="nil"/>
              <w:right w:val="nil"/>
            </w:tcBorders>
            <w:shd w:val="clear" w:color="auto" w:fill="auto"/>
            <w:noWrap/>
            <w:vAlign w:val="bottom"/>
            <w:hideMark/>
          </w:tcPr>
          <w:p w14:paraId="64751D24"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-84.4</w:t>
            </w:r>
          </w:p>
        </w:tc>
        <w:tc>
          <w:tcPr>
            <w:tcW w:w="1749" w:type="dxa"/>
            <w:tcBorders>
              <w:top w:val="nil"/>
              <w:left w:val="nil"/>
              <w:bottom w:val="nil"/>
              <w:right w:val="nil"/>
            </w:tcBorders>
            <w:shd w:val="clear" w:color="auto" w:fill="auto"/>
            <w:noWrap/>
            <w:vAlign w:val="bottom"/>
            <w:hideMark/>
          </w:tcPr>
          <w:p w14:paraId="7BEBDEEB"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-0.043</w:t>
            </w:r>
            <w:r w:rsidRPr="008E082A">
              <w:rPr>
                <w:rFonts w:ascii="Calibri" w:eastAsia="Times New Roman" w:hAnsi="Calibri" w:cs="Calibri"/>
                <w:bCs/>
                <w:color w:val="000000"/>
                <w:sz w:val="20"/>
                <w:szCs w:val="20"/>
                <w:lang w:val="en-US"/>
              </w:rPr>
              <w:t>***</w:t>
            </w:r>
          </w:p>
        </w:tc>
        <w:tc>
          <w:tcPr>
            <w:tcW w:w="1750" w:type="dxa"/>
            <w:tcBorders>
              <w:top w:val="nil"/>
              <w:left w:val="nil"/>
              <w:bottom w:val="nil"/>
              <w:right w:val="nil"/>
            </w:tcBorders>
            <w:shd w:val="clear" w:color="auto" w:fill="auto"/>
            <w:noWrap/>
            <w:vAlign w:val="bottom"/>
            <w:hideMark/>
          </w:tcPr>
          <w:p w14:paraId="22D3CC5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-76.8</w:t>
            </w:r>
          </w:p>
        </w:tc>
      </w:tr>
      <w:tr w:rsidR="007B05AC" w:rsidRPr="008E082A" w14:paraId="76311B4D" w14:textId="77777777" w:rsidTr="007B05AC">
        <w:trPr>
          <w:trHeight w:val="290"/>
        </w:trPr>
        <w:tc>
          <w:tcPr>
            <w:tcW w:w="2694" w:type="dxa"/>
            <w:tcBorders>
              <w:top w:val="nil"/>
              <w:left w:val="nil"/>
              <w:bottom w:val="nil"/>
              <w:right w:val="nil"/>
            </w:tcBorders>
            <w:shd w:val="clear" w:color="auto" w:fill="auto"/>
            <w:noWrap/>
            <w:vAlign w:val="bottom"/>
            <w:hideMark/>
          </w:tcPr>
          <w:p w14:paraId="352FC950"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Age</w:t>
            </w:r>
          </w:p>
        </w:tc>
        <w:tc>
          <w:tcPr>
            <w:tcW w:w="1087" w:type="dxa"/>
            <w:tcBorders>
              <w:top w:val="nil"/>
              <w:left w:val="nil"/>
              <w:bottom w:val="nil"/>
              <w:right w:val="nil"/>
            </w:tcBorders>
            <w:shd w:val="clear" w:color="auto" w:fill="auto"/>
            <w:noWrap/>
            <w:vAlign w:val="bottom"/>
            <w:hideMark/>
          </w:tcPr>
          <w:p w14:paraId="054AC2BB"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-0.005***</w:t>
            </w:r>
          </w:p>
        </w:tc>
        <w:tc>
          <w:tcPr>
            <w:tcW w:w="1749" w:type="dxa"/>
            <w:tcBorders>
              <w:top w:val="nil"/>
              <w:left w:val="nil"/>
              <w:bottom w:val="nil"/>
              <w:right w:val="nil"/>
            </w:tcBorders>
            <w:shd w:val="clear" w:color="auto" w:fill="auto"/>
            <w:noWrap/>
            <w:vAlign w:val="bottom"/>
            <w:hideMark/>
          </w:tcPr>
          <w:p w14:paraId="201D2A0C"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-7.1</w:t>
            </w:r>
          </w:p>
        </w:tc>
        <w:tc>
          <w:tcPr>
            <w:tcW w:w="1749" w:type="dxa"/>
            <w:tcBorders>
              <w:top w:val="nil"/>
              <w:left w:val="nil"/>
              <w:bottom w:val="nil"/>
              <w:right w:val="nil"/>
            </w:tcBorders>
            <w:shd w:val="clear" w:color="auto" w:fill="auto"/>
            <w:noWrap/>
            <w:vAlign w:val="bottom"/>
            <w:hideMark/>
          </w:tcPr>
          <w:p w14:paraId="19E2C4FC" w14:textId="77777777" w:rsidR="007B05AC" w:rsidRPr="008E082A" w:rsidRDefault="007B05AC" w:rsidP="007B05AC">
            <w:pPr>
              <w:spacing w:before="0"/>
              <w:jc w:val="center"/>
              <w:rPr>
                <w:rFonts w:ascii="Calibri" w:eastAsia="Times New Roman" w:hAnsi="Calibri" w:cs="Calibri"/>
                <w:bCs/>
                <w:sz w:val="20"/>
                <w:szCs w:val="20"/>
                <w:lang w:val="en-US"/>
              </w:rPr>
            </w:pPr>
            <w:r w:rsidRPr="008E082A">
              <w:rPr>
                <w:rFonts w:ascii="Calibri" w:eastAsia="Times New Roman" w:hAnsi="Calibri" w:cs="Calibri"/>
                <w:bCs/>
                <w:sz w:val="20"/>
                <w:szCs w:val="20"/>
                <w:lang w:val="en-US"/>
              </w:rPr>
              <w:t>-0.004</w:t>
            </w:r>
            <w:r w:rsidRPr="008E082A">
              <w:rPr>
                <w:rFonts w:ascii="Calibri" w:eastAsia="Times New Roman" w:hAnsi="Calibri" w:cs="Calibri"/>
                <w:bCs/>
                <w:color w:val="000000"/>
                <w:sz w:val="20"/>
                <w:szCs w:val="20"/>
                <w:lang w:val="en-US"/>
              </w:rPr>
              <w:t>***</w:t>
            </w:r>
          </w:p>
        </w:tc>
        <w:tc>
          <w:tcPr>
            <w:tcW w:w="1750" w:type="dxa"/>
            <w:tcBorders>
              <w:top w:val="nil"/>
              <w:left w:val="nil"/>
              <w:bottom w:val="nil"/>
              <w:right w:val="nil"/>
            </w:tcBorders>
            <w:shd w:val="clear" w:color="auto" w:fill="auto"/>
            <w:noWrap/>
            <w:vAlign w:val="bottom"/>
            <w:hideMark/>
          </w:tcPr>
          <w:p w14:paraId="2BABBAFC"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-7.7</w:t>
            </w:r>
          </w:p>
        </w:tc>
      </w:tr>
      <w:tr w:rsidR="007B05AC" w:rsidRPr="008E082A" w14:paraId="63189E41" w14:textId="77777777" w:rsidTr="007B05AC">
        <w:trPr>
          <w:trHeight w:val="290"/>
        </w:trPr>
        <w:tc>
          <w:tcPr>
            <w:tcW w:w="2694" w:type="dxa"/>
            <w:tcBorders>
              <w:top w:val="nil"/>
              <w:left w:val="nil"/>
              <w:bottom w:val="nil"/>
              <w:right w:val="nil"/>
            </w:tcBorders>
            <w:shd w:val="clear" w:color="auto" w:fill="auto"/>
            <w:noWrap/>
            <w:vAlign w:val="bottom"/>
            <w:hideMark/>
          </w:tcPr>
          <w:p w14:paraId="54F15D4C"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Education</w:t>
            </w:r>
          </w:p>
        </w:tc>
        <w:tc>
          <w:tcPr>
            <w:tcW w:w="1087" w:type="dxa"/>
            <w:tcBorders>
              <w:top w:val="nil"/>
              <w:left w:val="nil"/>
              <w:bottom w:val="nil"/>
              <w:right w:val="nil"/>
            </w:tcBorders>
            <w:shd w:val="clear" w:color="auto" w:fill="auto"/>
            <w:noWrap/>
            <w:vAlign w:val="bottom"/>
            <w:hideMark/>
          </w:tcPr>
          <w:p w14:paraId="4A94FE0E"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-0.025***</w:t>
            </w:r>
          </w:p>
        </w:tc>
        <w:tc>
          <w:tcPr>
            <w:tcW w:w="1749" w:type="dxa"/>
            <w:tcBorders>
              <w:top w:val="nil"/>
              <w:left w:val="nil"/>
              <w:bottom w:val="nil"/>
              <w:right w:val="nil"/>
            </w:tcBorders>
            <w:shd w:val="clear" w:color="auto" w:fill="auto"/>
            <w:noWrap/>
            <w:vAlign w:val="bottom"/>
            <w:hideMark/>
          </w:tcPr>
          <w:p w14:paraId="50E349EF"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-39.3</w:t>
            </w:r>
          </w:p>
        </w:tc>
        <w:tc>
          <w:tcPr>
            <w:tcW w:w="1749" w:type="dxa"/>
            <w:tcBorders>
              <w:top w:val="nil"/>
              <w:left w:val="nil"/>
              <w:bottom w:val="nil"/>
              <w:right w:val="nil"/>
            </w:tcBorders>
            <w:shd w:val="clear" w:color="auto" w:fill="auto"/>
            <w:noWrap/>
            <w:vAlign w:val="bottom"/>
            <w:hideMark/>
          </w:tcPr>
          <w:p w14:paraId="3A98306A" w14:textId="77777777" w:rsidR="007B05AC" w:rsidRPr="008E082A" w:rsidRDefault="007B05AC" w:rsidP="007B05AC">
            <w:pPr>
              <w:spacing w:before="0"/>
              <w:jc w:val="center"/>
              <w:rPr>
                <w:rFonts w:ascii="Calibri" w:eastAsia="Times New Roman" w:hAnsi="Calibri" w:cs="Calibri"/>
                <w:bCs/>
                <w:sz w:val="20"/>
                <w:szCs w:val="20"/>
                <w:lang w:val="en-US"/>
              </w:rPr>
            </w:pPr>
            <w:r w:rsidRPr="008E082A">
              <w:rPr>
                <w:rFonts w:ascii="Calibri" w:eastAsia="Times New Roman" w:hAnsi="Calibri" w:cs="Calibri"/>
                <w:bCs/>
                <w:sz w:val="20"/>
                <w:szCs w:val="20"/>
                <w:lang w:val="en-US"/>
              </w:rPr>
              <w:t>-0.035**</w:t>
            </w:r>
          </w:p>
        </w:tc>
        <w:tc>
          <w:tcPr>
            <w:tcW w:w="1750" w:type="dxa"/>
            <w:tcBorders>
              <w:top w:val="nil"/>
              <w:left w:val="nil"/>
              <w:bottom w:val="nil"/>
              <w:right w:val="nil"/>
            </w:tcBorders>
            <w:shd w:val="clear" w:color="auto" w:fill="auto"/>
            <w:noWrap/>
            <w:vAlign w:val="bottom"/>
            <w:hideMark/>
          </w:tcPr>
          <w:p w14:paraId="7B861D22"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-62.3</w:t>
            </w:r>
          </w:p>
        </w:tc>
      </w:tr>
      <w:tr w:rsidR="007B05AC" w:rsidRPr="008E082A" w14:paraId="14196B3A" w14:textId="77777777" w:rsidTr="007B05AC">
        <w:trPr>
          <w:trHeight w:val="290"/>
        </w:trPr>
        <w:tc>
          <w:tcPr>
            <w:tcW w:w="2694" w:type="dxa"/>
            <w:tcBorders>
              <w:top w:val="nil"/>
              <w:left w:val="nil"/>
              <w:bottom w:val="nil"/>
              <w:right w:val="nil"/>
            </w:tcBorders>
            <w:shd w:val="clear" w:color="auto" w:fill="auto"/>
            <w:noWrap/>
            <w:vAlign w:val="bottom"/>
            <w:hideMark/>
          </w:tcPr>
          <w:p w14:paraId="427C1C06"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Married</w:t>
            </w:r>
          </w:p>
        </w:tc>
        <w:tc>
          <w:tcPr>
            <w:tcW w:w="1087" w:type="dxa"/>
            <w:tcBorders>
              <w:top w:val="nil"/>
              <w:left w:val="nil"/>
              <w:bottom w:val="nil"/>
              <w:right w:val="nil"/>
            </w:tcBorders>
            <w:shd w:val="clear" w:color="auto" w:fill="auto"/>
            <w:noWrap/>
            <w:vAlign w:val="bottom"/>
            <w:hideMark/>
          </w:tcPr>
          <w:p w14:paraId="2E4BE80D"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49" w:type="dxa"/>
            <w:tcBorders>
              <w:top w:val="nil"/>
              <w:left w:val="nil"/>
              <w:bottom w:val="nil"/>
              <w:right w:val="nil"/>
            </w:tcBorders>
            <w:shd w:val="clear" w:color="auto" w:fill="auto"/>
            <w:noWrap/>
            <w:vAlign w:val="bottom"/>
            <w:hideMark/>
          </w:tcPr>
          <w:p w14:paraId="3111F45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-1.1</w:t>
            </w:r>
          </w:p>
        </w:tc>
        <w:tc>
          <w:tcPr>
            <w:tcW w:w="1749" w:type="dxa"/>
            <w:tcBorders>
              <w:top w:val="nil"/>
              <w:left w:val="nil"/>
              <w:bottom w:val="nil"/>
              <w:right w:val="nil"/>
            </w:tcBorders>
            <w:shd w:val="clear" w:color="auto" w:fill="auto"/>
            <w:noWrap/>
            <w:vAlign w:val="bottom"/>
            <w:hideMark/>
          </w:tcPr>
          <w:p w14:paraId="18D7A199" w14:textId="77777777" w:rsidR="007B05AC" w:rsidRPr="008E082A" w:rsidRDefault="007B05AC" w:rsidP="007B05AC">
            <w:pPr>
              <w:spacing w:before="0"/>
              <w:jc w:val="center"/>
              <w:rPr>
                <w:rFonts w:ascii="Calibri" w:eastAsia="Times New Roman" w:hAnsi="Calibri" w:cs="Calibri"/>
                <w:bCs/>
                <w:sz w:val="20"/>
                <w:szCs w:val="20"/>
                <w:lang w:val="en-US"/>
              </w:rPr>
            </w:pPr>
            <w:r w:rsidRPr="008E082A">
              <w:rPr>
                <w:rFonts w:ascii="Calibri" w:eastAsia="Times New Roman" w:hAnsi="Calibri" w:cs="Calibri"/>
                <w:bCs/>
                <w:sz w:val="20"/>
                <w:szCs w:val="20"/>
                <w:lang w:val="en-US"/>
              </w:rPr>
              <w:t>0.002*</w:t>
            </w:r>
          </w:p>
        </w:tc>
        <w:tc>
          <w:tcPr>
            <w:tcW w:w="1750" w:type="dxa"/>
            <w:tcBorders>
              <w:top w:val="nil"/>
              <w:left w:val="nil"/>
              <w:bottom w:val="nil"/>
              <w:right w:val="nil"/>
            </w:tcBorders>
            <w:shd w:val="clear" w:color="auto" w:fill="auto"/>
            <w:noWrap/>
            <w:vAlign w:val="bottom"/>
            <w:hideMark/>
          </w:tcPr>
          <w:p w14:paraId="235F24F4"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2.9</w:t>
            </w:r>
          </w:p>
        </w:tc>
      </w:tr>
      <w:tr w:rsidR="007B05AC" w:rsidRPr="008E082A" w14:paraId="054E51BC" w14:textId="77777777" w:rsidTr="007B05AC">
        <w:trPr>
          <w:trHeight w:val="290"/>
        </w:trPr>
        <w:tc>
          <w:tcPr>
            <w:tcW w:w="2694" w:type="dxa"/>
            <w:tcBorders>
              <w:top w:val="nil"/>
              <w:left w:val="nil"/>
              <w:bottom w:val="nil"/>
              <w:right w:val="nil"/>
            </w:tcBorders>
            <w:shd w:val="clear" w:color="auto" w:fill="auto"/>
            <w:noWrap/>
            <w:vAlign w:val="bottom"/>
            <w:hideMark/>
          </w:tcPr>
          <w:p w14:paraId="2E334798"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Children under 15 years</w:t>
            </w:r>
          </w:p>
        </w:tc>
        <w:tc>
          <w:tcPr>
            <w:tcW w:w="1087" w:type="dxa"/>
            <w:tcBorders>
              <w:top w:val="nil"/>
              <w:left w:val="nil"/>
              <w:bottom w:val="nil"/>
              <w:right w:val="nil"/>
            </w:tcBorders>
            <w:shd w:val="clear" w:color="auto" w:fill="auto"/>
            <w:noWrap/>
            <w:vAlign w:val="bottom"/>
            <w:hideMark/>
          </w:tcPr>
          <w:p w14:paraId="004E5C8D"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49" w:type="dxa"/>
            <w:tcBorders>
              <w:top w:val="nil"/>
              <w:left w:val="nil"/>
              <w:bottom w:val="nil"/>
              <w:right w:val="nil"/>
            </w:tcBorders>
            <w:shd w:val="clear" w:color="auto" w:fill="auto"/>
            <w:noWrap/>
            <w:vAlign w:val="bottom"/>
            <w:hideMark/>
          </w:tcPr>
          <w:p w14:paraId="594147E4"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1.4</w:t>
            </w:r>
          </w:p>
        </w:tc>
        <w:tc>
          <w:tcPr>
            <w:tcW w:w="1749" w:type="dxa"/>
            <w:tcBorders>
              <w:top w:val="nil"/>
              <w:left w:val="nil"/>
              <w:bottom w:val="nil"/>
              <w:right w:val="nil"/>
            </w:tcBorders>
            <w:shd w:val="clear" w:color="auto" w:fill="auto"/>
            <w:noWrap/>
            <w:vAlign w:val="bottom"/>
            <w:hideMark/>
          </w:tcPr>
          <w:p w14:paraId="386FD849"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0.000</w:t>
            </w:r>
          </w:p>
        </w:tc>
        <w:tc>
          <w:tcPr>
            <w:tcW w:w="1750" w:type="dxa"/>
            <w:tcBorders>
              <w:top w:val="nil"/>
              <w:left w:val="nil"/>
              <w:bottom w:val="nil"/>
              <w:right w:val="nil"/>
            </w:tcBorders>
            <w:shd w:val="clear" w:color="auto" w:fill="auto"/>
            <w:noWrap/>
            <w:vAlign w:val="bottom"/>
            <w:hideMark/>
          </w:tcPr>
          <w:p w14:paraId="35C9444F"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-0.2</w:t>
            </w:r>
          </w:p>
        </w:tc>
      </w:tr>
      <w:tr w:rsidR="007B05AC" w:rsidRPr="008E082A" w14:paraId="56CAFCD8" w14:textId="77777777" w:rsidTr="007B05AC">
        <w:trPr>
          <w:trHeight w:val="290"/>
        </w:trPr>
        <w:tc>
          <w:tcPr>
            <w:tcW w:w="2694" w:type="dxa"/>
            <w:tcBorders>
              <w:top w:val="nil"/>
              <w:left w:val="nil"/>
              <w:bottom w:val="nil"/>
              <w:right w:val="nil"/>
            </w:tcBorders>
            <w:shd w:val="clear" w:color="auto" w:fill="auto"/>
            <w:noWrap/>
            <w:vAlign w:val="bottom"/>
            <w:hideMark/>
          </w:tcPr>
          <w:p w14:paraId="28A25444"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Urban</w:t>
            </w:r>
          </w:p>
        </w:tc>
        <w:tc>
          <w:tcPr>
            <w:tcW w:w="1087" w:type="dxa"/>
            <w:tcBorders>
              <w:top w:val="nil"/>
              <w:left w:val="nil"/>
              <w:bottom w:val="nil"/>
              <w:right w:val="nil"/>
            </w:tcBorders>
            <w:shd w:val="clear" w:color="auto" w:fill="auto"/>
            <w:noWrap/>
            <w:vAlign w:val="bottom"/>
            <w:hideMark/>
          </w:tcPr>
          <w:p w14:paraId="76878CA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0.000</w:t>
            </w:r>
          </w:p>
        </w:tc>
        <w:tc>
          <w:tcPr>
            <w:tcW w:w="1749" w:type="dxa"/>
            <w:tcBorders>
              <w:top w:val="nil"/>
              <w:left w:val="nil"/>
              <w:bottom w:val="nil"/>
              <w:right w:val="nil"/>
            </w:tcBorders>
            <w:shd w:val="clear" w:color="auto" w:fill="auto"/>
            <w:noWrap/>
            <w:vAlign w:val="bottom"/>
            <w:hideMark/>
          </w:tcPr>
          <w:p w14:paraId="492C5F67"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0.1</w:t>
            </w:r>
          </w:p>
        </w:tc>
        <w:tc>
          <w:tcPr>
            <w:tcW w:w="1749" w:type="dxa"/>
            <w:tcBorders>
              <w:top w:val="nil"/>
              <w:left w:val="nil"/>
              <w:bottom w:val="nil"/>
              <w:right w:val="nil"/>
            </w:tcBorders>
            <w:shd w:val="clear" w:color="auto" w:fill="auto"/>
            <w:noWrap/>
            <w:vAlign w:val="bottom"/>
            <w:hideMark/>
          </w:tcPr>
          <w:p w14:paraId="4654BFD2"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50" w:type="dxa"/>
            <w:tcBorders>
              <w:top w:val="nil"/>
              <w:left w:val="nil"/>
              <w:bottom w:val="nil"/>
              <w:right w:val="nil"/>
            </w:tcBorders>
            <w:shd w:val="clear" w:color="auto" w:fill="auto"/>
            <w:noWrap/>
            <w:vAlign w:val="bottom"/>
            <w:hideMark/>
          </w:tcPr>
          <w:p w14:paraId="3C4FA71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0.9</w:t>
            </w:r>
          </w:p>
        </w:tc>
      </w:tr>
      <w:tr w:rsidR="007B05AC" w:rsidRPr="008E082A" w14:paraId="6A6BE77E" w14:textId="77777777" w:rsidTr="007B05AC">
        <w:trPr>
          <w:trHeight w:val="290"/>
        </w:trPr>
        <w:tc>
          <w:tcPr>
            <w:tcW w:w="2694" w:type="dxa"/>
            <w:tcBorders>
              <w:top w:val="nil"/>
              <w:left w:val="nil"/>
              <w:bottom w:val="nil"/>
              <w:right w:val="nil"/>
            </w:tcBorders>
            <w:shd w:val="clear" w:color="auto" w:fill="auto"/>
            <w:noWrap/>
            <w:vAlign w:val="bottom"/>
            <w:hideMark/>
          </w:tcPr>
          <w:p w14:paraId="4452C73B"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Region</w:t>
            </w:r>
          </w:p>
        </w:tc>
        <w:tc>
          <w:tcPr>
            <w:tcW w:w="1087" w:type="dxa"/>
            <w:tcBorders>
              <w:top w:val="nil"/>
              <w:left w:val="nil"/>
              <w:bottom w:val="nil"/>
              <w:right w:val="nil"/>
            </w:tcBorders>
            <w:shd w:val="clear" w:color="auto" w:fill="auto"/>
            <w:noWrap/>
            <w:vAlign w:val="bottom"/>
            <w:hideMark/>
          </w:tcPr>
          <w:p w14:paraId="36B1F754"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-0.001</w:t>
            </w:r>
          </w:p>
        </w:tc>
        <w:tc>
          <w:tcPr>
            <w:tcW w:w="1749" w:type="dxa"/>
            <w:tcBorders>
              <w:top w:val="nil"/>
              <w:left w:val="nil"/>
              <w:bottom w:val="nil"/>
              <w:right w:val="nil"/>
            </w:tcBorders>
            <w:shd w:val="clear" w:color="auto" w:fill="auto"/>
            <w:noWrap/>
            <w:vAlign w:val="bottom"/>
            <w:hideMark/>
          </w:tcPr>
          <w:p w14:paraId="646A23A3"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-1.5</w:t>
            </w:r>
          </w:p>
        </w:tc>
        <w:tc>
          <w:tcPr>
            <w:tcW w:w="1749" w:type="dxa"/>
            <w:tcBorders>
              <w:top w:val="nil"/>
              <w:left w:val="nil"/>
              <w:bottom w:val="nil"/>
              <w:right w:val="nil"/>
            </w:tcBorders>
            <w:shd w:val="clear" w:color="auto" w:fill="auto"/>
            <w:noWrap/>
            <w:vAlign w:val="bottom"/>
            <w:hideMark/>
          </w:tcPr>
          <w:p w14:paraId="56E6010D"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0.003</w:t>
            </w:r>
          </w:p>
        </w:tc>
        <w:tc>
          <w:tcPr>
            <w:tcW w:w="1750" w:type="dxa"/>
            <w:tcBorders>
              <w:top w:val="nil"/>
              <w:left w:val="nil"/>
              <w:bottom w:val="nil"/>
              <w:right w:val="nil"/>
            </w:tcBorders>
            <w:shd w:val="clear" w:color="auto" w:fill="auto"/>
            <w:noWrap/>
            <w:vAlign w:val="bottom"/>
            <w:hideMark/>
          </w:tcPr>
          <w:p w14:paraId="50C32B96"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5.2</w:t>
            </w:r>
          </w:p>
        </w:tc>
      </w:tr>
      <w:tr w:rsidR="007B05AC" w:rsidRPr="008E082A" w14:paraId="766D4324" w14:textId="77777777" w:rsidTr="007B05AC">
        <w:trPr>
          <w:trHeight w:val="290"/>
        </w:trPr>
        <w:tc>
          <w:tcPr>
            <w:tcW w:w="2694" w:type="dxa"/>
            <w:tcBorders>
              <w:top w:val="nil"/>
              <w:left w:val="nil"/>
              <w:bottom w:val="nil"/>
              <w:right w:val="nil"/>
            </w:tcBorders>
            <w:shd w:val="clear" w:color="auto" w:fill="auto"/>
            <w:noWrap/>
            <w:vAlign w:val="bottom"/>
            <w:hideMark/>
          </w:tcPr>
          <w:p w14:paraId="489CA9FC"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Occupation</w:t>
            </w:r>
          </w:p>
        </w:tc>
        <w:tc>
          <w:tcPr>
            <w:tcW w:w="1087" w:type="dxa"/>
            <w:tcBorders>
              <w:top w:val="nil"/>
              <w:left w:val="nil"/>
              <w:bottom w:val="nil"/>
              <w:right w:val="nil"/>
            </w:tcBorders>
            <w:shd w:val="clear" w:color="auto" w:fill="auto"/>
            <w:noWrap/>
            <w:vAlign w:val="bottom"/>
            <w:hideMark/>
          </w:tcPr>
          <w:p w14:paraId="3D3200E3"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-0.033***</w:t>
            </w:r>
          </w:p>
        </w:tc>
        <w:tc>
          <w:tcPr>
            <w:tcW w:w="1749" w:type="dxa"/>
            <w:tcBorders>
              <w:top w:val="nil"/>
              <w:left w:val="nil"/>
              <w:bottom w:val="nil"/>
              <w:right w:val="nil"/>
            </w:tcBorders>
            <w:shd w:val="clear" w:color="auto" w:fill="auto"/>
            <w:noWrap/>
            <w:vAlign w:val="bottom"/>
            <w:hideMark/>
          </w:tcPr>
          <w:p w14:paraId="4258E439"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-52.3</w:t>
            </w:r>
          </w:p>
        </w:tc>
        <w:tc>
          <w:tcPr>
            <w:tcW w:w="1749" w:type="dxa"/>
            <w:tcBorders>
              <w:top w:val="nil"/>
              <w:left w:val="nil"/>
              <w:bottom w:val="nil"/>
              <w:right w:val="nil"/>
            </w:tcBorders>
            <w:shd w:val="clear" w:color="auto" w:fill="auto"/>
            <w:noWrap/>
            <w:vAlign w:val="bottom"/>
            <w:hideMark/>
          </w:tcPr>
          <w:p w14:paraId="67383DC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-0.017</w:t>
            </w:r>
          </w:p>
        </w:tc>
        <w:tc>
          <w:tcPr>
            <w:tcW w:w="1750" w:type="dxa"/>
            <w:tcBorders>
              <w:top w:val="nil"/>
              <w:left w:val="nil"/>
              <w:bottom w:val="nil"/>
              <w:right w:val="nil"/>
            </w:tcBorders>
            <w:shd w:val="clear" w:color="auto" w:fill="auto"/>
            <w:noWrap/>
            <w:vAlign w:val="bottom"/>
            <w:hideMark/>
          </w:tcPr>
          <w:p w14:paraId="73A75B7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-29.7</w:t>
            </w:r>
          </w:p>
        </w:tc>
      </w:tr>
      <w:tr w:rsidR="007B05AC" w:rsidRPr="008E082A" w14:paraId="5D39448A" w14:textId="77777777" w:rsidTr="007B05AC">
        <w:trPr>
          <w:trHeight w:val="290"/>
        </w:trPr>
        <w:tc>
          <w:tcPr>
            <w:tcW w:w="2694" w:type="dxa"/>
            <w:tcBorders>
              <w:top w:val="nil"/>
              <w:left w:val="nil"/>
              <w:bottom w:val="nil"/>
              <w:right w:val="nil"/>
            </w:tcBorders>
            <w:shd w:val="clear" w:color="auto" w:fill="auto"/>
            <w:noWrap/>
            <w:vAlign w:val="bottom"/>
            <w:hideMark/>
          </w:tcPr>
          <w:p w14:paraId="58B5A49A"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Sector</w:t>
            </w:r>
          </w:p>
        </w:tc>
        <w:tc>
          <w:tcPr>
            <w:tcW w:w="1087" w:type="dxa"/>
            <w:tcBorders>
              <w:top w:val="nil"/>
              <w:left w:val="nil"/>
              <w:bottom w:val="nil"/>
              <w:right w:val="nil"/>
            </w:tcBorders>
            <w:shd w:val="clear" w:color="auto" w:fill="auto"/>
            <w:noWrap/>
            <w:vAlign w:val="bottom"/>
            <w:hideMark/>
          </w:tcPr>
          <w:p w14:paraId="4B7890C5"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-0.011</w:t>
            </w:r>
          </w:p>
        </w:tc>
        <w:tc>
          <w:tcPr>
            <w:tcW w:w="1749" w:type="dxa"/>
            <w:tcBorders>
              <w:top w:val="nil"/>
              <w:left w:val="nil"/>
              <w:bottom w:val="nil"/>
              <w:right w:val="nil"/>
            </w:tcBorders>
            <w:shd w:val="clear" w:color="auto" w:fill="auto"/>
            <w:noWrap/>
            <w:vAlign w:val="bottom"/>
            <w:hideMark/>
          </w:tcPr>
          <w:p w14:paraId="6B56B3D3"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-16.9</w:t>
            </w:r>
          </w:p>
        </w:tc>
        <w:tc>
          <w:tcPr>
            <w:tcW w:w="1749" w:type="dxa"/>
            <w:tcBorders>
              <w:top w:val="nil"/>
              <w:left w:val="nil"/>
              <w:bottom w:val="nil"/>
              <w:right w:val="nil"/>
            </w:tcBorders>
            <w:shd w:val="clear" w:color="auto" w:fill="auto"/>
            <w:noWrap/>
            <w:vAlign w:val="bottom"/>
            <w:hideMark/>
          </w:tcPr>
          <w:p w14:paraId="783D92D2"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-0.024**</w:t>
            </w:r>
          </w:p>
        </w:tc>
        <w:tc>
          <w:tcPr>
            <w:tcW w:w="1750" w:type="dxa"/>
            <w:tcBorders>
              <w:top w:val="nil"/>
              <w:left w:val="nil"/>
              <w:bottom w:val="nil"/>
              <w:right w:val="nil"/>
            </w:tcBorders>
            <w:shd w:val="clear" w:color="auto" w:fill="auto"/>
            <w:noWrap/>
            <w:vAlign w:val="bottom"/>
            <w:hideMark/>
          </w:tcPr>
          <w:p w14:paraId="6D367527"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-43.3</w:t>
            </w:r>
          </w:p>
        </w:tc>
      </w:tr>
      <w:tr w:rsidR="007B05AC" w:rsidRPr="008E082A" w14:paraId="21484A3C" w14:textId="77777777" w:rsidTr="007B05AC">
        <w:trPr>
          <w:trHeight w:val="290"/>
        </w:trPr>
        <w:tc>
          <w:tcPr>
            <w:tcW w:w="2694" w:type="dxa"/>
            <w:tcBorders>
              <w:top w:val="nil"/>
              <w:left w:val="nil"/>
              <w:bottom w:val="nil"/>
              <w:right w:val="nil"/>
            </w:tcBorders>
            <w:shd w:val="clear" w:color="auto" w:fill="auto"/>
            <w:noWrap/>
            <w:vAlign w:val="bottom"/>
            <w:hideMark/>
          </w:tcPr>
          <w:p w14:paraId="79074735"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Part-time</w:t>
            </w:r>
          </w:p>
        </w:tc>
        <w:tc>
          <w:tcPr>
            <w:tcW w:w="1087" w:type="dxa"/>
            <w:tcBorders>
              <w:top w:val="nil"/>
              <w:left w:val="nil"/>
              <w:bottom w:val="nil"/>
              <w:right w:val="nil"/>
            </w:tcBorders>
            <w:shd w:val="clear" w:color="auto" w:fill="auto"/>
            <w:noWrap/>
            <w:vAlign w:val="bottom"/>
            <w:hideMark/>
          </w:tcPr>
          <w:p w14:paraId="2743BDBB"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0.000</w:t>
            </w:r>
          </w:p>
        </w:tc>
        <w:tc>
          <w:tcPr>
            <w:tcW w:w="1749" w:type="dxa"/>
            <w:tcBorders>
              <w:top w:val="nil"/>
              <w:left w:val="nil"/>
              <w:bottom w:val="nil"/>
              <w:right w:val="nil"/>
            </w:tcBorders>
            <w:shd w:val="clear" w:color="auto" w:fill="auto"/>
            <w:noWrap/>
            <w:vAlign w:val="bottom"/>
            <w:hideMark/>
          </w:tcPr>
          <w:p w14:paraId="6CD283F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-0.7</w:t>
            </w:r>
          </w:p>
        </w:tc>
        <w:tc>
          <w:tcPr>
            <w:tcW w:w="1749" w:type="dxa"/>
            <w:tcBorders>
              <w:top w:val="nil"/>
              <w:left w:val="nil"/>
              <w:bottom w:val="nil"/>
              <w:right w:val="nil"/>
            </w:tcBorders>
            <w:shd w:val="clear" w:color="auto" w:fill="auto"/>
            <w:noWrap/>
            <w:vAlign w:val="bottom"/>
            <w:hideMark/>
          </w:tcPr>
          <w:p w14:paraId="631DEDE0"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-0.005***</w:t>
            </w:r>
          </w:p>
        </w:tc>
        <w:tc>
          <w:tcPr>
            <w:tcW w:w="1750" w:type="dxa"/>
            <w:tcBorders>
              <w:top w:val="nil"/>
              <w:left w:val="nil"/>
              <w:bottom w:val="nil"/>
              <w:right w:val="nil"/>
            </w:tcBorders>
            <w:shd w:val="clear" w:color="auto" w:fill="auto"/>
            <w:noWrap/>
            <w:vAlign w:val="bottom"/>
            <w:hideMark/>
          </w:tcPr>
          <w:p w14:paraId="0E3BA57C"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-8.1</w:t>
            </w:r>
          </w:p>
        </w:tc>
      </w:tr>
      <w:tr w:rsidR="007B05AC" w:rsidRPr="008E082A" w14:paraId="7C54A883" w14:textId="77777777" w:rsidTr="007B05AC">
        <w:trPr>
          <w:trHeight w:val="290"/>
        </w:trPr>
        <w:tc>
          <w:tcPr>
            <w:tcW w:w="2694" w:type="dxa"/>
            <w:tcBorders>
              <w:top w:val="nil"/>
              <w:left w:val="nil"/>
              <w:bottom w:val="nil"/>
              <w:right w:val="nil"/>
            </w:tcBorders>
            <w:shd w:val="clear" w:color="auto" w:fill="auto"/>
            <w:noWrap/>
            <w:vAlign w:val="bottom"/>
            <w:hideMark/>
          </w:tcPr>
          <w:p w14:paraId="6D549E82" w14:textId="77777777" w:rsidR="007B05AC" w:rsidRPr="008E082A" w:rsidRDefault="007B05AC" w:rsidP="007B05AC">
            <w:pPr>
              <w:spacing w:before="0"/>
              <w:ind w:firstLine="318"/>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Firm size</w:t>
            </w:r>
          </w:p>
        </w:tc>
        <w:tc>
          <w:tcPr>
            <w:tcW w:w="1087" w:type="dxa"/>
            <w:tcBorders>
              <w:top w:val="nil"/>
              <w:left w:val="nil"/>
              <w:bottom w:val="nil"/>
              <w:right w:val="nil"/>
            </w:tcBorders>
            <w:shd w:val="clear" w:color="auto" w:fill="auto"/>
            <w:noWrap/>
            <w:vAlign w:val="bottom"/>
            <w:hideMark/>
          </w:tcPr>
          <w:p w14:paraId="6251E2B3"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0.005</w:t>
            </w:r>
          </w:p>
        </w:tc>
        <w:tc>
          <w:tcPr>
            <w:tcW w:w="1749" w:type="dxa"/>
            <w:tcBorders>
              <w:top w:val="nil"/>
              <w:left w:val="nil"/>
              <w:bottom w:val="nil"/>
              <w:right w:val="nil"/>
            </w:tcBorders>
            <w:shd w:val="clear" w:color="auto" w:fill="auto"/>
            <w:noWrap/>
            <w:vAlign w:val="bottom"/>
            <w:hideMark/>
          </w:tcPr>
          <w:p w14:paraId="7A72E86E"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7.9</w:t>
            </w:r>
          </w:p>
        </w:tc>
        <w:tc>
          <w:tcPr>
            <w:tcW w:w="1749" w:type="dxa"/>
            <w:tcBorders>
              <w:top w:val="nil"/>
              <w:left w:val="nil"/>
              <w:bottom w:val="nil"/>
              <w:right w:val="nil"/>
            </w:tcBorders>
            <w:shd w:val="clear" w:color="auto" w:fill="auto"/>
            <w:noWrap/>
            <w:vAlign w:val="bottom"/>
            <w:hideMark/>
          </w:tcPr>
          <w:p w14:paraId="254BCA62"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0.008**</w:t>
            </w:r>
          </w:p>
        </w:tc>
        <w:tc>
          <w:tcPr>
            <w:tcW w:w="1750" w:type="dxa"/>
            <w:tcBorders>
              <w:top w:val="nil"/>
              <w:left w:val="nil"/>
              <w:bottom w:val="nil"/>
              <w:right w:val="nil"/>
            </w:tcBorders>
            <w:shd w:val="clear" w:color="auto" w:fill="auto"/>
            <w:noWrap/>
            <w:vAlign w:val="bottom"/>
            <w:hideMark/>
          </w:tcPr>
          <w:p w14:paraId="679FE658"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14.2</w:t>
            </w:r>
          </w:p>
        </w:tc>
      </w:tr>
      <w:tr w:rsidR="007B05AC" w:rsidRPr="008E082A" w14:paraId="1BAD4547" w14:textId="77777777" w:rsidTr="007B05AC">
        <w:trPr>
          <w:trHeight w:val="290"/>
        </w:trPr>
        <w:tc>
          <w:tcPr>
            <w:tcW w:w="2694" w:type="dxa"/>
            <w:tcBorders>
              <w:top w:val="nil"/>
              <w:left w:val="nil"/>
              <w:right w:val="nil"/>
            </w:tcBorders>
            <w:shd w:val="clear" w:color="auto" w:fill="auto"/>
            <w:noWrap/>
            <w:vAlign w:val="bottom"/>
            <w:hideMark/>
          </w:tcPr>
          <w:p w14:paraId="56D1B508" w14:textId="77777777" w:rsidR="007B05AC" w:rsidRPr="008E082A" w:rsidRDefault="00651BAB" w:rsidP="00651BAB">
            <w:pPr>
              <w:spacing w:before="0"/>
              <w:ind w:left="318"/>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Ownership</w:t>
            </w:r>
            <w:r w:rsidR="007B05AC" w:rsidRPr="008E082A">
              <w:rPr>
                <w:rFonts w:ascii="Calibri" w:eastAsia="Times New Roman" w:hAnsi="Calibri" w:cs="Calibri"/>
                <w:color w:val="000000"/>
                <w:sz w:val="20"/>
                <w:szCs w:val="20"/>
                <w:lang w:val="en-US"/>
              </w:rPr>
              <w:t>*</w:t>
            </w:r>
            <w:r>
              <w:rPr>
                <w:rFonts w:ascii="Calibri" w:eastAsia="Times New Roman" w:hAnsi="Calibri" w:cs="Calibri"/>
                <w:color w:val="000000"/>
                <w:sz w:val="20"/>
                <w:szCs w:val="20"/>
                <w:lang w:val="en-US"/>
              </w:rPr>
              <w:t>Formal employment</w:t>
            </w:r>
          </w:p>
        </w:tc>
        <w:tc>
          <w:tcPr>
            <w:tcW w:w="1087" w:type="dxa"/>
            <w:tcBorders>
              <w:top w:val="nil"/>
              <w:left w:val="nil"/>
              <w:right w:val="nil"/>
            </w:tcBorders>
            <w:shd w:val="clear" w:color="auto" w:fill="auto"/>
            <w:noWrap/>
            <w:vAlign w:val="bottom"/>
            <w:hideMark/>
          </w:tcPr>
          <w:p w14:paraId="461ACF18"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0.016***</w:t>
            </w:r>
          </w:p>
        </w:tc>
        <w:tc>
          <w:tcPr>
            <w:tcW w:w="1749" w:type="dxa"/>
            <w:tcBorders>
              <w:top w:val="nil"/>
              <w:left w:val="nil"/>
              <w:right w:val="nil"/>
            </w:tcBorders>
            <w:shd w:val="clear" w:color="auto" w:fill="auto"/>
            <w:noWrap/>
            <w:vAlign w:val="bottom"/>
            <w:hideMark/>
          </w:tcPr>
          <w:p w14:paraId="0D87A7BC"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25.1</w:t>
            </w:r>
          </w:p>
        </w:tc>
        <w:tc>
          <w:tcPr>
            <w:tcW w:w="1749" w:type="dxa"/>
            <w:tcBorders>
              <w:top w:val="nil"/>
              <w:left w:val="nil"/>
              <w:right w:val="nil"/>
            </w:tcBorders>
            <w:shd w:val="clear" w:color="auto" w:fill="auto"/>
            <w:noWrap/>
            <w:vAlign w:val="bottom"/>
            <w:hideMark/>
          </w:tcPr>
          <w:p w14:paraId="283A8CDF" w14:textId="77777777" w:rsidR="007B05AC" w:rsidRPr="008E082A" w:rsidRDefault="007B05AC" w:rsidP="007B05AC">
            <w:pPr>
              <w:spacing w:before="0"/>
              <w:jc w:val="center"/>
              <w:rPr>
                <w:rFonts w:ascii="Calibri" w:eastAsia="Times New Roman" w:hAnsi="Calibri" w:cs="Calibri"/>
                <w:bCs/>
                <w:color w:val="000000"/>
                <w:sz w:val="20"/>
                <w:szCs w:val="20"/>
                <w:lang w:val="en-US"/>
              </w:rPr>
            </w:pPr>
            <w:r w:rsidRPr="008E082A">
              <w:rPr>
                <w:rFonts w:ascii="Calibri" w:eastAsia="Times New Roman" w:hAnsi="Calibri" w:cs="Calibri"/>
                <w:bCs/>
                <w:color w:val="000000"/>
                <w:sz w:val="20"/>
                <w:szCs w:val="20"/>
                <w:lang w:val="en-US"/>
              </w:rPr>
              <w:t>0.029***</w:t>
            </w:r>
          </w:p>
        </w:tc>
        <w:tc>
          <w:tcPr>
            <w:tcW w:w="1750" w:type="dxa"/>
            <w:tcBorders>
              <w:top w:val="nil"/>
              <w:left w:val="nil"/>
              <w:right w:val="nil"/>
            </w:tcBorders>
            <w:shd w:val="clear" w:color="auto" w:fill="auto"/>
            <w:noWrap/>
            <w:vAlign w:val="bottom"/>
            <w:hideMark/>
          </w:tcPr>
          <w:p w14:paraId="693B1BFA"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51.4</w:t>
            </w:r>
          </w:p>
        </w:tc>
      </w:tr>
      <w:tr w:rsidR="007B05AC" w:rsidRPr="008E082A" w14:paraId="02F23D4B" w14:textId="77777777" w:rsidTr="007B05AC">
        <w:trPr>
          <w:trHeight w:val="290"/>
        </w:trPr>
        <w:tc>
          <w:tcPr>
            <w:tcW w:w="2694" w:type="dxa"/>
            <w:tcBorders>
              <w:top w:val="nil"/>
              <w:left w:val="nil"/>
              <w:bottom w:val="single" w:sz="4" w:space="0" w:color="auto"/>
              <w:right w:val="nil"/>
            </w:tcBorders>
            <w:shd w:val="clear" w:color="auto" w:fill="auto"/>
            <w:noWrap/>
            <w:vAlign w:val="bottom"/>
            <w:hideMark/>
          </w:tcPr>
          <w:p w14:paraId="61476725" w14:textId="77777777" w:rsidR="007B05AC" w:rsidRPr="008E082A" w:rsidRDefault="007B05AC" w:rsidP="007B05AC">
            <w:pPr>
              <w:spacing w:before="0"/>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Total unexplained gap</w:t>
            </w:r>
          </w:p>
        </w:tc>
        <w:tc>
          <w:tcPr>
            <w:tcW w:w="1087" w:type="dxa"/>
            <w:tcBorders>
              <w:top w:val="nil"/>
              <w:left w:val="nil"/>
              <w:bottom w:val="single" w:sz="4" w:space="0" w:color="auto"/>
              <w:right w:val="nil"/>
            </w:tcBorders>
            <w:shd w:val="clear" w:color="auto" w:fill="auto"/>
            <w:noWrap/>
            <w:vAlign w:val="bottom"/>
            <w:hideMark/>
          </w:tcPr>
          <w:p w14:paraId="0B4CD2AF"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0.117</w:t>
            </w:r>
            <w:r w:rsidRPr="008E082A">
              <w:rPr>
                <w:rFonts w:ascii="Calibri" w:eastAsia="Times New Roman" w:hAnsi="Calibri" w:cs="Calibri"/>
                <w:bCs/>
                <w:color w:val="000000"/>
                <w:sz w:val="20"/>
                <w:szCs w:val="20"/>
                <w:lang w:val="en-US"/>
              </w:rPr>
              <w:t>***</w:t>
            </w:r>
          </w:p>
        </w:tc>
        <w:tc>
          <w:tcPr>
            <w:tcW w:w="1749" w:type="dxa"/>
            <w:tcBorders>
              <w:top w:val="nil"/>
              <w:left w:val="nil"/>
              <w:bottom w:val="single" w:sz="4" w:space="0" w:color="auto"/>
              <w:right w:val="nil"/>
            </w:tcBorders>
            <w:shd w:val="clear" w:color="auto" w:fill="auto"/>
            <w:noWrap/>
            <w:vAlign w:val="bottom"/>
            <w:hideMark/>
          </w:tcPr>
          <w:p w14:paraId="1D3B27B1"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184.4</w:t>
            </w:r>
          </w:p>
        </w:tc>
        <w:tc>
          <w:tcPr>
            <w:tcW w:w="1749" w:type="dxa"/>
            <w:tcBorders>
              <w:top w:val="nil"/>
              <w:left w:val="nil"/>
              <w:bottom w:val="single" w:sz="4" w:space="0" w:color="auto"/>
              <w:right w:val="nil"/>
            </w:tcBorders>
            <w:shd w:val="clear" w:color="auto" w:fill="auto"/>
            <w:noWrap/>
            <w:vAlign w:val="bottom"/>
            <w:hideMark/>
          </w:tcPr>
          <w:p w14:paraId="016E79E9"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0.098</w:t>
            </w:r>
            <w:r w:rsidRPr="008E082A">
              <w:rPr>
                <w:rFonts w:ascii="Calibri" w:eastAsia="Times New Roman" w:hAnsi="Calibri" w:cs="Calibri"/>
                <w:bCs/>
                <w:color w:val="000000"/>
                <w:sz w:val="20"/>
                <w:szCs w:val="20"/>
                <w:lang w:val="en-US"/>
              </w:rPr>
              <w:t>***</w:t>
            </w:r>
          </w:p>
        </w:tc>
        <w:tc>
          <w:tcPr>
            <w:tcW w:w="1750" w:type="dxa"/>
            <w:tcBorders>
              <w:top w:val="nil"/>
              <w:left w:val="nil"/>
              <w:bottom w:val="single" w:sz="4" w:space="0" w:color="auto"/>
              <w:right w:val="nil"/>
            </w:tcBorders>
            <w:shd w:val="clear" w:color="auto" w:fill="auto"/>
            <w:noWrap/>
            <w:vAlign w:val="bottom"/>
            <w:hideMark/>
          </w:tcPr>
          <w:p w14:paraId="06479380" w14:textId="77777777" w:rsidR="007B05AC" w:rsidRPr="008E082A" w:rsidRDefault="007B05AC" w:rsidP="007B05AC">
            <w:pPr>
              <w:spacing w:before="0"/>
              <w:jc w:val="center"/>
              <w:rPr>
                <w:rFonts w:ascii="Calibri" w:eastAsia="Times New Roman" w:hAnsi="Calibri" w:cs="Calibri"/>
                <w:color w:val="000000"/>
                <w:sz w:val="20"/>
                <w:szCs w:val="20"/>
                <w:lang w:val="en-US"/>
              </w:rPr>
            </w:pPr>
            <w:r w:rsidRPr="008E082A">
              <w:rPr>
                <w:rFonts w:ascii="Calibri" w:eastAsia="Times New Roman" w:hAnsi="Calibri" w:cs="Calibri"/>
                <w:color w:val="000000"/>
                <w:sz w:val="20"/>
                <w:szCs w:val="20"/>
                <w:lang w:val="en-US"/>
              </w:rPr>
              <w:t>176.8</w:t>
            </w:r>
          </w:p>
        </w:tc>
      </w:tr>
    </w:tbl>
    <w:p w14:paraId="2226102A" w14:textId="77777777" w:rsidR="00651BAB" w:rsidRPr="008E082A" w:rsidRDefault="001E6BEE" w:rsidP="00651BAB">
      <w:pPr>
        <w:autoSpaceDE w:val="0"/>
        <w:autoSpaceDN w:val="0"/>
        <w:adjustRightInd w:val="0"/>
        <w:jc w:val="both"/>
        <w:rPr>
          <w:rFonts w:cstheme="minorHAnsi"/>
          <w:i/>
          <w:sz w:val="20"/>
          <w:szCs w:val="20"/>
          <w:lang w:val="en-US"/>
        </w:rPr>
      </w:pPr>
      <w:r w:rsidRPr="008E082A">
        <w:rPr>
          <w:rFonts w:cstheme="minorHAnsi"/>
          <w:i/>
          <w:sz w:val="20"/>
          <w:szCs w:val="20"/>
          <w:lang w:val="en-US"/>
        </w:rPr>
        <w:t>Note: *** significant at 1%, ** significant at 5%, * significant at 10%.</w:t>
      </w:r>
      <w:r w:rsidR="00047315" w:rsidRPr="008E082A">
        <w:rPr>
          <w:rFonts w:cstheme="minorHAnsi"/>
          <w:i/>
          <w:sz w:val="20"/>
          <w:szCs w:val="20"/>
          <w:lang w:val="en-US"/>
        </w:rPr>
        <w:t xml:space="preserve"> Estimated using Oaxaca command with </w:t>
      </w:r>
      <w:proofErr w:type="gramStart"/>
      <w:r w:rsidR="00047315" w:rsidRPr="008E082A">
        <w:rPr>
          <w:rFonts w:cstheme="minorHAnsi"/>
          <w:i/>
          <w:sz w:val="20"/>
          <w:szCs w:val="20"/>
          <w:lang w:val="en-US"/>
        </w:rPr>
        <w:t>an</w:t>
      </w:r>
      <w:proofErr w:type="gramEnd"/>
      <w:r w:rsidR="00047315" w:rsidRPr="008E082A">
        <w:rPr>
          <w:rFonts w:cstheme="minorHAnsi"/>
          <w:i/>
          <w:sz w:val="20"/>
          <w:szCs w:val="20"/>
          <w:lang w:val="en-US"/>
        </w:rPr>
        <w:t xml:space="preserve"> </w:t>
      </w:r>
      <w:proofErr w:type="spellStart"/>
      <w:r w:rsidR="00047315" w:rsidRPr="008E082A">
        <w:rPr>
          <w:rFonts w:cstheme="minorHAnsi"/>
          <w:i/>
          <w:sz w:val="20"/>
          <w:szCs w:val="20"/>
          <w:lang w:val="en-US"/>
        </w:rPr>
        <w:t>svy</w:t>
      </w:r>
      <w:proofErr w:type="spellEnd"/>
      <w:r w:rsidR="00047315" w:rsidRPr="008E082A">
        <w:rPr>
          <w:rFonts w:cstheme="minorHAnsi"/>
          <w:i/>
          <w:sz w:val="20"/>
          <w:szCs w:val="20"/>
          <w:lang w:val="en-US"/>
        </w:rPr>
        <w:t xml:space="preserve"> option.</w:t>
      </w:r>
      <w:r w:rsidR="00651BAB">
        <w:rPr>
          <w:rFonts w:cstheme="minorHAnsi"/>
          <w:i/>
          <w:sz w:val="20"/>
          <w:szCs w:val="20"/>
          <w:lang w:val="en-US"/>
        </w:rPr>
        <w:t xml:space="preserve"> </w:t>
      </w:r>
      <w:r w:rsidR="00651BAB" w:rsidRPr="002E29DE">
        <w:rPr>
          <w:rFonts w:cstheme="minorHAnsi"/>
          <w:i/>
          <w:sz w:val="20"/>
          <w:szCs w:val="20"/>
          <w:lang w:val="en-US"/>
        </w:rPr>
        <w:t xml:space="preserve">Age includes age and age squared. Education includes 5 levels of education. Children includes 4 variables for the number of children under 15 years (as in </w:t>
      </w:r>
      <w:r w:rsidR="00651BAB" w:rsidRPr="002E29DE">
        <w:rPr>
          <w:rFonts w:cstheme="minorHAnsi"/>
          <w:sz w:val="20"/>
          <w:szCs w:val="20"/>
          <w:lang w:val="en-US"/>
        </w:rPr>
        <w:fldChar w:fldCharType="begin"/>
      </w:r>
      <w:r w:rsidR="00651BAB" w:rsidRPr="002E29DE">
        <w:rPr>
          <w:rFonts w:cstheme="minorHAnsi"/>
          <w:sz w:val="20"/>
          <w:szCs w:val="20"/>
          <w:lang w:val="en-US"/>
        </w:rPr>
        <w:instrText xml:space="preserve"> REF _Ref519550520 \h  \* MERGEFORMAT </w:instrText>
      </w:r>
      <w:r w:rsidR="00651BAB" w:rsidRPr="002E29DE">
        <w:rPr>
          <w:rFonts w:cstheme="minorHAnsi"/>
          <w:sz w:val="20"/>
          <w:szCs w:val="20"/>
          <w:lang w:val="en-US"/>
        </w:rPr>
      </w:r>
      <w:r w:rsidR="00651BAB" w:rsidRPr="002E29DE">
        <w:rPr>
          <w:rFonts w:cstheme="minorHAnsi"/>
          <w:sz w:val="20"/>
          <w:szCs w:val="20"/>
          <w:lang w:val="en-US"/>
        </w:rPr>
        <w:fldChar w:fldCharType="separate"/>
      </w:r>
      <w:r w:rsidR="00651BAB" w:rsidRPr="002E29DE">
        <w:rPr>
          <w:sz w:val="20"/>
          <w:szCs w:val="20"/>
          <w:lang w:val="en-US"/>
        </w:rPr>
        <w:t xml:space="preserve">Table </w:t>
      </w:r>
      <w:r w:rsidR="00651BAB" w:rsidRPr="002E29DE">
        <w:rPr>
          <w:i/>
          <w:noProof/>
          <w:sz w:val="20"/>
          <w:szCs w:val="20"/>
          <w:lang w:val="en-US"/>
        </w:rPr>
        <w:t>7</w:t>
      </w:r>
      <w:r w:rsidR="00651BAB" w:rsidRPr="002E29DE">
        <w:rPr>
          <w:rFonts w:cstheme="minorHAnsi"/>
          <w:sz w:val="20"/>
          <w:szCs w:val="20"/>
          <w:lang w:val="en-US"/>
        </w:rPr>
        <w:fldChar w:fldCharType="end"/>
      </w:r>
      <w:r w:rsidR="00651BAB" w:rsidRPr="002E29DE">
        <w:rPr>
          <w:rFonts w:cstheme="minorHAnsi"/>
          <w:i/>
          <w:sz w:val="20"/>
          <w:szCs w:val="20"/>
          <w:lang w:val="en-US"/>
        </w:rPr>
        <w:t xml:space="preserve">). Region includes 4 zones (North, Center, </w:t>
      </w:r>
      <w:proofErr w:type="gramStart"/>
      <w:r w:rsidR="00651BAB" w:rsidRPr="002E29DE">
        <w:rPr>
          <w:rFonts w:cstheme="minorHAnsi"/>
          <w:i/>
          <w:sz w:val="20"/>
          <w:szCs w:val="20"/>
          <w:lang w:val="en-US"/>
        </w:rPr>
        <w:t>South</w:t>
      </w:r>
      <w:proofErr w:type="gramEnd"/>
      <w:r w:rsidR="00651BAB" w:rsidRPr="002E29DE">
        <w:rPr>
          <w:rFonts w:cstheme="minorHAnsi"/>
          <w:i/>
          <w:sz w:val="20"/>
          <w:szCs w:val="20"/>
          <w:lang w:val="en-US"/>
        </w:rPr>
        <w:t xml:space="preserve"> and Chisinau municipality). Occupation includes 9 variables for 1-digit occupational groups. Sector includes 11 variables for sectors based on NACE Rev.2. Firm size includes 3 variables for the firm size defined by employees. Ownership*Formal employment includes 3 variables: public (a reference category in the regression), formal employment in the non-public firm and informal employment in the non-public firm. </w:t>
      </w:r>
    </w:p>
    <w:p w14:paraId="63A3A027" w14:textId="28021E93" w:rsidR="00E52EDD" w:rsidRPr="00847683" w:rsidRDefault="0082581D" w:rsidP="00FA6CF8">
      <w:pPr>
        <w:pStyle w:val="61"/>
        <w:shd w:val="clear" w:color="auto" w:fill="auto"/>
        <w:spacing w:before="120" w:line="240" w:lineRule="auto"/>
        <w:jc w:val="both"/>
        <w:rPr>
          <w:sz w:val="22"/>
          <w:szCs w:val="22"/>
        </w:rPr>
      </w:pPr>
      <w:r w:rsidRPr="00CD5F0B">
        <w:rPr>
          <w:b/>
          <w:sz w:val="22"/>
          <w:szCs w:val="22"/>
        </w:rPr>
        <w:t>T</w:t>
      </w:r>
      <w:r w:rsidR="00F53E4C" w:rsidRPr="00CD5F0B">
        <w:rPr>
          <w:b/>
          <w:sz w:val="22"/>
          <w:szCs w:val="22"/>
        </w:rPr>
        <w:t>he large and positive unexplained gap may signal important omitted variables, for example</w:t>
      </w:r>
      <w:r w:rsidR="00002B22" w:rsidRPr="00CD5F0B">
        <w:rPr>
          <w:b/>
          <w:sz w:val="22"/>
          <w:szCs w:val="22"/>
        </w:rPr>
        <w:t>,</w:t>
      </w:r>
      <w:r w:rsidR="00F53E4C" w:rsidRPr="00CD5F0B">
        <w:rPr>
          <w:b/>
          <w:sz w:val="22"/>
          <w:szCs w:val="22"/>
        </w:rPr>
        <w:t xml:space="preserve"> actual work experience</w:t>
      </w:r>
      <w:r>
        <w:rPr>
          <w:b/>
          <w:sz w:val="22"/>
          <w:szCs w:val="22"/>
        </w:rPr>
        <w:t xml:space="preserve">, </w:t>
      </w:r>
      <w:r w:rsidRPr="00CD5F0B">
        <w:rPr>
          <w:sz w:val="22"/>
          <w:szCs w:val="22"/>
        </w:rPr>
        <w:t xml:space="preserve">the same </w:t>
      </w:r>
      <w:r w:rsidR="00853E3A">
        <w:rPr>
          <w:sz w:val="22"/>
          <w:szCs w:val="22"/>
        </w:rPr>
        <w:t xml:space="preserve">result </w:t>
      </w:r>
      <w:r w:rsidRPr="00CD5F0B">
        <w:rPr>
          <w:sz w:val="22"/>
          <w:szCs w:val="22"/>
        </w:rPr>
        <w:t>as</w:t>
      </w:r>
      <w:r>
        <w:rPr>
          <w:b/>
          <w:sz w:val="22"/>
          <w:szCs w:val="22"/>
        </w:rPr>
        <w:t xml:space="preserve"> </w:t>
      </w:r>
      <w:r w:rsidRPr="008E082A">
        <w:rPr>
          <w:sz w:val="22"/>
          <w:szCs w:val="22"/>
        </w:rPr>
        <w:t xml:space="preserve">in the previous decomposition exercise based on the HBS-2011 </w:t>
      </w:r>
      <w:r w:rsidRPr="008E082A">
        <w:rPr>
          <w:sz w:val="22"/>
          <w:szCs w:val="22"/>
        </w:rPr>
        <w:lastRenderedPageBreak/>
        <w:t>data (World Bank, 2014)</w:t>
      </w:r>
      <w:r w:rsidR="00F53E4C" w:rsidRPr="00CD5F0B">
        <w:rPr>
          <w:b/>
          <w:sz w:val="22"/>
          <w:szCs w:val="22"/>
        </w:rPr>
        <w:t>.</w:t>
      </w:r>
      <w:r w:rsidR="00F53E4C" w:rsidRPr="008E082A">
        <w:rPr>
          <w:sz w:val="22"/>
          <w:szCs w:val="22"/>
        </w:rPr>
        <w:t xml:space="preserve"> </w:t>
      </w:r>
      <w:r>
        <w:rPr>
          <w:sz w:val="22"/>
          <w:szCs w:val="22"/>
        </w:rPr>
        <w:t>I</w:t>
      </w:r>
      <w:r w:rsidR="00F53E4C" w:rsidRPr="008E082A">
        <w:rPr>
          <w:sz w:val="22"/>
          <w:szCs w:val="22"/>
        </w:rPr>
        <w:t>nterpretation of the whole unexplained gap as discrimination through ‘unequal pay for equal work’ is not recommended (</w:t>
      </w:r>
      <w:proofErr w:type="spellStart"/>
      <w:r w:rsidR="003C22D3" w:rsidRPr="008E082A">
        <w:rPr>
          <w:sz w:val="22"/>
          <w:szCs w:val="22"/>
        </w:rPr>
        <w:t>Leythienne</w:t>
      </w:r>
      <w:proofErr w:type="spellEnd"/>
      <w:r w:rsidR="003C22D3" w:rsidRPr="008E082A">
        <w:rPr>
          <w:sz w:val="22"/>
          <w:szCs w:val="22"/>
        </w:rPr>
        <w:t xml:space="preserve"> and </w:t>
      </w:r>
      <w:proofErr w:type="spellStart"/>
      <w:r w:rsidR="003C22D3" w:rsidRPr="008E082A">
        <w:rPr>
          <w:sz w:val="22"/>
          <w:szCs w:val="22"/>
        </w:rPr>
        <w:t>Ronkowski</w:t>
      </w:r>
      <w:proofErr w:type="spellEnd"/>
      <w:r w:rsidR="003C22D3" w:rsidRPr="008E082A">
        <w:rPr>
          <w:sz w:val="22"/>
          <w:szCs w:val="22"/>
        </w:rPr>
        <w:t>, 2018</w:t>
      </w:r>
      <w:r w:rsidR="00F53E4C" w:rsidRPr="008E082A">
        <w:rPr>
          <w:sz w:val="22"/>
          <w:szCs w:val="22"/>
        </w:rPr>
        <w:t>).</w:t>
      </w:r>
      <w:r w:rsidR="00E52EDD" w:rsidRPr="00847683">
        <w:rPr>
          <w:sz w:val="22"/>
          <w:szCs w:val="22"/>
        </w:rPr>
        <w:t xml:space="preserve"> </w:t>
      </w:r>
    </w:p>
    <w:p w14:paraId="15C28CE3" w14:textId="77777777" w:rsidR="00E52EDD" w:rsidRPr="008E082A" w:rsidRDefault="00E52EDD" w:rsidP="00CC2746">
      <w:pPr>
        <w:pStyle w:val="61"/>
        <w:shd w:val="clear" w:color="auto" w:fill="auto"/>
        <w:spacing w:before="120" w:line="240" w:lineRule="auto"/>
        <w:jc w:val="both"/>
        <w:rPr>
          <w:sz w:val="22"/>
          <w:szCs w:val="22"/>
        </w:rPr>
      </w:pPr>
    </w:p>
    <w:p w14:paraId="5B3B33A3" w14:textId="77777777" w:rsidR="00252D14" w:rsidRPr="004A792A" w:rsidRDefault="00252D14" w:rsidP="00252D14">
      <w:pPr>
        <w:pStyle w:val="2"/>
        <w:numPr>
          <w:ilvl w:val="0"/>
          <w:numId w:val="0"/>
        </w:numPr>
        <w:spacing w:before="360"/>
        <w:rPr>
          <w:color w:val="0070C0"/>
          <w:sz w:val="32"/>
          <w:szCs w:val="32"/>
        </w:rPr>
      </w:pPr>
      <w:bookmarkStart w:id="90" w:name="_Toc533211742"/>
      <w:r w:rsidRPr="004A792A">
        <w:rPr>
          <w:color w:val="0070C0"/>
          <w:sz w:val="32"/>
          <w:szCs w:val="32"/>
        </w:rPr>
        <w:t xml:space="preserve">4.3. </w:t>
      </w:r>
      <w:r w:rsidR="00471712">
        <w:rPr>
          <w:color w:val="0070C0"/>
          <w:sz w:val="32"/>
          <w:szCs w:val="32"/>
        </w:rPr>
        <w:t>Parent</w:t>
      </w:r>
      <w:r w:rsidRPr="004A792A">
        <w:rPr>
          <w:color w:val="0070C0"/>
          <w:sz w:val="32"/>
          <w:szCs w:val="32"/>
        </w:rPr>
        <w:t>hood wage penalty</w:t>
      </w:r>
      <w:bookmarkEnd w:id="90"/>
    </w:p>
    <w:p w14:paraId="0938CFC8" w14:textId="4CF66C9D" w:rsidR="00AB4A89" w:rsidRPr="00920ABD" w:rsidRDefault="00853E3A" w:rsidP="006D4DA3">
      <w:pPr>
        <w:pStyle w:val="61"/>
        <w:shd w:val="clear" w:color="auto" w:fill="auto"/>
        <w:spacing w:before="120" w:line="240" w:lineRule="auto"/>
        <w:jc w:val="both"/>
        <w:rPr>
          <w:sz w:val="22"/>
          <w:szCs w:val="22"/>
        </w:rPr>
      </w:pPr>
      <w:r w:rsidRPr="00CD5F0B">
        <w:rPr>
          <w:b/>
          <w:sz w:val="22"/>
          <w:szCs w:val="22"/>
        </w:rPr>
        <w:t>The motherhood wage penalty estimated with the OLS regression is about 6.7 percent for women having one child and about 10 percent for women with two children under 15 years</w:t>
      </w:r>
      <w:r>
        <w:rPr>
          <w:b/>
          <w:sz w:val="22"/>
          <w:szCs w:val="22"/>
        </w:rPr>
        <w:t xml:space="preserve"> </w:t>
      </w:r>
      <w:r w:rsidRPr="00920ABD">
        <w:rPr>
          <w:sz w:val="22"/>
          <w:szCs w:val="22"/>
        </w:rPr>
        <w:t>(</w:t>
      </w:r>
      <w:r w:rsidRPr="00920ABD">
        <w:rPr>
          <w:sz w:val="22"/>
          <w:szCs w:val="22"/>
        </w:rPr>
        <w:fldChar w:fldCharType="begin"/>
      </w:r>
      <w:r w:rsidRPr="00920ABD">
        <w:rPr>
          <w:sz w:val="22"/>
          <w:szCs w:val="22"/>
        </w:rPr>
        <w:instrText xml:space="preserve"> REF _Ref519550520 \h  \* MERGEFORMAT </w:instrText>
      </w:r>
      <w:r w:rsidRPr="00920ABD">
        <w:rPr>
          <w:sz w:val="22"/>
          <w:szCs w:val="22"/>
        </w:rPr>
      </w:r>
      <w:r w:rsidRPr="00920ABD">
        <w:rPr>
          <w:sz w:val="22"/>
          <w:szCs w:val="22"/>
        </w:rPr>
        <w:fldChar w:fldCharType="separate"/>
      </w:r>
      <w:r w:rsidRPr="00206AA9">
        <w:rPr>
          <w:sz w:val="22"/>
          <w:szCs w:val="22"/>
        </w:rPr>
        <w:t>Table 7</w:t>
      </w:r>
      <w:r w:rsidRPr="00920ABD">
        <w:rPr>
          <w:sz w:val="22"/>
          <w:szCs w:val="22"/>
        </w:rPr>
        <w:fldChar w:fldCharType="end"/>
      </w:r>
      <w:r w:rsidRPr="00920ABD">
        <w:rPr>
          <w:sz w:val="22"/>
          <w:szCs w:val="22"/>
        </w:rPr>
        <w:t>).</w:t>
      </w:r>
      <w:r w:rsidRPr="00920ABD">
        <w:rPr>
          <w:vertAlign w:val="superscript"/>
        </w:rPr>
        <w:footnoteReference w:id="27"/>
      </w:r>
      <w:r w:rsidRPr="00920ABD">
        <w:rPr>
          <w:sz w:val="22"/>
          <w:szCs w:val="22"/>
        </w:rPr>
        <w:t xml:space="preserve"> </w:t>
      </w:r>
      <w:r w:rsidR="00442AC2" w:rsidRPr="00920ABD">
        <w:rPr>
          <w:sz w:val="22"/>
          <w:szCs w:val="22"/>
        </w:rPr>
        <w:t xml:space="preserve">At the moment, we do not interpret </w:t>
      </w:r>
      <w:r w:rsidR="00AB4A89" w:rsidRPr="00920ABD">
        <w:rPr>
          <w:sz w:val="22"/>
          <w:szCs w:val="22"/>
        </w:rPr>
        <w:t xml:space="preserve">the observed empirical association </w:t>
      </w:r>
      <w:r w:rsidR="00442AC2" w:rsidRPr="00920ABD">
        <w:rPr>
          <w:sz w:val="22"/>
          <w:szCs w:val="22"/>
        </w:rPr>
        <w:t xml:space="preserve">as causal, because it could be </w:t>
      </w:r>
      <w:r w:rsidR="00131229" w:rsidRPr="00920ABD">
        <w:rPr>
          <w:sz w:val="22"/>
          <w:szCs w:val="22"/>
        </w:rPr>
        <w:t xml:space="preserve">due to selection of </w:t>
      </w:r>
      <w:r w:rsidR="00AB4A89" w:rsidRPr="00920ABD">
        <w:rPr>
          <w:sz w:val="22"/>
          <w:szCs w:val="22"/>
        </w:rPr>
        <w:t xml:space="preserve">women with </w:t>
      </w:r>
      <w:r w:rsidR="00131229" w:rsidRPr="00920ABD">
        <w:rPr>
          <w:sz w:val="22"/>
          <w:szCs w:val="22"/>
        </w:rPr>
        <w:t xml:space="preserve">higher </w:t>
      </w:r>
      <w:r w:rsidR="00AB4A89" w:rsidRPr="00920ABD">
        <w:rPr>
          <w:sz w:val="22"/>
          <w:szCs w:val="22"/>
        </w:rPr>
        <w:t xml:space="preserve">wage offers </w:t>
      </w:r>
      <w:r w:rsidR="00131229" w:rsidRPr="00920ABD">
        <w:rPr>
          <w:sz w:val="22"/>
          <w:szCs w:val="22"/>
        </w:rPr>
        <w:t>and higher costs of children into employment and also selection of women with children into positions that have valuable family amenities but lower wages</w:t>
      </w:r>
      <w:r w:rsidR="00AB4A89" w:rsidRPr="00920ABD">
        <w:rPr>
          <w:sz w:val="22"/>
          <w:szCs w:val="22"/>
        </w:rPr>
        <w:t>.</w:t>
      </w:r>
    </w:p>
    <w:p w14:paraId="6387DDC8" w14:textId="5421BDD6" w:rsidR="00131229" w:rsidRPr="00920ABD" w:rsidRDefault="00131229" w:rsidP="00A40375">
      <w:pPr>
        <w:pStyle w:val="ad"/>
        <w:spacing w:before="240"/>
        <w:jc w:val="left"/>
        <w:rPr>
          <w:lang w:val="en-US"/>
        </w:rPr>
      </w:pPr>
      <w:bookmarkStart w:id="91" w:name="_Ref519550520"/>
      <w:bookmarkStart w:id="92" w:name="_Toc533211797"/>
      <w:r w:rsidRPr="00920ABD">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7</w:t>
      </w:r>
      <w:r w:rsidR="007B7CCA">
        <w:rPr>
          <w:lang w:val="en-US"/>
        </w:rPr>
        <w:fldChar w:fldCharType="end"/>
      </w:r>
      <w:bookmarkEnd w:id="91"/>
      <w:r w:rsidRPr="00920ABD">
        <w:rPr>
          <w:lang w:val="en-US"/>
        </w:rPr>
        <w:t xml:space="preserve">: Wage regression for female </w:t>
      </w:r>
      <w:r w:rsidR="003B0508" w:rsidRPr="00920ABD">
        <w:rPr>
          <w:lang w:val="en-US"/>
        </w:rPr>
        <w:t xml:space="preserve">and male </w:t>
      </w:r>
      <w:r w:rsidRPr="00920ABD">
        <w:rPr>
          <w:lang w:val="en-US"/>
        </w:rPr>
        <w:t>employees (OLS), 2016</w:t>
      </w:r>
      <w:bookmarkEnd w:id="92"/>
    </w:p>
    <w:tbl>
      <w:tblPr>
        <w:tblW w:w="8931" w:type="dxa"/>
        <w:tblLayout w:type="fixed"/>
        <w:tblLook w:val="04A0" w:firstRow="1" w:lastRow="0" w:firstColumn="1" w:lastColumn="0" w:noHBand="0" w:noVBand="1"/>
      </w:tblPr>
      <w:tblGrid>
        <w:gridCol w:w="2268"/>
        <w:gridCol w:w="1665"/>
        <w:gridCol w:w="1666"/>
        <w:gridCol w:w="1666"/>
        <w:gridCol w:w="1666"/>
      </w:tblGrid>
      <w:tr w:rsidR="00E105C9" w:rsidRPr="00920ABD" w14:paraId="3AFBE2AF" w14:textId="77777777" w:rsidTr="00E105C9">
        <w:tc>
          <w:tcPr>
            <w:tcW w:w="2268" w:type="dxa"/>
            <w:tcBorders>
              <w:top w:val="single" w:sz="4" w:space="0" w:color="auto"/>
              <w:left w:val="nil"/>
              <w:right w:val="nil"/>
            </w:tcBorders>
            <w:shd w:val="clear" w:color="auto" w:fill="auto"/>
            <w:noWrap/>
            <w:vAlign w:val="bottom"/>
          </w:tcPr>
          <w:p w14:paraId="6E542F59" w14:textId="77777777" w:rsidR="00E105C9" w:rsidRPr="00920ABD" w:rsidRDefault="00E105C9" w:rsidP="00E105C9">
            <w:pPr>
              <w:spacing w:before="0"/>
              <w:rPr>
                <w:rFonts w:eastAsia="Times New Roman" w:cstheme="minorHAnsi"/>
                <w:color w:val="000000"/>
                <w:sz w:val="20"/>
                <w:szCs w:val="20"/>
                <w:lang w:val="en-US"/>
              </w:rPr>
            </w:pPr>
          </w:p>
        </w:tc>
        <w:tc>
          <w:tcPr>
            <w:tcW w:w="3331" w:type="dxa"/>
            <w:gridSpan w:val="2"/>
            <w:tcBorders>
              <w:top w:val="single" w:sz="4" w:space="0" w:color="auto"/>
              <w:left w:val="nil"/>
              <w:right w:val="nil"/>
            </w:tcBorders>
            <w:shd w:val="clear" w:color="auto" w:fill="auto"/>
            <w:noWrap/>
            <w:vAlign w:val="bottom"/>
          </w:tcPr>
          <w:p w14:paraId="2EA9668A" w14:textId="77777777" w:rsidR="00E105C9" w:rsidRPr="00920ABD" w:rsidRDefault="00E105C9" w:rsidP="00E105C9">
            <w:pPr>
              <w:spacing w:before="0"/>
              <w:jc w:val="center"/>
              <w:rPr>
                <w:rFonts w:eastAsia="Times New Roman" w:cstheme="minorHAnsi"/>
                <w:b/>
                <w:color w:val="000000"/>
                <w:sz w:val="20"/>
                <w:szCs w:val="20"/>
                <w:lang w:val="en-US"/>
              </w:rPr>
            </w:pPr>
            <w:r w:rsidRPr="00920ABD">
              <w:rPr>
                <w:rFonts w:eastAsia="Times New Roman" w:cstheme="minorHAnsi"/>
                <w:b/>
                <w:color w:val="000000"/>
                <w:sz w:val="20"/>
                <w:szCs w:val="20"/>
                <w:lang w:val="en-US"/>
              </w:rPr>
              <w:t>Women</w:t>
            </w:r>
          </w:p>
        </w:tc>
        <w:tc>
          <w:tcPr>
            <w:tcW w:w="3332" w:type="dxa"/>
            <w:gridSpan w:val="2"/>
            <w:tcBorders>
              <w:top w:val="single" w:sz="4" w:space="0" w:color="auto"/>
              <w:left w:val="nil"/>
              <w:right w:val="nil"/>
            </w:tcBorders>
            <w:vAlign w:val="bottom"/>
          </w:tcPr>
          <w:p w14:paraId="33CF83B1" w14:textId="77777777" w:rsidR="00E105C9" w:rsidRPr="00920ABD" w:rsidRDefault="00E105C9" w:rsidP="00E105C9">
            <w:pPr>
              <w:spacing w:before="0"/>
              <w:jc w:val="center"/>
              <w:rPr>
                <w:rFonts w:eastAsia="Times New Roman" w:cstheme="minorHAnsi"/>
                <w:b/>
                <w:color w:val="000000"/>
                <w:sz w:val="20"/>
                <w:szCs w:val="20"/>
                <w:lang w:val="en-US"/>
              </w:rPr>
            </w:pPr>
            <w:r w:rsidRPr="00920ABD">
              <w:rPr>
                <w:rFonts w:eastAsia="Times New Roman" w:cstheme="minorHAnsi"/>
                <w:b/>
                <w:color w:val="000000"/>
                <w:sz w:val="20"/>
                <w:szCs w:val="20"/>
                <w:lang w:val="en-US"/>
              </w:rPr>
              <w:t>Men</w:t>
            </w:r>
          </w:p>
        </w:tc>
      </w:tr>
      <w:tr w:rsidR="00E105C9" w:rsidRPr="00920ABD" w14:paraId="7BCE80AA" w14:textId="77777777" w:rsidTr="00E105C9">
        <w:tc>
          <w:tcPr>
            <w:tcW w:w="2268" w:type="dxa"/>
            <w:tcBorders>
              <w:top w:val="nil"/>
              <w:left w:val="nil"/>
              <w:bottom w:val="single" w:sz="4" w:space="0" w:color="auto"/>
              <w:right w:val="nil"/>
            </w:tcBorders>
            <w:shd w:val="clear" w:color="auto" w:fill="auto"/>
            <w:noWrap/>
            <w:vAlign w:val="bottom"/>
          </w:tcPr>
          <w:p w14:paraId="6C34350E"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bottom w:val="single" w:sz="4" w:space="0" w:color="auto"/>
              <w:right w:val="nil"/>
            </w:tcBorders>
            <w:shd w:val="clear" w:color="auto" w:fill="auto"/>
            <w:noWrap/>
            <w:vAlign w:val="bottom"/>
          </w:tcPr>
          <w:p w14:paraId="29E43FFD"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Human capital specification</w:t>
            </w:r>
          </w:p>
        </w:tc>
        <w:tc>
          <w:tcPr>
            <w:tcW w:w="1666" w:type="dxa"/>
            <w:tcBorders>
              <w:top w:val="nil"/>
              <w:left w:val="nil"/>
              <w:bottom w:val="single" w:sz="4" w:space="0" w:color="auto"/>
              <w:right w:val="nil"/>
            </w:tcBorders>
            <w:shd w:val="clear" w:color="auto" w:fill="auto"/>
            <w:noWrap/>
            <w:vAlign w:val="bottom"/>
          </w:tcPr>
          <w:p w14:paraId="3477A7F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Full specification</w:t>
            </w:r>
          </w:p>
        </w:tc>
        <w:tc>
          <w:tcPr>
            <w:tcW w:w="1666" w:type="dxa"/>
            <w:tcBorders>
              <w:top w:val="nil"/>
              <w:left w:val="nil"/>
              <w:bottom w:val="single" w:sz="4" w:space="0" w:color="auto"/>
              <w:right w:val="nil"/>
            </w:tcBorders>
            <w:vAlign w:val="bottom"/>
          </w:tcPr>
          <w:p w14:paraId="6D72E35A"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Human capital specification</w:t>
            </w:r>
          </w:p>
        </w:tc>
        <w:tc>
          <w:tcPr>
            <w:tcW w:w="1666" w:type="dxa"/>
            <w:tcBorders>
              <w:top w:val="nil"/>
              <w:left w:val="nil"/>
              <w:bottom w:val="single" w:sz="4" w:space="0" w:color="auto"/>
              <w:right w:val="nil"/>
            </w:tcBorders>
            <w:vAlign w:val="bottom"/>
          </w:tcPr>
          <w:p w14:paraId="6B88D7DF"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Full specification</w:t>
            </w:r>
          </w:p>
        </w:tc>
      </w:tr>
      <w:tr w:rsidR="00E105C9" w:rsidRPr="00920ABD" w14:paraId="59A56276" w14:textId="77777777" w:rsidTr="00E105C9">
        <w:tc>
          <w:tcPr>
            <w:tcW w:w="2268" w:type="dxa"/>
            <w:tcBorders>
              <w:top w:val="single" w:sz="4" w:space="0" w:color="auto"/>
              <w:left w:val="nil"/>
              <w:right w:val="nil"/>
            </w:tcBorders>
            <w:shd w:val="clear" w:color="auto" w:fill="auto"/>
            <w:noWrap/>
            <w:vAlign w:val="bottom"/>
            <w:hideMark/>
          </w:tcPr>
          <w:p w14:paraId="3C2B074C"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1 child under 15 years</w:t>
            </w:r>
          </w:p>
        </w:tc>
        <w:tc>
          <w:tcPr>
            <w:tcW w:w="1665" w:type="dxa"/>
            <w:tcBorders>
              <w:top w:val="single" w:sz="4" w:space="0" w:color="auto"/>
              <w:left w:val="nil"/>
              <w:right w:val="nil"/>
            </w:tcBorders>
            <w:shd w:val="clear" w:color="auto" w:fill="auto"/>
            <w:noWrap/>
            <w:vAlign w:val="bottom"/>
            <w:hideMark/>
          </w:tcPr>
          <w:p w14:paraId="59C3CD18"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-0.078</w:t>
            </w:r>
            <w:r w:rsidRPr="00920ABD">
              <w:rPr>
                <w:rFonts w:eastAsia="Times New Roman" w:cstheme="minorHAnsi"/>
                <w:color w:val="000000"/>
                <w:sz w:val="20"/>
                <w:szCs w:val="20"/>
                <w:lang w:val="en-US"/>
              </w:rPr>
              <w:t>***</w:t>
            </w:r>
          </w:p>
        </w:tc>
        <w:tc>
          <w:tcPr>
            <w:tcW w:w="1666" w:type="dxa"/>
            <w:tcBorders>
              <w:top w:val="single" w:sz="4" w:space="0" w:color="auto"/>
              <w:left w:val="nil"/>
              <w:right w:val="nil"/>
            </w:tcBorders>
            <w:shd w:val="clear" w:color="auto" w:fill="auto"/>
            <w:noWrap/>
            <w:vAlign w:val="bottom"/>
            <w:hideMark/>
          </w:tcPr>
          <w:p w14:paraId="479FED6E"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-0.057**</w:t>
            </w:r>
          </w:p>
        </w:tc>
        <w:tc>
          <w:tcPr>
            <w:tcW w:w="1666" w:type="dxa"/>
            <w:tcBorders>
              <w:top w:val="single" w:sz="4" w:space="0" w:color="auto"/>
              <w:left w:val="nil"/>
              <w:right w:val="nil"/>
            </w:tcBorders>
            <w:vAlign w:val="bottom"/>
          </w:tcPr>
          <w:p w14:paraId="5D647B6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bCs/>
                <w:color w:val="000000"/>
                <w:sz w:val="20"/>
                <w:szCs w:val="20"/>
              </w:rPr>
              <w:t>0.075**</w:t>
            </w:r>
          </w:p>
        </w:tc>
        <w:tc>
          <w:tcPr>
            <w:tcW w:w="1666" w:type="dxa"/>
            <w:tcBorders>
              <w:top w:val="single" w:sz="4" w:space="0" w:color="auto"/>
              <w:left w:val="nil"/>
              <w:right w:val="nil"/>
            </w:tcBorders>
            <w:vAlign w:val="bottom"/>
          </w:tcPr>
          <w:p w14:paraId="72DE6A6A"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0.032</w:t>
            </w:r>
          </w:p>
        </w:tc>
      </w:tr>
      <w:tr w:rsidR="00E105C9" w:rsidRPr="00920ABD" w14:paraId="05537C4C" w14:textId="77777777" w:rsidTr="00E105C9">
        <w:tc>
          <w:tcPr>
            <w:tcW w:w="2268" w:type="dxa"/>
            <w:tcBorders>
              <w:left w:val="nil"/>
              <w:bottom w:val="nil"/>
              <w:right w:val="nil"/>
            </w:tcBorders>
            <w:shd w:val="clear" w:color="auto" w:fill="auto"/>
            <w:noWrap/>
            <w:vAlign w:val="bottom"/>
          </w:tcPr>
          <w:p w14:paraId="38BF2FBF"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left w:val="nil"/>
              <w:bottom w:val="nil"/>
              <w:right w:val="nil"/>
            </w:tcBorders>
            <w:shd w:val="clear" w:color="auto" w:fill="auto"/>
            <w:noWrap/>
            <w:vAlign w:val="bottom"/>
          </w:tcPr>
          <w:p w14:paraId="199774ED"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0.028</w:t>
            </w:r>
            <w:r w:rsidRPr="00920ABD">
              <w:rPr>
                <w:rFonts w:eastAsia="Times New Roman" w:cstheme="minorHAnsi"/>
                <w:bCs/>
                <w:color w:val="000000"/>
                <w:sz w:val="20"/>
                <w:szCs w:val="20"/>
                <w:lang w:val="en-US"/>
              </w:rPr>
              <w:t>)</w:t>
            </w:r>
          </w:p>
        </w:tc>
        <w:tc>
          <w:tcPr>
            <w:tcW w:w="1666" w:type="dxa"/>
            <w:tcBorders>
              <w:left w:val="nil"/>
              <w:bottom w:val="nil"/>
              <w:right w:val="nil"/>
            </w:tcBorders>
            <w:shd w:val="clear" w:color="auto" w:fill="auto"/>
            <w:noWrap/>
            <w:vAlign w:val="bottom"/>
          </w:tcPr>
          <w:p w14:paraId="626D66F6"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0.025</w:t>
            </w:r>
            <w:r w:rsidRPr="00920ABD">
              <w:rPr>
                <w:rFonts w:eastAsia="Times New Roman" w:cstheme="minorHAnsi"/>
                <w:bCs/>
                <w:color w:val="000000"/>
                <w:sz w:val="20"/>
                <w:szCs w:val="20"/>
                <w:lang w:val="en-US"/>
              </w:rPr>
              <w:t>)</w:t>
            </w:r>
          </w:p>
        </w:tc>
        <w:tc>
          <w:tcPr>
            <w:tcW w:w="1666" w:type="dxa"/>
            <w:tcBorders>
              <w:left w:val="nil"/>
              <w:bottom w:val="nil"/>
              <w:right w:val="nil"/>
            </w:tcBorders>
            <w:vAlign w:val="bottom"/>
          </w:tcPr>
          <w:p w14:paraId="1A13D46B" w14:textId="77777777" w:rsidR="00E105C9" w:rsidRPr="00920ABD" w:rsidRDefault="00E105C9" w:rsidP="00E105C9">
            <w:pPr>
              <w:spacing w:before="0"/>
              <w:jc w:val="center"/>
              <w:rPr>
                <w:rFonts w:cstheme="minorHAnsi"/>
                <w:bCs/>
                <w:color w:val="000000"/>
                <w:sz w:val="20"/>
                <w:szCs w:val="20"/>
              </w:rPr>
            </w:pPr>
            <w:r w:rsidRPr="00920ABD">
              <w:rPr>
                <w:rFonts w:cstheme="minorHAnsi"/>
                <w:bCs/>
                <w:color w:val="000000"/>
                <w:sz w:val="20"/>
                <w:szCs w:val="20"/>
              </w:rPr>
              <w:t>(</w:t>
            </w:r>
            <w:r w:rsidRPr="00920ABD">
              <w:rPr>
                <w:rFonts w:cstheme="minorHAnsi"/>
                <w:color w:val="000000"/>
                <w:sz w:val="20"/>
                <w:szCs w:val="20"/>
              </w:rPr>
              <w:t>0.030)</w:t>
            </w:r>
          </w:p>
        </w:tc>
        <w:tc>
          <w:tcPr>
            <w:tcW w:w="1666" w:type="dxa"/>
            <w:tcBorders>
              <w:left w:val="nil"/>
              <w:bottom w:val="nil"/>
              <w:right w:val="nil"/>
            </w:tcBorders>
            <w:vAlign w:val="bottom"/>
          </w:tcPr>
          <w:p w14:paraId="05C8D9AD"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(0.028)</w:t>
            </w:r>
          </w:p>
        </w:tc>
      </w:tr>
      <w:tr w:rsidR="00E105C9" w:rsidRPr="00920ABD" w14:paraId="55941BDD" w14:textId="77777777" w:rsidTr="00E105C9">
        <w:tc>
          <w:tcPr>
            <w:tcW w:w="2268" w:type="dxa"/>
            <w:tcBorders>
              <w:top w:val="nil"/>
              <w:left w:val="nil"/>
              <w:bottom w:val="nil"/>
              <w:right w:val="nil"/>
            </w:tcBorders>
            <w:shd w:val="clear" w:color="auto" w:fill="auto"/>
            <w:noWrap/>
            <w:vAlign w:val="bottom"/>
            <w:hideMark/>
          </w:tcPr>
          <w:p w14:paraId="6ED416CB"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2 children</w:t>
            </w:r>
          </w:p>
        </w:tc>
        <w:tc>
          <w:tcPr>
            <w:tcW w:w="1665" w:type="dxa"/>
            <w:tcBorders>
              <w:top w:val="nil"/>
              <w:left w:val="nil"/>
              <w:bottom w:val="nil"/>
              <w:right w:val="nil"/>
            </w:tcBorders>
            <w:shd w:val="clear" w:color="auto" w:fill="auto"/>
            <w:noWrap/>
            <w:vAlign w:val="bottom"/>
            <w:hideMark/>
          </w:tcPr>
          <w:p w14:paraId="597B69DF"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-0.092</w:t>
            </w:r>
            <w:r w:rsidRPr="00920ABD">
              <w:rPr>
                <w:rFonts w:eastAsia="Times New Roman" w:cstheme="minorHAnsi"/>
                <w:color w:val="000000"/>
                <w:sz w:val="20"/>
                <w:szCs w:val="20"/>
                <w:lang w:val="en-US"/>
              </w:rPr>
              <w:t>***</w:t>
            </w:r>
          </w:p>
        </w:tc>
        <w:tc>
          <w:tcPr>
            <w:tcW w:w="1666" w:type="dxa"/>
            <w:tcBorders>
              <w:top w:val="nil"/>
              <w:left w:val="nil"/>
              <w:bottom w:val="nil"/>
              <w:right w:val="nil"/>
            </w:tcBorders>
            <w:shd w:val="clear" w:color="auto" w:fill="auto"/>
            <w:noWrap/>
            <w:vAlign w:val="bottom"/>
            <w:hideMark/>
          </w:tcPr>
          <w:p w14:paraId="6E99813A"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-0.099</w:t>
            </w:r>
            <w:r w:rsidRPr="00920ABD">
              <w:rPr>
                <w:rFonts w:eastAsia="Times New Roman" w:cstheme="minorHAnsi"/>
                <w:color w:val="000000"/>
                <w:sz w:val="20"/>
                <w:szCs w:val="20"/>
                <w:lang w:val="en-US"/>
              </w:rPr>
              <w:t>***</w:t>
            </w:r>
          </w:p>
        </w:tc>
        <w:tc>
          <w:tcPr>
            <w:tcW w:w="1666" w:type="dxa"/>
            <w:tcBorders>
              <w:top w:val="nil"/>
              <w:left w:val="nil"/>
              <w:bottom w:val="nil"/>
              <w:right w:val="nil"/>
            </w:tcBorders>
            <w:vAlign w:val="bottom"/>
          </w:tcPr>
          <w:p w14:paraId="11FF798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bCs/>
                <w:color w:val="000000"/>
                <w:sz w:val="20"/>
                <w:szCs w:val="20"/>
              </w:rPr>
              <w:t>0.077**</w:t>
            </w:r>
          </w:p>
        </w:tc>
        <w:tc>
          <w:tcPr>
            <w:tcW w:w="1666" w:type="dxa"/>
            <w:tcBorders>
              <w:top w:val="nil"/>
              <w:left w:val="nil"/>
              <w:bottom w:val="nil"/>
              <w:right w:val="nil"/>
            </w:tcBorders>
            <w:vAlign w:val="bottom"/>
          </w:tcPr>
          <w:p w14:paraId="10E5A91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0.011</w:t>
            </w:r>
          </w:p>
        </w:tc>
      </w:tr>
      <w:tr w:rsidR="00E105C9" w:rsidRPr="00920ABD" w14:paraId="78056C2F" w14:textId="77777777" w:rsidTr="00E105C9">
        <w:tc>
          <w:tcPr>
            <w:tcW w:w="2268" w:type="dxa"/>
            <w:tcBorders>
              <w:top w:val="nil"/>
              <w:left w:val="nil"/>
              <w:bottom w:val="nil"/>
              <w:right w:val="nil"/>
            </w:tcBorders>
            <w:shd w:val="clear" w:color="auto" w:fill="auto"/>
            <w:noWrap/>
            <w:vAlign w:val="bottom"/>
          </w:tcPr>
          <w:p w14:paraId="2DFDBE95"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bottom w:val="nil"/>
              <w:right w:val="nil"/>
            </w:tcBorders>
            <w:shd w:val="clear" w:color="auto" w:fill="auto"/>
            <w:noWrap/>
            <w:vAlign w:val="bottom"/>
          </w:tcPr>
          <w:p w14:paraId="7A853709"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0.035</w:t>
            </w:r>
            <w:r w:rsidRPr="00920ABD">
              <w:rPr>
                <w:rFonts w:eastAsia="Times New Roman" w:cstheme="minorHAnsi"/>
                <w:bCs/>
                <w:color w:val="000000"/>
                <w:sz w:val="20"/>
                <w:szCs w:val="20"/>
                <w:lang w:val="en-US"/>
              </w:rPr>
              <w:t>)</w:t>
            </w:r>
          </w:p>
        </w:tc>
        <w:tc>
          <w:tcPr>
            <w:tcW w:w="1666" w:type="dxa"/>
            <w:tcBorders>
              <w:top w:val="nil"/>
              <w:left w:val="nil"/>
              <w:bottom w:val="nil"/>
              <w:right w:val="nil"/>
            </w:tcBorders>
            <w:shd w:val="clear" w:color="auto" w:fill="auto"/>
            <w:noWrap/>
            <w:vAlign w:val="bottom"/>
          </w:tcPr>
          <w:p w14:paraId="639D5D76"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0.034</w:t>
            </w:r>
            <w:r w:rsidRPr="00920ABD">
              <w:rPr>
                <w:rFonts w:eastAsia="Times New Roman" w:cstheme="minorHAnsi"/>
                <w:bCs/>
                <w:color w:val="000000"/>
                <w:sz w:val="20"/>
                <w:szCs w:val="20"/>
                <w:lang w:val="en-US"/>
              </w:rPr>
              <w:t>)</w:t>
            </w:r>
          </w:p>
        </w:tc>
        <w:tc>
          <w:tcPr>
            <w:tcW w:w="1666" w:type="dxa"/>
            <w:tcBorders>
              <w:top w:val="nil"/>
              <w:left w:val="nil"/>
              <w:bottom w:val="nil"/>
              <w:right w:val="nil"/>
            </w:tcBorders>
            <w:vAlign w:val="bottom"/>
          </w:tcPr>
          <w:p w14:paraId="27176830" w14:textId="77777777" w:rsidR="00E105C9" w:rsidRPr="00920ABD" w:rsidRDefault="00E105C9" w:rsidP="00E105C9">
            <w:pPr>
              <w:spacing w:before="0"/>
              <w:jc w:val="center"/>
              <w:rPr>
                <w:rFonts w:cstheme="minorHAnsi"/>
                <w:bCs/>
                <w:color w:val="000000"/>
                <w:sz w:val="20"/>
                <w:szCs w:val="20"/>
              </w:rPr>
            </w:pPr>
            <w:r w:rsidRPr="00920ABD">
              <w:rPr>
                <w:rFonts w:cstheme="minorHAnsi"/>
                <w:bCs/>
                <w:color w:val="000000"/>
                <w:sz w:val="20"/>
                <w:szCs w:val="20"/>
              </w:rPr>
              <w:t>(</w:t>
            </w:r>
            <w:r w:rsidRPr="00920ABD">
              <w:rPr>
                <w:rFonts w:cstheme="minorHAnsi"/>
                <w:color w:val="000000"/>
                <w:sz w:val="20"/>
                <w:szCs w:val="20"/>
              </w:rPr>
              <w:t>0.038</w:t>
            </w:r>
            <w:r w:rsidRPr="00920ABD">
              <w:rPr>
                <w:rFonts w:cstheme="minorHAnsi"/>
                <w:bCs/>
                <w:color w:val="000000"/>
                <w:sz w:val="20"/>
                <w:szCs w:val="20"/>
              </w:rPr>
              <w:t>)</w:t>
            </w:r>
          </w:p>
        </w:tc>
        <w:tc>
          <w:tcPr>
            <w:tcW w:w="1666" w:type="dxa"/>
            <w:tcBorders>
              <w:top w:val="nil"/>
              <w:left w:val="nil"/>
              <w:bottom w:val="nil"/>
              <w:right w:val="nil"/>
            </w:tcBorders>
            <w:vAlign w:val="bottom"/>
          </w:tcPr>
          <w:p w14:paraId="4804B7A1"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(0.034)</w:t>
            </w:r>
          </w:p>
        </w:tc>
      </w:tr>
      <w:tr w:rsidR="00E105C9" w:rsidRPr="00920ABD" w14:paraId="4EE1270A" w14:textId="77777777" w:rsidTr="00E105C9">
        <w:tc>
          <w:tcPr>
            <w:tcW w:w="2268" w:type="dxa"/>
            <w:tcBorders>
              <w:top w:val="nil"/>
              <w:left w:val="nil"/>
              <w:right w:val="nil"/>
            </w:tcBorders>
            <w:shd w:val="clear" w:color="auto" w:fill="auto"/>
            <w:noWrap/>
            <w:vAlign w:val="bottom"/>
            <w:hideMark/>
          </w:tcPr>
          <w:p w14:paraId="031438F8"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3 and more children</w:t>
            </w:r>
          </w:p>
        </w:tc>
        <w:tc>
          <w:tcPr>
            <w:tcW w:w="1665" w:type="dxa"/>
            <w:tcBorders>
              <w:top w:val="nil"/>
              <w:left w:val="nil"/>
              <w:right w:val="nil"/>
            </w:tcBorders>
            <w:shd w:val="clear" w:color="auto" w:fill="auto"/>
            <w:noWrap/>
            <w:vAlign w:val="bottom"/>
            <w:hideMark/>
          </w:tcPr>
          <w:p w14:paraId="39DA392B"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-0.003</w:t>
            </w:r>
          </w:p>
        </w:tc>
        <w:tc>
          <w:tcPr>
            <w:tcW w:w="1666" w:type="dxa"/>
            <w:tcBorders>
              <w:top w:val="nil"/>
              <w:left w:val="nil"/>
              <w:right w:val="nil"/>
            </w:tcBorders>
            <w:shd w:val="clear" w:color="auto" w:fill="auto"/>
            <w:noWrap/>
            <w:vAlign w:val="bottom"/>
            <w:hideMark/>
          </w:tcPr>
          <w:p w14:paraId="03CFED82"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-0.040</w:t>
            </w:r>
          </w:p>
        </w:tc>
        <w:tc>
          <w:tcPr>
            <w:tcW w:w="1666" w:type="dxa"/>
            <w:tcBorders>
              <w:top w:val="nil"/>
              <w:left w:val="nil"/>
              <w:right w:val="nil"/>
            </w:tcBorders>
            <w:vAlign w:val="bottom"/>
          </w:tcPr>
          <w:p w14:paraId="5AD7584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-0.197</w:t>
            </w:r>
          </w:p>
        </w:tc>
        <w:tc>
          <w:tcPr>
            <w:tcW w:w="1666" w:type="dxa"/>
            <w:tcBorders>
              <w:top w:val="nil"/>
              <w:left w:val="nil"/>
              <w:right w:val="nil"/>
            </w:tcBorders>
            <w:vAlign w:val="bottom"/>
          </w:tcPr>
          <w:p w14:paraId="1261D97C"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bCs/>
                <w:color w:val="000000"/>
                <w:sz w:val="20"/>
                <w:szCs w:val="20"/>
              </w:rPr>
              <w:t>-0.244*</w:t>
            </w:r>
          </w:p>
        </w:tc>
      </w:tr>
      <w:tr w:rsidR="00E105C9" w:rsidRPr="00920ABD" w14:paraId="75BADDB0" w14:textId="77777777" w:rsidTr="00E105C9">
        <w:tc>
          <w:tcPr>
            <w:tcW w:w="2268" w:type="dxa"/>
            <w:tcBorders>
              <w:top w:val="nil"/>
              <w:left w:val="nil"/>
              <w:bottom w:val="single" w:sz="4" w:space="0" w:color="auto"/>
              <w:right w:val="nil"/>
            </w:tcBorders>
            <w:shd w:val="clear" w:color="auto" w:fill="auto"/>
            <w:noWrap/>
            <w:vAlign w:val="bottom"/>
          </w:tcPr>
          <w:p w14:paraId="2EA37EEE"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bottom w:val="single" w:sz="4" w:space="0" w:color="auto"/>
              <w:right w:val="nil"/>
            </w:tcBorders>
            <w:shd w:val="clear" w:color="auto" w:fill="auto"/>
            <w:noWrap/>
            <w:vAlign w:val="bottom"/>
          </w:tcPr>
          <w:p w14:paraId="5149313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0.069</w:t>
            </w:r>
            <w:r w:rsidRPr="00920ABD">
              <w:rPr>
                <w:rFonts w:eastAsia="Times New Roman" w:cstheme="minorHAnsi"/>
                <w:bCs/>
                <w:color w:val="000000"/>
                <w:sz w:val="20"/>
                <w:szCs w:val="20"/>
                <w:lang w:val="en-US"/>
              </w:rPr>
              <w:t>)</w:t>
            </w:r>
          </w:p>
        </w:tc>
        <w:tc>
          <w:tcPr>
            <w:tcW w:w="1666" w:type="dxa"/>
            <w:tcBorders>
              <w:top w:val="nil"/>
              <w:left w:val="nil"/>
              <w:bottom w:val="single" w:sz="4" w:space="0" w:color="auto"/>
              <w:right w:val="nil"/>
            </w:tcBorders>
            <w:shd w:val="clear" w:color="auto" w:fill="auto"/>
            <w:noWrap/>
            <w:vAlign w:val="bottom"/>
          </w:tcPr>
          <w:p w14:paraId="7FF148F7"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0.063</w:t>
            </w:r>
            <w:r w:rsidRPr="00920ABD">
              <w:rPr>
                <w:rFonts w:eastAsia="Times New Roman" w:cstheme="minorHAnsi"/>
                <w:bCs/>
                <w:color w:val="000000"/>
                <w:sz w:val="20"/>
                <w:szCs w:val="20"/>
                <w:lang w:val="en-US"/>
              </w:rPr>
              <w:t>)</w:t>
            </w:r>
          </w:p>
        </w:tc>
        <w:tc>
          <w:tcPr>
            <w:tcW w:w="1666" w:type="dxa"/>
            <w:tcBorders>
              <w:top w:val="nil"/>
              <w:left w:val="nil"/>
              <w:bottom w:val="single" w:sz="4" w:space="0" w:color="auto"/>
              <w:right w:val="nil"/>
            </w:tcBorders>
            <w:vAlign w:val="bottom"/>
          </w:tcPr>
          <w:p w14:paraId="66892AF5"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0.128</w:t>
            </w:r>
            <w:r w:rsidRPr="00920ABD">
              <w:rPr>
                <w:rFonts w:cstheme="minorHAnsi"/>
                <w:bCs/>
                <w:color w:val="000000"/>
                <w:sz w:val="20"/>
                <w:szCs w:val="20"/>
              </w:rPr>
              <w:t>)</w:t>
            </w:r>
          </w:p>
        </w:tc>
        <w:tc>
          <w:tcPr>
            <w:tcW w:w="1666" w:type="dxa"/>
            <w:tcBorders>
              <w:top w:val="nil"/>
              <w:left w:val="nil"/>
              <w:bottom w:val="single" w:sz="4" w:space="0" w:color="auto"/>
              <w:right w:val="nil"/>
            </w:tcBorders>
            <w:vAlign w:val="bottom"/>
          </w:tcPr>
          <w:p w14:paraId="3741E354" w14:textId="77777777" w:rsidR="00E105C9" w:rsidRPr="00920ABD" w:rsidRDefault="00E105C9" w:rsidP="00E105C9">
            <w:pPr>
              <w:spacing w:before="0"/>
              <w:jc w:val="center"/>
              <w:rPr>
                <w:rFonts w:cstheme="minorHAnsi"/>
                <w:bCs/>
                <w:color w:val="000000"/>
                <w:sz w:val="20"/>
                <w:szCs w:val="20"/>
              </w:rPr>
            </w:pPr>
            <w:r w:rsidRPr="00920ABD">
              <w:rPr>
                <w:rFonts w:cstheme="minorHAnsi"/>
                <w:color w:val="000000"/>
                <w:sz w:val="20"/>
                <w:szCs w:val="20"/>
              </w:rPr>
              <w:t>(0.137)</w:t>
            </w:r>
          </w:p>
        </w:tc>
      </w:tr>
      <w:tr w:rsidR="00E105C9" w:rsidRPr="00920ABD" w14:paraId="3E837373" w14:textId="77777777" w:rsidTr="00E105C9">
        <w:tc>
          <w:tcPr>
            <w:tcW w:w="2268" w:type="dxa"/>
            <w:tcBorders>
              <w:top w:val="single" w:sz="4" w:space="0" w:color="auto"/>
              <w:left w:val="nil"/>
              <w:right w:val="nil"/>
            </w:tcBorders>
            <w:shd w:val="clear" w:color="auto" w:fill="auto"/>
            <w:noWrap/>
            <w:vAlign w:val="bottom"/>
            <w:hideMark/>
          </w:tcPr>
          <w:p w14:paraId="1CD7906A"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Married or cohabiting</w:t>
            </w:r>
          </w:p>
        </w:tc>
        <w:tc>
          <w:tcPr>
            <w:tcW w:w="1665" w:type="dxa"/>
            <w:tcBorders>
              <w:top w:val="single" w:sz="4" w:space="0" w:color="auto"/>
              <w:left w:val="nil"/>
              <w:right w:val="nil"/>
            </w:tcBorders>
            <w:shd w:val="clear" w:color="auto" w:fill="auto"/>
            <w:noWrap/>
            <w:vAlign w:val="bottom"/>
            <w:hideMark/>
          </w:tcPr>
          <w:p w14:paraId="14CC068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0.033</w:t>
            </w:r>
          </w:p>
        </w:tc>
        <w:tc>
          <w:tcPr>
            <w:tcW w:w="1666" w:type="dxa"/>
            <w:tcBorders>
              <w:top w:val="single" w:sz="4" w:space="0" w:color="auto"/>
              <w:left w:val="nil"/>
              <w:right w:val="nil"/>
            </w:tcBorders>
            <w:shd w:val="clear" w:color="auto" w:fill="auto"/>
            <w:noWrap/>
            <w:vAlign w:val="bottom"/>
            <w:hideMark/>
          </w:tcPr>
          <w:p w14:paraId="72224E1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0.020</w:t>
            </w:r>
          </w:p>
        </w:tc>
        <w:tc>
          <w:tcPr>
            <w:tcW w:w="1666" w:type="dxa"/>
            <w:tcBorders>
              <w:top w:val="single" w:sz="4" w:space="0" w:color="auto"/>
              <w:left w:val="nil"/>
              <w:right w:val="nil"/>
            </w:tcBorders>
            <w:vAlign w:val="bottom"/>
          </w:tcPr>
          <w:p w14:paraId="291AB048"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0.041</w:t>
            </w:r>
          </w:p>
        </w:tc>
        <w:tc>
          <w:tcPr>
            <w:tcW w:w="1666" w:type="dxa"/>
            <w:tcBorders>
              <w:top w:val="single" w:sz="4" w:space="0" w:color="auto"/>
              <w:left w:val="nil"/>
              <w:right w:val="nil"/>
            </w:tcBorders>
            <w:vAlign w:val="bottom"/>
          </w:tcPr>
          <w:p w14:paraId="7FE99198"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0.050*</w:t>
            </w:r>
          </w:p>
        </w:tc>
      </w:tr>
      <w:tr w:rsidR="00E105C9" w:rsidRPr="00920ABD" w14:paraId="721BEA98" w14:textId="77777777" w:rsidTr="00E105C9">
        <w:tc>
          <w:tcPr>
            <w:tcW w:w="2268" w:type="dxa"/>
            <w:tcBorders>
              <w:left w:val="nil"/>
              <w:bottom w:val="single" w:sz="4" w:space="0" w:color="auto"/>
              <w:right w:val="nil"/>
            </w:tcBorders>
            <w:shd w:val="clear" w:color="auto" w:fill="auto"/>
            <w:noWrap/>
            <w:vAlign w:val="bottom"/>
          </w:tcPr>
          <w:p w14:paraId="53F0C6BD"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left w:val="nil"/>
              <w:bottom w:val="single" w:sz="4" w:space="0" w:color="auto"/>
              <w:right w:val="nil"/>
            </w:tcBorders>
            <w:shd w:val="clear" w:color="auto" w:fill="auto"/>
            <w:noWrap/>
            <w:vAlign w:val="bottom"/>
          </w:tcPr>
          <w:p w14:paraId="570510D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0.024</w:t>
            </w:r>
            <w:r w:rsidRPr="00920ABD">
              <w:rPr>
                <w:rFonts w:eastAsia="Times New Roman" w:cstheme="minorHAnsi"/>
                <w:bCs/>
                <w:color w:val="000000"/>
                <w:sz w:val="20"/>
                <w:szCs w:val="20"/>
                <w:lang w:val="en-US"/>
              </w:rPr>
              <w:t>)</w:t>
            </w:r>
          </w:p>
        </w:tc>
        <w:tc>
          <w:tcPr>
            <w:tcW w:w="1666" w:type="dxa"/>
            <w:tcBorders>
              <w:left w:val="nil"/>
              <w:bottom w:val="single" w:sz="4" w:space="0" w:color="auto"/>
              <w:right w:val="nil"/>
            </w:tcBorders>
            <w:shd w:val="clear" w:color="auto" w:fill="auto"/>
            <w:noWrap/>
            <w:vAlign w:val="bottom"/>
          </w:tcPr>
          <w:p w14:paraId="7863A2DA"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0.019</w:t>
            </w:r>
            <w:r w:rsidRPr="00920ABD">
              <w:rPr>
                <w:rFonts w:eastAsia="Times New Roman" w:cstheme="minorHAnsi"/>
                <w:bCs/>
                <w:color w:val="000000"/>
                <w:sz w:val="20"/>
                <w:szCs w:val="20"/>
                <w:lang w:val="en-US"/>
              </w:rPr>
              <w:t>)</w:t>
            </w:r>
          </w:p>
        </w:tc>
        <w:tc>
          <w:tcPr>
            <w:tcW w:w="1666" w:type="dxa"/>
            <w:tcBorders>
              <w:left w:val="nil"/>
              <w:bottom w:val="single" w:sz="4" w:space="0" w:color="auto"/>
              <w:right w:val="nil"/>
            </w:tcBorders>
            <w:vAlign w:val="bottom"/>
          </w:tcPr>
          <w:p w14:paraId="216B7F7B"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0.032</w:t>
            </w:r>
            <w:r w:rsidRPr="00920ABD">
              <w:rPr>
                <w:rFonts w:cstheme="minorHAnsi"/>
                <w:bCs/>
                <w:color w:val="000000"/>
                <w:sz w:val="20"/>
                <w:szCs w:val="20"/>
              </w:rPr>
              <w:t>)</w:t>
            </w:r>
          </w:p>
        </w:tc>
        <w:tc>
          <w:tcPr>
            <w:tcW w:w="1666" w:type="dxa"/>
            <w:tcBorders>
              <w:left w:val="nil"/>
              <w:bottom w:val="single" w:sz="4" w:space="0" w:color="auto"/>
              <w:right w:val="nil"/>
            </w:tcBorders>
            <w:vAlign w:val="bottom"/>
          </w:tcPr>
          <w:p w14:paraId="340655F2"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(0.027)</w:t>
            </w:r>
          </w:p>
        </w:tc>
      </w:tr>
      <w:tr w:rsidR="00E105C9" w:rsidRPr="00920ABD" w14:paraId="67A686C8" w14:textId="77777777" w:rsidTr="00E105C9">
        <w:tc>
          <w:tcPr>
            <w:tcW w:w="2268" w:type="dxa"/>
            <w:tcBorders>
              <w:top w:val="single" w:sz="4" w:space="0" w:color="auto"/>
              <w:left w:val="nil"/>
              <w:right w:val="nil"/>
            </w:tcBorders>
            <w:shd w:val="clear" w:color="auto" w:fill="auto"/>
            <w:noWrap/>
            <w:vAlign w:val="bottom"/>
            <w:hideMark/>
          </w:tcPr>
          <w:p w14:paraId="3403C693"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Age</w:t>
            </w:r>
          </w:p>
        </w:tc>
        <w:tc>
          <w:tcPr>
            <w:tcW w:w="1665" w:type="dxa"/>
            <w:tcBorders>
              <w:top w:val="single" w:sz="4" w:space="0" w:color="auto"/>
              <w:left w:val="nil"/>
              <w:right w:val="nil"/>
            </w:tcBorders>
            <w:shd w:val="clear" w:color="auto" w:fill="auto"/>
            <w:noWrap/>
            <w:vAlign w:val="bottom"/>
            <w:hideMark/>
          </w:tcPr>
          <w:p w14:paraId="0FE5CAE6"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0.015*</w:t>
            </w:r>
          </w:p>
        </w:tc>
        <w:tc>
          <w:tcPr>
            <w:tcW w:w="1666" w:type="dxa"/>
            <w:tcBorders>
              <w:top w:val="single" w:sz="4" w:space="0" w:color="auto"/>
              <w:left w:val="nil"/>
              <w:right w:val="nil"/>
            </w:tcBorders>
            <w:shd w:val="clear" w:color="auto" w:fill="auto"/>
            <w:noWrap/>
            <w:vAlign w:val="bottom"/>
            <w:hideMark/>
          </w:tcPr>
          <w:p w14:paraId="7DA596B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0.021***</w:t>
            </w:r>
          </w:p>
        </w:tc>
        <w:tc>
          <w:tcPr>
            <w:tcW w:w="1666" w:type="dxa"/>
            <w:tcBorders>
              <w:top w:val="single" w:sz="4" w:space="0" w:color="auto"/>
              <w:left w:val="nil"/>
              <w:right w:val="nil"/>
            </w:tcBorders>
            <w:vAlign w:val="bottom"/>
          </w:tcPr>
          <w:p w14:paraId="54930CE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-0.004</w:t>
            </w:r>
          </w:p>
        </w:tc>
        <w:tc>
          <w:tcPr>
            <w:tcW w:w="1666" w:type="dxa"/>
            <w:tcBorders>
              <w:top w:val="single" w:sz="4" w:space="0" w:color="auto"/>
              <w:left w:val="nil"/>
              <w:right w:val="nil"/>
            </w:tcBorders>
            <w:vAlign w:val="bottom"/>
          </w:tcPr>
          <w:p w14:paraId="28628C2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-0.003</w:t>
            </w:r>
          </w:p>
        </w:tc>
      </w:tr>
      <w:tr w:rsidR="00E105C9" w:rsidRPr="00920ABD" w14:paraId="4DDAA7D5" w14:textId="77777777" w:rsidTr="00E105C9">
        <w:tc>
          <w:tcPr>
            <w:tcW w:w="2268" w:type="dxa"/>
            <w:tcBorders>
              <w:left w:val="nil"/>
              <w:bottom w:val="nil"/>
              <w:right w:val="nil"/>
            </w:tcBorders>
            <w:shd w:val="clear" w:color="auto" w:fill="auto"/>
            <w:noWrap/>
            <w:vAlign w:val="bottom"/>
          </w:tcPr>
          <w:p w14:paraId="7A8D9AB8"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left w:val="nil"/>
              <w:bottom w:val="nil"/>
              <w:right w:val="nil"/>
            </w:tcBorders>
            <w:shd w:val="clear" w:color="auto" w:fill="auto"/>
            <w:noWrap/>
            <w:vAlign w:val="bottom"/>
          </w:tcPr>
          <w:p w14:paraId="25756C8C"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0.008</w:t>
            </w:r>
            <w:r w:rsidRPr="00920ABD">
              <w:rPr>
                <w:rFonts w:eastAsia="Times New Roman" w:cstheme="minorHAnsi"/>
                <w:bCs/>
                <w:color w:val="000000"/>
                <w:sz w:val="20"/>
                <w:szCs w:val="20"/>
                <w:lang w:val="en-US"/>
              </w:rPr>
              <w:t>)</w:t>
            </w:r>
          </w:p>
        </w:tc>
        <w:tc>
          <w:tcPr>
            <w:tcW w:w="1666" w:type="dxa"/>
            <w:tcBorders>
              <w:left w:val="nil"/>
              <w:bottom w:val="nil"/>
              <w:right w:val="nil"/>
            </w:tcBorders>
            <w:shd w:val="clear" w:color="auto" w:fill="auto"/>
            <w:noWrap/>
            <w:vAlign w:val="bottom"/>
          </w:tcPr>
          <w:p w14:paraId="24D1F95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0.007</w:t>
            </w:r>
            <w:r w:rsidRPr="00920ABD">
              <w:rPr>
                <w:rFonts w:eastAsia="Times New Roman" w:cstheme="minorHAnsi"/>
                <w:bCs/>
                <w:color w:val="000000"/>
                <w:sz w:val="20"/>
                <w:szCs w:val="20"/>
                <w:lang w:val="en-US"/>
              </w:rPr>
              <w:t>)</w:t>
            </w:r>
          </w:p>
        </w:tc>
        <w:tc>
          <w:tcPr>
            <w:tcW w:w="1666" w:type="dxa"/>
            <w:tcBorders>
              <w:left w:val="nil"/>
              <w:bottom w:val="nil"/>
              <w:right w:val="nil"/>
            </w:tcBorders>
            <w:vAlign w:val="bottom"/>
          </w:tcPr>
          <w:p w14:paraId="26569D0D"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0.007</w:t>
            </w:r>
            <w:r w:rsidRPr="00920ABD">
              <w:rPr>
                <w:rFonts w:cstheme="minorHAnsi"/>
                <w:bCs/>
                <w:color w:val="000000"/>
                <w:sz w:val="20"/>
                <w:szCs w:val="20"/>
              </w:rPr>
              <w:t>)</w:t>
            </w:r>
          </w:p>
        </w:tc>
        <w:tc>
          <w:tcPr>
            <w:tcW w:w="1666" w:type="dxa"/>
            <w:tcBorders>
              <w:left w:val="nil"/>
              <w:bottom w:val="nil"/>
              <w:right w:val="nil"/>
            </w:tcBorders>
            <w:vAlign w:val="bottom"/>
          </w:tcPr>
          <w:p w14:paraId="63D3C287"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(-0.003)</w:t>
            </w:r>
          </w:p>
        </w:tc>
      </w:tr>
      <w:tr w:rsidR="00E105C9" w:rsidRPr="00920ABD" w14:paraId="47AA8FC0" w14:textId="77777777" w:rsidTr="00E105C9">
        <w:tc>
          <w:tcPr>
            <w:tcW w:w="2268" w:type="dxa"/>
            <w:vMerge w:val="restart"/>
            <w:tcBorders>
              <w:top w:val="nil"/>
              <w:left w:val="nil"/>
              <w:right w:val="nil"/>
            </w:tcBorders>
            <w:shd w:val="clear" w:color="auto" w:fill="auto"/>
            <w:noWrap/>
            <w:vAlign w:val="bottom"/>
            <w:hideMark/>
          </w:tcPr>
          <w:p w14:paraId="58657AB5"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sz w:val="20"/>
                <w:szCs w:val="20"/>
                <w:lang w:val="en-US"/>
              </w:rPr>
              <w:t>Age squared (divided by 100)</w:t>
            </w:r>
          </w:p>
        </w:tc>
        <w:tc>
          <w:tcPr>
            <w:tcW w:w="1665" w:type="dxa"/>
            <w:tcBorders>
              <w:top w:val="nil"/>
              <w:left w:val="nil"/>
              <w:right w:val="nil"/>
            </w:tcBorders>
            <w:shd w:val="clear" w:color="auto" w:fill="auto"/>
            <w:noWrap/>
            <w:vAlign w:val="bottom"/>
            <w:hideMark/>
          </w:tcPr>
          <w:p w14:paraId="482153E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-0.020**</w:t>
            </w:r>
          </w:p>
        </w:tc>
        <w:tc>
          <w:tcPr>
            <w:tcW w:w="1666" w:type="dxa"/>
            <w:tcBorders>
              <w:top w:val="nil"/>
              <w:left w:val="nil"/>
              <w:right w:val="nil"/>
            </w:tcBorders>
            <w:shd w:val="clear" w:color="auto" w:fill="auto"/>
            <w:noWrap/>
            <w:vAlign w:val="bottom"/>
            <w:hideMark/>
          </w:tcPr>
          <w:p w14:paraId="419CE98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-0.025***</w:t>
            </w:r>
          </w:p>
        </w:tc>
        <w:tc>
          <w:tcPr>
            <w:tcW w:w="1666" w:type="dxa"/>
            <w:tcBorders>
              <w:top w:val="nil"/>
              <w:left w:val="nil"/>
              <w:right w:val="nil"/>
            </w:tcBorders>
            <w:vAlign w:val="bottom"/>
          </w:tcPr>
          <w:p w14:paraId="3BB8091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-0.001</w:t>
            </w:r>
          </w:p>
        </w:tc>
        <w:tc>
          <w:tcPr>
            <w:tcW w:w="1666" w:type="dxa"/>
            <w:tcBorders>
              <w:top w:val="nil"/>
              <w:left w:val="nil"/>
              <w:right w:val="nil"/>
            </w:tcBorders>
            <w:vAlign w:val="bottom"/>
          </w:tcPr>
          <w:p w14:paraId="1E413C1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0.000</w:t>
            </w:r>
          </w:p>
        </w:tc>
      </w:tr>
      <w:tr w:rsidR="00E105C9" w:rsidRPr="00920ABD" w14:paraId="16902BDD" w14:textId="77777777" w:rsidTr="00E105C9">
        <w:tc>
          <w:tcPr>
            <w:tcW w:w="2268" w:type="dxa"/>
            <w:vMerge/>
            <w:tcBorders>
              <w:left w:val="nil"/>
              <w:bottom w:val="single" w:sz="4" w:space="0" w:color="auto"/>
              <w:right w:val="nil"/>
            </w:tcBorders>
            <w:shd w:val="clear" w:color="auto" w:fill="auto"/>
            <w:noWrap/>
            <w:vAlign w:val="bottom"/>
          </w:tcPr>
          <w:p w14:paraId="75599356" w14:textId="77777777" w:rsidR="00E105C9" w:rsidRPr="00920ABD" w:rsidRDefault="00E105C9" w:rsidP="00E105C9">
            <w:pPr>
              <w:spacing w:before="0"/>
              <w:rPr>
                <w:rFonts w:eastAsia="Times New Roman" w:cstheme="minorHAnsi"/>
                <w:sz w:val="20"/>
                <w:szCs w:val="20"/>
                <w:lang w:val="en-US"/>
              </w:rPr>
            </w:pPr>
          </w:p>
        </w:tc>
        <w:tc>
          <w:tcPr>
            <w:tcW w:w="1665" w:type="dxa"/>
            <w:tcBorders>
              <w:top w:val="nil"/>
              <w:left w:val="nil"/>
              <w:bottom w:val="single" w:sz="4" w:space="0" w:color="auto"/>
              <w:right w:val="nil"/>
            </w:tcBorders>
            <w:shd w:val="clear" w:color="auto" w:fill="auto"/>
            <w:noWrap/>
            <w:vAlign w:val="bottom"/>
          </w:tcPr>
          <w:p w14:paraId="08763B3D"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0.009</w:t>
            </w:r>
            <w:r w:rsidRPr="00920ABD">
              <w:rPr>
                <w:rFonts w:eastAsia="Times New Roman" w:cstheme="minorHAnsi"/>
                <w:bCs/>
                <w:color w:val="000000"/>
                <w:sz w:val="20"/>
                <w:szCs w:val="20"/>
                <w:lang w:val="en-US"/>
              </w:rPr>
              <w:t>)</w:t>
            </w:r>
          </w:p>
        </w:tc>
        <w:tc>
          <w:tcPr>
            <w:tcW w:w="1666" w:type="dxa"/>
            <w:tcBorders>
              <w:top w:val="nil"/>
              <w:left w:val="nil"/>
              <w:bottom w:val="single" w:sz="4" w:space="0" w:color="auto"/>
              <w:right w:val="nil"/>
            </w:tcBorders>
            <w:shd w:val="clear" w:color="auto" w:fill="auto"/>
            <w:noWrap/>
            <w:vAlign w:val="bottom"/>
          </w:tcPr>
          <w:p w14:paraId="3ACB435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0.009</w:t>
            </w:r>
            <w:r w:rsidRPr="00920ABD">
              <w:rPr>
                <w:rFonts w:eastAsia="Times New Roman" w:cstheme="minorHAnsi"/>
                <w:bCs/>
                <w:color w:val="000000"/>
                <w:sz w:val="20"/>
                <w:szCs w:val="20"/>
                <w:lang w:val="en-US"/>
              </w:rPr>
              <w:t>)</w:t>
            </w:r>
          </w:p>
        </w:tc>
        <w:tc>
          <w:tcPr>
            <w:tcW w:w="1666" w:type="dxa"/>
            <w:tcBorders>
              <w:top w:val="nil"/>
              <w:left w:val="nil"/>
              <w:bottom w:val="single" w:sz="4" w:space="0" w:color="auto"/>
              <w:right w:val="nil"/>
            </w:tcBorders>
            <w:vAlign w:val="bottom"/>
          </w:tcPr>
          <w:p w14:paraId="22E33294"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0.008</w:t>
            </w:r>
            <w:r w:rsidRPr="00920ABD">
              <w:rPr>
                <w:rFonts w:cstheme="minorHAnsi"/>
                <w:bCs/>
                <w:color w:val="000000"/>
                <w:sz w:val="20"/>
                <w:szCs w:val="20"/>
              </w:rPr>
              <w:t>)</w:t>
            </w:r>
          </w:p>
        </w:tc>
        <w:tc>
          <w:tcPr>
            <w:tcW w:w="1666" w:type="dxa"/>
            <w:tcBorders>
              <w:top w:val="nil"/>
              <w:left w:val="nil"/>
              <w:bottom w:val="single" w:sz="4" w:space="0" w:color="auto"/>
              <w:right w:val="nil"/>
            </w:tcBorders>
            <w:vAlign w:val="bottom"/>
          </w:tcPr>
          <w:p w14:paraId="011826AB"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(0.000)</w:t>
            </w:r>
          </w:p>
        </w:tc>
      </w:tr>
      <w:tr w:rsidR="00E105C9" w:rsidRPr="00920ABD" w14:paraId="333B987D" w14:textId="77777777" w:rsidTr="00E105C9">
        <w:tc>
          <w:tcPr>
            <w:tcW w:w="2268" w:type="dxa"/>
            <w:tcBorders>
              <w:top w:val="single" w:sz="4" w:space="0" w:color="auto"/>
              <w:left w:val="nil"/>
              <w:right w:val="nil"/>
            </w:tcBorders>
            <w:shd w:val="clear" w:color="auto" w:fill="auto"/>
            <w:noWrap/>
            <w:vAlign w:val="bottom"/>
            <w:hideMark/>
          </w:tcPr>
          <w:p w14:paraId="33EF8A8A"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Upper secondary general</w:t>
            </w:r>
          </w:p>
        </w:tc>
        <w:tc>
          <w:tcPr>
            <w:tcW w:w="1665" w:type="dxa"/>
            <w:tcBorders>
              <w:top w:val="single" w:sz="4" w:space="0" w:color="auto"/>
              <w:left w:val="nil"/>
              <w:right w:val="nil"/>
            </w:tcBorders>
            <w:shd w:val="clear" w:color="auto" w:fill="auto"/>
            <w:noWrap/>
            <w:vAlign w:val="bottom"/>
            <w:hideMark/>
          </w:tcPr>
          <w:p w14:paraId="07A2998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0.018</w:t>
            </w:r>
          </w:p>
        </w:tc>
        <w:tc>
          <w:tcPr>
            <w:tcW w:w="1666" w:type="dxa"/>
            <w:tcBorders>
              <w:top w:val="single" w:sz="4" w:space="0" w:color="auto"/>
              <w:left w:val="nil"/>
              <w:right w:val="nil"/>
            </w:tcBorders>
            <w:shd w:val="clear" w:color="auto" w:fill="auto"/>
            <w:noWrap/>
            <w:vAlign w:val="bottom"/>
            <w:hideMark/>
          </w:tcPr>
          <w:p w14:paraId="03E8938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0.005</w:t>
            </w:r>
          </w:p>
        </w:tc>
        <w:tc>
          <w:tcPr>
            <w:tcW w:w="1666" w:type="dxa"/>
            <w:tcBorders>
              <w:top w:val="single" w:sz="4" w:space="0" w:color="auto"/>
              <w:left w:val="nil"/>
              <w:right w:val="nil"/>
            </w:tcBorders>
            <w:vAlign w:val="bottom"/>
          </w:tcPr>
          <w:p w14:paraId="0C700B6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0.158***</w:t>
            </w:r>
          </w:p>
        </w:tc>
        <w:tc>
          <w:tcPr>
            <w:tcW w:w="1666" w:type="dxa"/>
            <w:tcBorders>
              <w:top w:val="single" w:sz="4" w:space="0" w:color="auto"/>
              <w:left w:val="nil"/>
              <w:right w:val="nil"/>
            </w:tcBorders>
            <w:vAlign w:val="bottom"/>
          </w:tcPr>
          <w:p w14:paraId="417150F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0.034</w:t>
            </w:r>
          </w:p>
        </w:tc>
      </w:tr>
      <w:tr w:rsidR="00E105C9" w:rsidRPr="00920ABD" w14:paraId="0FD06AAB" w14:textId="77777777" w:rsidTr="00E105C9">
        <w:tc>
          <w:tcPr>
            <w:tcW w:w="2268" w:type="dxa"/>
            <w:tcBorders>
              <w:left w:val="nil"/>
              <w:bottom w:val="nil"/>
              <w:right w:val="nil"/>
            </w:tcBorders>
            <w:shd w:val="clear" w:color="auto" w:fill="auto"/>
            <w:noWrap/>
            <w:vAlign w:val="bottom"/>
          </w:tcPr>
          <w:p w14:paraId="1055CE87"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left w:val="nil"/>
              <w:bottom w:val="nil"/>
              <w:right w:val="nil"/>
            </w:tcBorders>
            <w:shd w:val="clear" w:color="auto" w:fill="auto"/>
            <w:noWrap/>
            <w:vAlign w:val="bottom"/>
          </w:tcPr>
          <w:p w14:paraId="46E0BFB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0.031</w:t>
            </w:r>
            <w:r w:rsidRPr="00920ABD">
              <w:rPr>
                <w:rFonts w:eastAsia="Times New Roman" w:cstheme="minorHAnsi"/>
                <w:bCs/>
                <w:color w:val="000000"/>
                <w:sz w:val="20"/>
                <w:szCs w:val="20"/>
                <w:lang w:val="en-US"/>
              </w:rPr>
              <w:t>)</w:t>
            </w:r>
          </w:p>
        </w:tc>
        <w:tc>
          <w:tcPr>
            <w:tcW w:w="1666" w:type="dxa"/>
            <w:tcBorders>
              <w:left w:val="nil"/>
              <w:bottom w:val="nil"/>
              <w:right w:val="nil"/>
            </w:tcBorders>
            <w:shd w:val="clear" w:color="auto" w:fill="auto"/>
            <w:noWrap/>
            <w:vAlign w:val="bottom"/>
          </w:tcPr>
          <w:p w14:paraId="3727FC4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0.030</w:t>
            </w:r>
            <w:r w:rsidRPr="00920ABD">
              <w:rPr>
                <w:rFonts w:eastAsia="Times New Roman" w:cstheme="minorHAnsi"/>
                <w:bCs/>
                <w:color w:val="000000"/>
                <w:sz w:val="20"/>
                <w:szCs w:val="20"/>
                <w:lang w:val="en-US"/>
              </w:rPr>
              <w:t>)</w:t>
            </w:r>
          </w:p>
        </w:tc>
        <w:tc>
          <w:tcPr>
            <w:tcW w:w="1666" w:type="dxa"/>
            <w:tcBorders>
              <w:left w:val="nil"/>
              <w:bottom w:val="nil"/>
              <w:right w:val="nil"/>
            </w:tcBorders>
            <w:vAlign w:val="bottom"/>
          </w:tcPr>
          <w:p w14:paraId="1405914D"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0.043</w:t>
            </w:r>
            <w:r w:rsidRPr="00920ABD">
              <w:rPr>
                <w:rFonts w:cstheme="minorHAnsi"/>
                <w:bCs/>
                <w:color w:val="000000"/>
                <w:sz w:val="20"/>
                <w:szCs w:val="20"/>
              </w:rPr>
              <w:t>)</w:t>
            </w:r>
          </w:p>
        </w:tc>
        <w:tc>
          <w:tcPr>
            <w:tcW w:w="1666" w:type="dxa"/>
            <w:tcBorders>
              <w:left w:val="nil"/>
              <w:bottom w:val="nil"/>
              <w:right w:val="nil"/>
            </w:tcBorders>
            <w:vAlign w:val="bottom"/>
          </w:tcPr>
          <w:p w14:paraId="34A3ED39"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(0.036)</w:t>
            </w:r>
          </w:p>
        </w:tc>
      </w:tr>
      <w:tr w:rsidR="00E105C9" w:rsidRPr="00920ABD" w14:paraId="3E7FE425" w14:textId="77777777" w:rsidTr="00E105C9">
        <w:tc>
          <w:tcPr>
            <w:tcW w:w="2268" w:type="dxa"/>
            <w:vMerge w:val="restart"/>
            <w:tcBorders>
              <w:top w:val="nil"/>
              <w:left w:val="nil"/>
              <w:right w:val="nil"/>
            </w:tcBorders>
            <w:shd w:val="clear" w:color="auto" w:fill="auto"/>
            <w:noWrap/>
            <w:vAlign w:val="bottom"/>
            <w:hideMark/>
          </w:tcPr>
          <w:p w14:paraId="4998D61F"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Upper secondary vocational</w:t>
            </w:r>
          </w:p>
        </w:tc>
        <w:tc>
          <w:tcPr>
            <w:tcW w:w="1665" w:type="dxa"/>
            <w:tcBorders>
              <w:top w:val="nil"/>
              <w:left w:val="nil"/>
              <w:bottom w:val="nil"/>
              <w:right w:val="nil"/>
            </w:tcBorders>
            <w:shd w:val="clear" w:color="auto" w:fill="auto"/>
            <w:noWrap/>
            <w:vAlign w:val="bottom"/>
            <w:hideMark/>
          </w:tcPr>
          <w:p w14:paraId="075B3F5A"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0.080**</w:t>
            </w:r>
          </w:p>
        </w:tc>
        <w:tc>
          <w:tcPr>
            <w:tcW w:w="1666" w:type="dxa"/>
            <w:tcBorders>
              <w:top w:val="nil"/>
              <w:left w:val="nil"/>
              <w:bottom w:val="nil"/>
              <w:right w:val="nil"/>
            </w:tcBorders>
            <w:shd w:val="clear" w:color="auto" w:fill="auto"/>
            <w:noWrap/>
            <w:vAlign w:val="bottom"/>
            <w:hideMark/>
          </w:tcPr>
          <w:p w14:paraId="529A1C3D"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0.017</w:t>
            </w:r>
          </w:p>
        </w:tc>
        <w:tc>
          <w:tcPr>
            <w:tcW w:w="1666" w:type="dxa"/>
            <w:tcBorders>
              <w:top w:val="nil"/>
              <w:left w:val="nil"/>
              <w:bottom w:val="nil"/>
              <w:right w:val="nil"/>
            </w:tcBorders>
            <w:vAlign w:val="bottom"/>
          </w:tcPr>
          <w:p w14:paraId="7D3A210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0.187***</w:t>
            </w:r>
          </w:p>
        </w:tc>
        <w:tc>
          <w:tcPr>
            <w:tcW w:w="1666" w:type="dxa"/>
            <w:tcBorders>
              <w:top w:val="nil"/>
              <w:left w:val="nil"/>
              <w:bottom w:val="nil"/>
              <w:right w:val="nil"/>
            </w:tcBorders>
            <w:vAlign w:val="bottom"/>
          </w:tcPr>
          <w:p w14:paraId="3A11233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-0.031</w:t>
            </w:r>
          </w:p>
        </w:tc>
      </w:tr>
      <w:tr w:rsidR="00E105C9" w:rsidRPr="00920ABD" w14:paraId="67ACF6FE" w14:textId="77777777" w:rsidTr="00E105C9">
        <w:tc>
          <w:tcPr>
            <w:tcW w:w="2268" w:type="dxa"/>
            <w:vMerge/>
            <w:tcBorders>
              <w:left w:val="nil"/>
              <w:bottom w:val="nil"/>
              <w:right w:val="nil"/>
            </w:tcBorders>
            <w:shd w:val="clear" w:color="auto" w:fill="auto"/>
            <w:noWrap/>
            <w:vAlign w:val="bottom"/>
          </w:tcPr>
          <w:p w14:paraId="4B603502"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bottom w:val="nil"/>
              <w:right w:val="nil"/>
            </w:tcBorders>
            <w:shd w:val="clear" w:color="auto" w:fill="auto"/>
            <w:noWrap/>
            <w:vAlign w:val="bottom"/>
          </w:tcPr>
          <w:p w14:paraId="44DE783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0.034</w:t>
            </w:r>
            <w:r w:rsidRPr="00920ABD">
              <w:rPr>
                <w:rFonts w:eastAsia="Times New Roman" w:cstheme="minorHAnsi"/>
                <w:bCs/>
                <w:color w:val="000000"/>
                <w:sz w:val="20"/>
                <w:szCs w:val="20"/>
                <w:lang w:val="en-US"/>
              </w:rPr>
              <w:t>)</w:t>
            </w:r>
          </w:p>
        </w:tc>
        <w:tc>
          <w:tcPr>
            <w:tcW w:w="1666" w:type="dxa"/>
            <w:tcBorders>
              <w:top w:val="nil"/>
              <w:left w:val="nil"/>
              <w:bottom w:val="nil"/>
              <w:right w:val="nil"/>
            </w:tcBorders>
            <w:shd w:val="clear" w:color="auto" w:fill="auto"/>
            <w:noWrap/>
            <w:vAlign w:val="bottom"/>
          </w:tcPr>
          <w:p w14:paraId="25B61AA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0.030</w:t>
            </w:r>
            <w:r w:rsidRPr="00920ABD">
              <w:rPr>
                <w:rFonts w:eastAsia="Times New Roman" w:cstheme="minorHAnsi"/>
                <w:bCs/>
                <w:color w:val="000000"/>
                <w:sz w:val="20"/>
                <w:szCs w:val="20"/>
                <w:lang w:val="en-US"/>
              </w:rPr>
              <w:t>)</w:t>
            </w:r>
          </w:p>
        </w:tc>
        <w:tc>
          <w:tcPr>
            <w:tcW w:w="1666" w:type="dxa"/>
            <w:tcBorders>
              <w:top w:val="nil"/>
              <w:left w:val="nil"/>
              <w:bottom w:val="nil"/>
              <w:right w:val="nil"/>
            </w:tcBorders>
            <w:vAlign w:val="bottom"/>
          </w:tcPr>
          <w:p w14:paraId="5628BE73"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0.050</w:t>
            </w:r>
            <w:r w:rsidRPr="00920ABD">
              <w:rPr>
                <w:rFonts w:cstheme="minorHAnsi"/>
                <w:bCs/>
                <w:color w:val="000000"/>
                <w:sz w:val="20"/>
                <w:szCs w:val="20"/>
              </w:rPr>
              <w:t>)</w:t>
            </w:r>
          </w:p>
        </w:tc>
        <w:tc>
          <w:tcPr>
            <w:tcW w:w="1666" w:type="dxa"/>
            <w:tcBorders>
              <w:top w:val="nil"/>
              <w:left w:val="nil"/>
              <w:bottom w:val="nil"/>
              <w:right w:val="nil"/>
            </w:tcBorders>
            <w:vAlign w:val="bottom"/>
          </w:tcPr>
          <w:p w14:paraId="741F1672"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(0.035)</w:t>
            </w:r>
          </w:p>
        </w:tc>
      </w:tr>
      <w:tr w:rsidR="00E105C9" w:rsidRPr="00920ABD" w14:paraId="242FDA95" w14:textId="77777777" w:rsidTr="00E105C9">
        <w:tc>
          <w:tcPr>
            <w:tcW w:w="2268" w:type="dxa"/>
            <w:tcBorders>
              <w:top w:val="nil"/>
              <w:left w:val="nil"/>
              <w:right w:val="nil"/>
            </w:tcBorders>
            <w:shd w:val="clear" w:color="auto" w:fill="auto"/>
            <w:noWrap/>
            <w:vAlign w:val="bottom"/>
            <w:hideMark/>
          </w:tcPr>
          <w:p w14:paraId="718C578C"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Post-secondary (college)</w:t>
            </w:r>
          </w:p>
        </w:tc>
        <w:tc>
          <w:tcPr>
            <w:tcW w:w="1665" w:type="dxa"/>
            <w:tcBorders>
              <w:top w:val="nil"/>
              <w:left w:val="nil"/>
              <w:right w:val="nil"/>
            </w:tcBorders>
            <w:shd w:val="clear" w:color="auto" w:fill="auto"/>
            <w:noWrap/>
            <w:vAlign w:val="bottom"/>
            <w:hideMark/>
          </w:tcPr>
          <w:p w14:paraId="3007779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0.325***</w:t>
            </w:r>
          </w:p>
        </w:tc>
        <w:tc>
          <w:tcPr>
            <w:tcW w:w="1666" w:type="dxa"/>
            <w:tcBorders>
              <w:top w:val="nil"/>
              <w:left w:val="nil"/>
              <w:right w:val="nil"/>
            </w:tcBorders>
            <w:shd w:val="clear" w:color="auto" w:fill="auto"/>
            <w:noWrap/>
            <w:vAlign w:val="bottom"/>
            <w:hideMark/>
          </w:tcPr>
          <w:p w14:paraId="2982CA1F"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0.189***</w:t>
            </w:r>
          </w:p>
        </w:tc>
        <w:tc>
          <w:tcPr>
            <w:tcW w:w="1666" w:type="dxa"/>
            <w:tcBorders>
              <w:top w:val="nil"/>
              <w:left w:val="nil"/>
              <w:right w:val="nil"/>
            </w:tcBorders>
            <w:vAlign w:val="bottom"/>
          </w:tcPr>
          <w:p w14:paraId="1990D5F0"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0.401***</w:t>
            </w:r>
          </w:p>
        </w:tc>
        <w:tc>
          <w:tcPr>
            <w:tcW w:w="1666" w:type="dxa"/>
            <w:tcBorders>
              <w:top w:val="nil"/>
              <w:left w:val="nil"/>
              <w:right w:val="nil"/>
            </w:tcBorders>
            <w:vAlign w:val="bottom"/>
          </w:tcPr>
          <w:p w14:paraId="646C276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0.096**</w:t>
            </w:r>
          </w:p>
        </w:tc>
      </w:tr>
      <w:tr w:rsidR="00E105C9" w:rsidRPr="00920ABD" w14:paraId="7A0E85E5" w14:textId="77777777" w:rsidTr="00E105C9">
        <w:tc>
          <w:tcPr>
            <w:tcW w:w="2268" w:type="dxa"/>
            <w:tcBorders>
              <w:top w:val="nil"/>
              <w:left w:val="nil"/>
              <w:right w:val="nil"/>
            </w:tcBorders>
            <w:shd w:val="clear" w:color="auto" w:fill="auto"/>
            <w:noWrap/>
            <w:vAlign w:val="bottom"/>
          </w:tcPr>
          <w:p w14:paraId="5AE142E5"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right w:val="nil"/>
            </w:tcBorders>
            <w:shd w:val="clear" w:color="auto" w:fill="auto"/>
            <w:noWrap/>
            <w:vAlign w:val="bottom"/>
          </w:tcPr>
          <w:p w14:paraId="0ED030F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0.033</w:t>
            </w:r>
            <w:r w:rsidRPr="00920ABD">
              <w:rPr>
                <w:rFonts w:eastAsia="Times New Roman" w:cstheme="minorHAnsi"/>
                <w:bCs/>
                <w:color w:val="000000"/>
                <w:sz w:val="20"/>
                <w:szCs w:val="20"/>
                <w:lang w:val="en-US"/>
              </w:rPr>
              <w:t>)</w:t>
            </w:r>
          </w:p>
        </w:tc>
        <w:tc>
          <w:tcPr>
            <w:tcW w:w="1666" w:type="dxa"/>
            <w:tcBorders>
              <w:top w:val="nil"/>
              <w:left w:val="nil"/>
              <w:right w:val="nil"/>
            </w:tcBorders>
            <w:shd w:val="clear" w:color="auto" w:fill="auto"/>
            <w:noWrap/>
            <w:vAlign w:val="bottom"/>
          </w:tcPr>
          <w:p w14:paraId="63F2810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0.040</w:t>
            </w:r>
            <w:r w:rsidRPr="00920ABD">
              <w:rPr>
                <w:rFonts w:eastAsia="Times New Roman" w:cstheme="minorHAnsi"/>
                <w:bCs/>
                <w:color w:val="000000"/>
                <w:sz w:val="20"/>
                <w:szCs w:val="20"/>
                <w:lang w:val="en-US"/>
              </w:rPr>
              <w:t>)</w:t>
            </w:r>
          </w:p>
        </w:tc>
        <w:tc>
          <w:tcPr>
            <w:tcW w:w="1666" w:type="dxa"/>
            <w:tcBorders>
              <w:top w:val="nil"/>
              <w:left w:val="nil"/>
              <w:right w:val="nil"/>
            </w:tcBorders>
            <w:vAlign w:val="bottom"/>
          </w:tcPr>
          <w:p w14:paraId="694C4CC5" w14:textId="77777777" w:rsidR="00E105C9" w:rsidRPr="00920ABD" w:rsidRDefault="00E105C9" w:rsidP="006D4DA3">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0.061</w:t>
            </w:r>
            <w:r w:rsidR="006D4DA3" w:rsidRPr="00920ABD">
              <w:rPr>
                <w:rFonts w:cstheme="minorHAnsi"/>
                <w:color w:val="000000"/>
                <w:sz w:val="20"/>
                <w:szCs w:val="20"/>
              </w:rPr>
              <w:t>)</w:t>
            </w:r>
          </w:p>
        </w:tc>
        <w:tc>
          <w:tcPr>
            <w:tcW w:w="1666" w:type="dxa"/>
            <w:tcBorders>
              <w:top w:val="nil"/>
              <w:left w:val="nil"/>
              <w:right w:val="nil"/>
            </w:tcBorders>
            <w:vAlign w:val="bottom"/>
          </w:tcPr>
          <w:p w14:paraId="2F2A04FF"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(0.048)</w:t>
            </w:r>
          </w:p>
        </w:tc>
      </w:tr>
      <w:tr w:rsidR="00E105C9" w:rsidRPr="00920ABD" w14:paraId="176E3277" w14:textId="77777777" w:rsidTr="00E105C9">
        <w:tc>
          <w:tcPr>
            <w:tcW w:w="2268" w:type="dxa"/>
            <w:tcBorders>
              <w:top w:val="nil"/>
              <w:left w:val="nil"/>
              <w:right w:val="nil"/>
            </w:tcBorders>
            <w:shd w:val="clear" w:color="auto" w:fill="auto"/>
            <w:noWrap/>
            <w:vAlign w:val="bottom"/>
            <w:hideMark/>
          </w:tcPr>
          <w:p w14:paraId="1A33AB8A"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Tertiary</w:t>
            </w:r>
          </w:p>
        </w:tc>
        <w:tc>
          <w:tcPr>
            <w:tcW w:w="1665" w:type="dxa"/>
            <w:tcBorders>
              <w:top w:val="nil"/>
              <w:left w:val="nil"/>
              <w:right w:val="nil"/>
            </w:tcBorders>
            <w:shd w:val="clear" w:color="auto" w:fill="auto"/>
            <w:noWrap/>
            <w:vAlign w:val="bottom"/>
            <w:hideMark/>
          </w:tcPr>
          <w:p w14:paraId="4B487EA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0.728***</w:t>
            </w:r>
          </w:p>
        </w:tc>
        <w:tc>
          <w:tcPr>
            <w:tcW w:w="1666" w:type="dxa"/>
            <w:tcBorders>
              <w:top w:val="nil"/>
              <w:left w:val="nil"/>
              <w:right w:val="nil"/>
            </w:tcBorders>
            <w:shd w:val="clear" w:color="auto" w:fill="auto"/>
            <w:noWrap/>
            <w:vAlign w:val="bottom"/>
            <w:hideMark/>
          </w:tcPr>
          <w:p w14:paraId="372FF5B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0.400***</w:t>
            </w:r>
          </w:p>
        </w:tc>
        <w:tc>
          <w:tcPr>
            <w:tcW w:w="1666" w:type="dxa"/>
            <w:tcBorders>
              <w:top w:val="nil"/>
              <w:left w:val="nil"/>
              <w:right w:val="nil"/>
            </w:tcBorders>
            <w:vAlign w:val="bottom"/>
          </w:tcPr>
          <w:p w14:paraId="45F1F23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0.602***</w:t>
            </w:r>
          </w:p>
        </w:tc>
        <w:tc>
          <w:tcPr>
            <w:tcW w:w="1666" w:type="dxa"/>
            <w:tcBorders>
              <w:top w:val="nil"/>
              <w:left w:val="nil"/>
              <w:right w:val="nil"/>
            </w:tcBorders>
            <w:vAlign w:val="bottom"/>
          </w:tcPr>
          <w:p w14:paraId="6DE5795F"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0.188***</w:t>
            </w:r>
          </w:p>
        </w:tc>
      </w:tr>
      <w:tr w:rsidR="00E105C9" w:rsidRPr="00920ABD" w14:paraId="3D49174F" w14:textId="77777777" w:rsidTr="00E105C9">
        <w:tc>
          <w:tcPr>
            <w:tcW w:w="2268" w:type="dxa"/>
            <w:tcBorders>
              <w:top w:val="nil"/>
              <w:left w:val="nil"/>
              <w:bottom w:val="single" w:sz="4" w:space="0" w:color="auto"/>
              <w:right w:val="nil"/>
            </w:tcBorders>
            <w:shd w:val="clear" w:color="auto" w:fill="auto"/>
            <w:noWrap/>
            <w:vAlign w:val="bottom"/>
          </w:tcPr>
          <w:p w14:paraId="7992C9EE"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bottom w:val="single" w:sz="4" w:space="0" w:color="auto"/>
              <w:right w:val="nil"/>
            </w:tcBorders>
            <w:shd w:val="clear" w:color="auto" w:fill="auto"/>
            <w:noWrap/>
            <w:vAlign w:val="bottom"/>
          </w:tcPr>
          <w:p w14:paraId="0F59B35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0.036</w:t>
            </w:r>
            <w:r w:rsidRPr="00920ABD">
              <w:rPr>
                <w:rFonts w:eastAsia="Times New Roman" w:cstheme="minorHAnsi"/>
                <w:bCs/>
                <w:color w:val="000000"/>
                <w:sz w:val="20"/>
                <w:szCs w:val="20"/>
                <w:lang w:val="en-US"/>
              </w:rPr>
              <w:t>)</w:t>
            </w:r>
          </w:p>
        </w:tc>
        <w:tc>
          <w:tcPr>
            <w:tcW w:w="1666" w:type="dxa"/>
            <w:tcBorders>
              <w:top w:val="nil"/>
              <w:left w:val="nil"/>
              <w:bottom w:val="single" w:sz="4" w:space="0" w:color="auto"/>
              <w:right w:val="nil"/>
            </w:tcBorders>
            <w:shd w:val="clear" w:color="auto" w:fill="auto"/>
            <w:noWrap/>
            <w:vAlign w:val="bottom"/>
          </w:tcPr>
          <w:p w14:paraId="7F41B81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0.044</w:t>
            </w:r>
            <w:r w:rsidRPr="00920ABD">
              <w:rPr>
                <w:rFonts w:eastAsia="Times New Roman" w:cstheme="minorHAnsi"/>
                <w:bCs/>
                <w:color w:val="000000"/>
                <w:sz w:val="20"/>
                <w:szCs w:val="20"/>
                <w:lang w:val="en-US"/>
              </w:rPr>
              <w:t>)</w:t>
            </w:r>
          </w:p>
        </w:tc>
        <w:tc>
          <w:tcPr>
            <w:tcW w:w="1666" w:type="dxa"/>
            <w:tcBorders>
              <w:top w:val="nil"/>
              <w:left w:val="nil"/>
              <w:bottom w:val="single" w:sz="4" w:space="0" w:color="auto"/>
              <w:right w:val="nil"/>
            </w:tcBorders>
            <w:vAlign w:val="bottom"/>
          </w:tcPr>
          <w:p w14:paraId="17403FFF"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0.048</w:t>
            </w:r>
            <w:r w:rsidRPr="00920ABD">
              <w:rPr>
                <w:rFonts w:cstheme="minorHAnsi"/>
                <w:bCs/>
                <w:color w:val="000000"/>
                <w:sz w:val="20"/>
                <w:szCs w:val="20"/>
              </w:rPr>
              <w:t>)</w:t>
            </w:r>
          </w:p>
        </w:tc>
        <w:tc>
          <w:tcPr>
            <w:tcW w:w="1666" w:type="dxa"/>
            <w:tcBorders>
              <w:top w:val="nil"/>
              <w:left w:val="nil"/>
              <w:bottom w:val="single" w:sz="4" w:space="0" w:color="auto"/>
              <w:right w:val="nil"/>
            </w:tcBorders>
            <w:vAlign w:val="bottom"/>
          </w:tcPr>
          <w:p w14:paraId="16E3D402"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(0.044)</w:t>
            </w:r>
          </w:p>
        </w:tc>
      </w:tr>
      <w:tr w:rsidR="00E105C9" w:rsidRPr="00920ABD" w14:paraId="340E18B6" w14:textId="77777777" w:rsidTr="00E105C9">
        <w:tc>
          <w:tcPr>
            <w:tcW w:w="2268" w:type="dxa"/>
            <w:tcBorders>
              <w:top w:val="single" w:sz="4" w:space="0" w:color="auto"/>
              <w:left w:val="nil"/>
              <w:right w:val="nil"/>
            </w:tcBorders>
            <w:shd w:val="clear" w:color="auto" w:fill="auto"/>
            <w:noWrap/>
            <w:vAlign w:val="bottom"/>
            <w:hideMark/>
          </w:tcPr>
          <w:p w14:paraId="38100F96"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Urban</w:t>
            </w:r>
          </w:p>
        </w:tc>
        <w:tc>
          <w:tcPr>
            <w:tcW w:w="1665" w:type="dxa"/>
            <w:tcBorders>
              <w:top w:val="single" w:sz="4" w:space="0" w:color="auto"/>
              <w:left w:val="nil"/>
              <w:right w:val="nil"/>
            </w:tcBorders>
            <w:shd w:val="clear" w:color="auto" w:fill="auto"/>
            <w:noWrap/>
            <w:vAlign w:val="bottom"/>
            <w:hideMark/>
          </w:tcPr>
          <w:p w14:paraId="5B32B7D2"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0.026</w:t>
            </w:r>
          </w:p>
        </w:tc>
        <w:tc>
          <w:tcPr>
            <w:tcW w:w="1666" w:type="dxa"/>
            <w:tcBorders>
              <w:top w:val="single" w:sz="4" w:space="0" w:color="auto"/>
              <w:left w:val="nil"/>
              <w:right w:val="nil"/>
            </w:tcBorders>
            <w:shd w:val="clear" w:color="auto" w:fill="auto"/>
            <w:noWrap/>
            <w:vAlign w:val="bottom"/>
            <w:hideMark/>
          </w:tcPr>
          <w:p w14:paraId="43C2D452"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0.019</w:t>
            </w:r>
          </w:p>
        </w:tc>
        <w:tc>
          <w:tcPr>
            <w:tcW w:w="1666" w:type="dxa"/>
            <w:tcBorders>
              <w:top w:val="single" w:sz="4" w:space="0" w:color="auto"/>
              <w:left w:val="nil"/>
              <w:right w:val="nil"/>
            </w:tcBorders>
            <w:vAlign w:val="bottom"/>
          </w:tcPr>
          <w:p w14:paraId="2458303F"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0.132***</w:t>
            </w:r>
          </w:p>
        </w:tc>
        <w:tc>
          <w:tcPr>
            <w:tcW w:w="1666" w:type="dxa"/>
            <w:tcBorders>
              <w:top w:val="single" w:sz="4" w:space="0" w:color="auto"/>
              <w:left w:val="nil"/>
              <w:right w:val="nil"/>
            </w:tcBorders>
            <w:vAlign w:val="bottom"/>
          </w:tcPr>
          <w:p w14:paraId="663FAE4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0.064**</w:t>
            </w:r>
          </w:p>
        </w:tc>
      </w:tr>
      <w:tr w:rsidR="00E105C9" w:rsidRPr="00920ABD" w14:paraId="629FC36D" w14:textId="77777777" w:rsidTr="00E105C9">
        <w:tc>
          <w:tcPr>
            <w:tcW w:w="2268" w:type="dxa"/>
            <w:tcBorders>
              <w:left w:val="nil"/>
              <w:bottom w:val="single" w:sz="4" w:space="0" w:color="auto"/>
              <w:right w:val="nil"/>
            </w:tcBorders>
            <w:shd w:val="clear" w:color="auto" w:fill="auto"/>
            <w:noWrap/>
            <w:vAlign w:val="bottom"/>
          </w:tcPr>
          <w:p w14:paraId="1BD6D111"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left w:val="nil"/>
              <w:bottom w:val="single" w:sz="4" w:space="0" w:color="auto"/>
              <w:right w:val="nil"/>
            </w:tcBorders>
            <w:shd w:val="clear" w:color="auto" w:fill="auto"/>
            <w:noWrap/>
            <w:vAlign w:val="bottom"/>
          </w:tcPr>
          <w:p w14:paraId="1B1F2F9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0.039</w:t>
            </w:r>
            <w:r w:rsidRPr="00920ABD">
              <w:rPr>
                <w:rFonts w:eastAsia="Times New Roman" w:cstheme="minorHAnsi"/>
                <w:bCs/>
                <w:color w:val="000000"/>
                <w:sz w:val="20"/>
                <w:szCs w:val="20"/>
                <w:lang w:val="en-US"/>
              </w:rPr>
              <w:t>)</w:t>
            </w:r>
          </w:p>
        </w:tc>
        <w:tc>
          <w:tcPr>
            <w:tcW w:w="1666" w:type="dxa"/>
            <w:tcBorders>
              <w:left w:val="nil"/>
              <w:bottom w:val="single" w:sz="4" w:space="0" w:color="auto"/>
              <w:right w:val="nil"/>
            </w:tcBorders>
            <w:shd w:val="clear" w:color="auto" w:fill="auto"/>
            <w:noWrap/>
            <w:vAlign w:val="bottom"/>
          </w:tcPr>
          <w:p w14:paraId="1670EF4D"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0.033</w:t>
            </w:r>
            <w:r w:rsidRPr="00920ABD">
              <w:rPr>
                <w:rFonts w:eastAsia="Times New Roman" w:cstheme="minorHAnsi"/>
                <w:bCs/>
                <w:color w:val="000000"/>
                <w:sz w:val="20"/>
                <w:szCs w:val="20"/>
                <w:lang w:val="en-US"/>
              </w:rPr>
              <w:t>)</w:t>
            </w:r>
          </w:p>
        </w:tc>
        <w:tc>
          <w:tcPr>
            <w:tcW w:w="1666" w:type="dxa"/>
            <w:tcBorders>
              <w:left w:val="nil"/>
              <w:bottom w:val="single" w:sz="4" w:space="0" w:color="auto"/>
              <w:right w:val="nil"/>
            </w:tcBorders>
            <w:vAlign w:val="bottom"/>
          </w:tcPr>
          <w:p w14:paraId="059908BC"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0.035</w:t>
            </w:r>
            <w:r w:rsidRPr="00920ABD">
              <w:rPr>
                <w:rFonts w:cstheme="minorHAnsi"/>
                <w:bCs/>
                <w:color w:val="000000"/>
                <w:sz w:val="20"/>
                <w:szCs w:val="20"/>
              </w:rPr>
              <w:t>)</w:t>
            </w:r>
          </w:p>
        </w:tc>
        <w:tc>
          <w:tcPr>
            <w:tcW w:w="1666" w:type="dxa"/>
            <w:tcBorders>
              <w:left w:val="nil"/>
              <w:bottom w:val="single" w:sz="4" w:space="0" w:color="auto"/>
              <w:right w:val="nil"/>
            </w:tcBorders>
            <w:vAlign w:val="bottom"/>
          </w:tcPr>
          <w:p w14:paraId="5AF0CAC5"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(0.031)</w:t>
            </w:r>
          </w:p>
        </w:tc>
      </w:tr>
      <w:tr w:rsidR="00E105C9" w:rsidRPr="00920ABD" w14:paraId="70C9AF92" w14:textId="77777777" w:rsidTr="00E105C9">
        <w:tc>
          <w:tcPr>
            <w:tcW w:w="2268" w:type="dxa"/>
            <w:tcBorders>
              <w:top w:val="single" w:sz="4" w:space="0" w:color="auto"/>
              <w:left w:val="nil"/>
              <w:right w:val="nil"/>
            </w:tcBorders>
            <w:shd w:val="clear" w:color="auto" w:fill="auto"/>
            <w:noWrap/>
            <w:vAlign w:val="bottom"/>
            <w:hideMark/>
          </w:tcPr>
          <w:p w14:paraId="261920F7"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North</w:t>
            </w:r>
          </w:p>
        </w:tc>
        <w:tc>
          <w:tcPr>
            <w:tcW w:w="1665" w:type="dxa"/>
            <w:tcBorders>
              <w:top w:val="single" w:sz="4" w:space="0" w:color="auto"/>
              <w:left w:val="nil"/>
              <w:right w:val="nil"/>
            </w:tcBorders>
            <w:shd w:val="clear" w:color="auto" w:fill="auto"/>
            <w:noWrap/>
            <w:vAlign w:val="bottom"/>
            <w:hideMark/>
          </w:tcPr>
          <w:p w14:paraId="2D125A9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-0.163***</w:t>
            </w:r>
          </w:p>
        </w:tc>
        <w:tc>
          <w:tcPr>
            <w:tcW w:w="1666" w:type="dxa"/>
            <w:tcBorders>
              <w:top w:val="single" w:sz="4" w:space="0" w:color="auto"/>
              <w:left w:val="nil"/>
              <w:right w:val="nil"/>
            </w:tcBorders>
            <w:shd w:val="clear" w:color="auto" w:fill="auto"/>
            <w:noWrap/>
            <w:vAlign w:val="bottom"/>
            <w:hideMark/>
          </w:tcPr>
          <w:p w14:paraId="3429B81B"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-0.126***</w:t>
            </w:r>
          </w:p>
        </w:tc>
        <w:tc>
          <w:tcPr>
            <w:tcW w:w="1666" w:type="dxa"/>
            <w:tcBorders>
              <w:top w:val="single" w:sz="4" w:space="0" w:color="auto"/>
              <w:left w:val="nil"/>
              <w:right w:val="nil"/>
            </w:tcBorders>
            <w:vAlign w:val="bottom"/>
          </w:tcPr>
          <w:p w14:paraId="3F88C39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-0.295***</w:t>
            </w:r>
          </w:p>
        </w:tc>
        <w:tc>
          <w:tcPr>
            <w:tcW w:w="1666" w:type="dxa"/>
            <w:tcBorders>
              <w:top w:val="single" w:sz="4" w:space="0" w:color="auto"/>
              <w:left w:val="nil"/>
              <w:right w:val="nil"/>
            </w:tcBorders>
            <w:vAlign w:val="bottom"/>
          </w:tcPr>
          <w:p w14:paraId="7CC370C2"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-0.208***</w:t>
            </w:r>
          </w:p>
        </w:tc>
      </w:tr>
      <w:tr w:rsidR="00E105C9" w:rsidRPr="00920ABD" w14:paraId="5712BB17" w14:textId="77777777" w:rsidTr="00E105C9">
        <w:tc>
          <w:tcPr>
            <w:tcW w:w="2268" w:type="dxa"/>
            <w:tcBorders>
              <w:left w:val="nil"/>
              <w:right w:val="nil"/>
            </w:tcBorders>
            <w:shd w:val="clear" w:color="auto" w:fill="auto"/>
            <w:noWrap/>
            <w:vAlign w:val="bottom"/>
          </w:tcPr>
          <w:p w14:paraId="04615FDD"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left w:val="nil"/>
              <w:right w:val="nil"/>
            </w:tcBorders>
            <w:shd w:val="clear" w:color="auto" w:fill="auto"/>
            <w:noWrap/>
            <w:vAlign w:val="bottom"/>
          </w:tcPr>
          <w:p w14:paraId="26A7637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0.042</w:t>
            </w:r>
            <w:r w:rsidRPr="00920ABD">
              <w:rPr>
                <w:rFonts w:eastAsia="Times New Roman" w:cstheme="minorHAnsi"/>
                <w:bCs/>
                <w:color w:val="000000"/>
                <w:sz w:val="20"/>
                <w:szCs w:val="20"/>
                <w:lang w:val="en-US"/>
              </w:rPr>
              <w:t>)</w:t>
            </w:r>
          </w:p>
        </w:tc>
        <w:tc>
          <w:tcPr>
            <w:tcW w:w="1666" w:type="dxa"/>
            <w:tcBorders>
              <w:left w:val="nil"/>
              <w:right w:val="nil"/>
            </w:tcBorders>
            <w:shd w:val="clear" w:color="auto" w:fill="auto"/>
            <w:noWrap/>
            <w:vAlign w:val="bottom"/>
          </w:tcPr>
          <w:p w14:paraId="7E9EF52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0.038</w:t>
            </w:r>
            <w:r w:rsidRPr="00920ABD">
              <w:rPr>
                <w:rFonts w:eastAsia="Times New Roman" w:cstheme="minorHAnsi"/>
                <w:bCs/>
                <w:color w:val="000000"/>
                <w:sz w:val="20"/>
                <w:szCs w:val="20"/>
                <w:lang w:val="en-US"/>
              </w:rPr>
              <w:t>)</w:t>
            </w:r>
          </w:p>
        </w:tc>
        <w:tc>
          <w:tcPr>
            <w:tcW w:w="1666" w:type="dxa"/>
            <w:tcBorders>
              <w:left w:val="nil"/>
              <w:right w:val="nil"/>
            </w:tcBorders>
            <w:vAlign w:val="bottom"/>
          </w:tcPr>
          <w:p w14:paraId="3330238D"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(0.043</w:t>
            </w:r>
            <w:r w:rsidRPr="00920ABD">
              <w:rPr>
                <w:rFonts w:cstheme="minorHAnsi"/>
                <w:bCs/>
                <w:color w:val="000000"/>
                <w:sz w:val="20"/>
                <w:szCs w:val="20"/>
              </w:rPr>
              <w:t>)</w:t>
            </w:r>
          </w:p>
        </w:tc>
        <w:tc>
          <w:tcPr>
            <w:tcW w:w="1666" w:type="dxa"/>
            <w:tcBorders>
              <w:left w:val="nil"/>
              <w:right w:val="nil"/>
            </w:tcBorders>
            <w:vAlign w:val="bottom"/>
          </w:tcPr>
          <w:p w14:paraId="58D0A33A"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(0.040)</w:t>
            </w:r>
          </w:p>
        </w:tc>
      </w:tr>
      <w:tr w:rsidR="00E105C9" w:rsidRPr="00920ABD" w14:paraId="13E1FA06" w14:textId="77777777" w:rsidTr="00E105C9">
        <w:tc>
          <w:tcPr>
            <w:tcW w:w="2268" w:type="dxa"/>
            <w:tcBorders>
              <w:left w:val="nil"/>
              <w:bottom w:val="nil"/>
              <w:right w:val="nil"/>
            </w:tcBorders>
            <w:shd w:val="clear" w:color="auto" w:fill="auto"/>
            <w:noWrap/>
            <w:vAlign w:val="bottom"/>
            <w:hideMark/>
          </w:tcPr>
          <w:p w14:paraId="04A04517"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Center</w:t>
            </w:r>
          </w:p>
        </w:tc>
        <w:tc>
          <w:tcPr>
            <w:tcW w:w="1665" w:type="dxa"/>
            <w:tcBorders>
              <w:left w:val="nil"/>
              <w:bottom w:val="nil"/>
              <w:right w:val="nil"/>
            </w:tcBorders>
            <w:shd w:val="clear" w:color="auto" w:fill="auto"/>
            <w:noWrap/>
            <w:vAlign w:val="bottom"/>
            <w:hideMark/>
          </w:tcPr>
          <w:p w14:paraId="13872DC5"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-0.102</w:t>
            </w:r>
          </w:p>
        </w:tc>
        <w:tc>
          <w:tcPr>
            <w:tcW w:w="1666" w:type="dxa"/>
            <w:tcBorders>
              <w:left w:val="nil"/>
              <w:bottom w:val="nil"/>
              <w:right w:val="nil"/>
            </w:tcBorders>
            <w:shd w:val="clear" w:color="auto" w:fill="auto"/>
            <w:noWrap/>
            <w:vAlign w:val="bottom"/>
            <w:hideMark/>
          </w:tcPr>
          <w:p w14:paraId="43F38AB3"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-0.065</w:t>
            </w:r>
          </w:p>
        </w:tc>
        <w:tc>
          <w:tcPr>
            <w:tcW w:w="1666" w:type="dxa"/>
            <w:tcBorders>
              <w:left w:val="nil"/>
              <w:bottom w:val="nil"/>
              <w:right w:val="nil"/>
            </w:tcBorders>
            <w:vAlign w:val="bottom"/>
          </w:tcPr>
          <w:p w14:paraId="711CCE5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-0.157***</w:t>
            </w:r>
          </w:p>
        </w:tc>
        <w:tc>
          <w:tcPr>
            <w:tcW w:w="1666" w:type="dxa"/>
            <w:tcBorders>
              <w:left w:val="nil"/>
              <w:bottom w:val="nil"/>
              <w:right w:val="nil"/>
            </w:tcBorders>
            <w:vAlign w:val="bottom"/>
          </w:tcPr>
          <w:p w14:paraId="7924CD39"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-0.115***</w:t>
            </w:r>
          </w:p>
        </w:tc>
      </w:tr>
      <w:tr w:rsidR="00E105C9" w:rsidRPr="00920ABD" w14:paraId="45D2E884" w14:textId="77777777" w:rsidTr="00E105C9">
        <w:tc>
          <w:tcPr>
            <w:tcW w:w="2268" w:type="dxa"/>
            <w:tcBorders>
              <w:top w:val="nil"/>
              <w:left w:val="nil"/>
              <w:bottom w:val="nil"/>
              <w:right w:val="nil"/>
            </w:tcBorders>
            <w:shd w:val="clear" w:color="auto" w:fill="auto"/>
            <w:noWrap/>
            <w:vAlign w:val="bottom"/>
          </w:tcPr>
          <w:p w14:paraId="5F416476"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bottom w:val="nil"/>
              <w:right w:val="nil"/>
            </w:tcBorders>
            <w:shd w:val="clear" w:color="auto" w:fill="auto"/>
            <w:noWrap/>
            <w:vAlign w:val="bottom"/>
          </w:tcPr>
          <w:p w14:paraId="6AB7EA1E"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0.052</w:t>
            </w:r>
            <w:r w:rsidRPr="00920ABD">
              <w:rPr>
                <w:rFonts w:eastAsia="Times New Roman" w:cstheme="minorHAnsi"/>
                <w:bCs/>
                <w:color w:val="000000"/>
                <w:sz w:val="20"/>
                <w:szCs w:val="20"/>
                <w:lang w:val="en-US"/>
              </w:rPr>
              <w:t>)</w:t>
            </w:r>
          </w:p>
        </w:tc>
        <w:tc>
          <w:tcPr>
            <w:tcW w:w="1666" w:type="dxa"/>
            <w:tcBorders>
              <w:top w:val="nil"/>
              <w:left w:val="nil"/>
              <w:bottom w:val="nil"/>
              <w:right w:val="nil"/>
            </w:tcBorders>
            <w:shd w:val="clear" w:color="auto" w:fill="auto"/>
            <w:noWrap/>
            <w:vAlign w:val="bottom"/>
          </w:tcPr>
          <w:p w14:paraId="2C9D664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0.044</w:t>
            </w:r>
            <w:r w:rsidRPr="00920ABD">
              <w:rPr>
                <w:rFonts w:eastAsia="Times New Roman" w:cstheme="minorHAnsi"/>
                <w:bCs/>
                <w:color w:val="000000"/>
                <w:sz w:val="20"/>
                <w:szCs w:val="20"/>
                <w:lang w:val="en-US"/>
              </w:rPr>
              <w:t>)</w:t>
            </w:r>
          </w:p>
        </w:tc>
        <w:tc>
          <w:tcPr>
            <w:tcW w:w="1666" w:type="dxa"/>
            <w:tcBorders>
              <w:top w:val="nil"/>
              <w:left w:val="nil"/>
              <w:bottom w:val="nil"/>
              <w:right w:val="nil"/>
            </w:tcBorders>
            <w:vAlign w:val="bottom"/>
          </w:tcPr>
          <w:p w14:paraId="2D69826B"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0.049</w:t>
            </w:r>
            <w:r w:rsidRPr="00920ABD">
              <w:rPr>
                <w:rFonts w:cstheme="minorHAnsi"/>
                <w:bCs/>
                <w:color w:val="000000"/>
                <w:sz w:val="20"/>
                <w:szCs w:val="20"/>
              </w:rPr>
              <w:t>)</w:t>
            </w:r>
          </w:p>
        </w:tc>
        <w:tc>
          <w:tcPr>
            <w:tcW w:w="1666" w:type="dxa"/>
            <w:tcBorders>
              <w:top w:val="nil"/>
              <w:left w:val="nil"/>
              <w:bottom w:val="nil"/>
              <w:right w:val="nil"/>
            </w:tcBorders>
            <w:vAlign w:val="bottom"/>
          </w:tcPr>
          <w:p w14:paraId="43BD076E"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(0.041)</w:t>
            </w:r>
          </w:p>
        </w:tc>
      </w:tr>
      <w:tr w:rsidR="00E105C9" w:rsidRPr="00920ABD" w14:paraId="6E324610" w14:textId="77777777" w:rsidTr="00E105C9">
        <w:tc>
          <w:tcPr>
            <w:tcW w:w="2268" w:type="dxa"/>
            <w:tcBorders>
              <w:top w:val="nil"/>
              <w:left w:val="nil"/>
              <w:right w:val="nil"/>
            </w:tcBorders>
            <w:shd w:val="clear" w:color="auto" w:fill="auto"/>
            <w:noWrap/>
            <w:vAlign w:val="bottom"/>
            <w:hideMark/>
          </w:tcPr>
          <w:p w14:paraId="472EFCD3"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South</w:t>
            </w:r>
          </w:p>
        </w:tc>
        <w:tc>
          <w:tcPr>
            <w:tcW w:w="1665" w:type="dxa"/>
            <w:tcBorders>
              <w:top w:val="nil"/>
              <w:left w:val="nil"/>
              <w:right w:val="nil"/>
            </w:tcBorders>
            <w:shd w:val="clear" w:color="auto" w:fill="auto"/>
            <w:noWrap/>
            <w:vAlign w:val="bottom"/>
            <w:hideMark/>
          </w:tcPr>
          <w:p w14:paraId="70A6019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-0.188***</w:t>
            </w:r>
          </w:p>
        </w:tc>
        <w:tc>
          <w:tcPr>
            <w:tcW w:w="1666" w:type="dxa"/>
            <w:tcBorders>
              <w:top w:val="nil"/>
              <w:left w:val="nil"/>
              <w:right w:val="nil"/>
            </w:tcBorders>
            <w:shd w:val="clear" w:color="auto" w:fill="auto"/>
            <w:noWrap/>
            <w:vAlign w:val="bottom"/>
            <w:hideMark/>
          </w:tcPr>
          <w:p w14:paraId="2B970C7E"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color w:val="000000"/>
                <w:sz w:val="20"/>
                <w:szCs w:val="20"/>
                <w:lang w:val="en-US"/>
              </w:rPr>
              <w:t>-0.160***</w:t>
            </w:r>
          </w:p>
        </w:tc>
        <w:tc>
          <w:tcPr>
            <w:tcW w:w="1666" w:type="dxa"/>
            <w:tcBorders>
              <w:top w:val="nil"/>
              <w:left w:val="nil"/>
              <w:right w:val="nil"/>
            </w:tcBorders>
            <w:vAlign w:val="bottom"/>
          </w:tcPr>
          <w:p w14:paraId="5CC6F824"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-0.343***</w:t>
            </w:r>
          </w:p>
        </w:tc>
        <w:tc>
          <w:tcPr>
            <w:tcW w:w="1666" w:type="dxa"/>
            <w:tcBorders>
              <w:top w:val="nil"/>
              <w:left w:val="nil"/>
              <w:right w:val="nil"/>
            </w:tcBorders>
            <w:vAlign w:val="bottom"/>
          </w:tcPr>
          <w:p w14:paraId="582A6A06"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-0.266***</w:t>
            </w:r>
          </w:p>
        </w:tc>
      </w:tr>
      <w:tr w:rsidR="00E105C9" w:rsidRPr="00920ABD" w14:paraId="03591314" w14:textId="77777777" w:rsidTr="00E105C9">
        <w:tc>
          <w:tcPr>
            <w:tcW w:w="2268" w:type="dxa"/>
            <w:tcBorders>
              <w:top w:val="nil"/>
              <w:left w:val="nil"/>
              <w:right w:val="nil"/>
            </w:tcBorders>
            <w:shd w:val="clear" w:color="auto" w:fill="auto"/>
            <w:noWrap/>
            <w:vAlign w:val="bottom"/>
          </w:tcPr>
          <w:p w14:paraId="19B6C482" w14:textId="77777777" w:rsidR="00E105C9" w:rsidRPr="00920ABD" w:rsidRDefault="00E105C9" w:rsidP="00E105C9">
            <w:pPr>
              <w:spacing w:before="0"/>
              <w:rPr>
                <w:rFonts w:eastAsia="Times New Roman" w:cstheme="minorHAnsi"/>
                <w:color w:val="000000"/>
                <w:sz w:val="20"/>
                <w:szCs w:val="20"/>
                <w:lang w:val="en-US"/>
              </w:rPr>
            </w:pPr>
          </w:p>
        </w:tc>
        <w:tc>
          <w:tcPr>
            <w:tcW w:w="1665" w:type="dxa"/>
            <w:tcBorders>
              <w:top w:val="nil"/>
              <w:left w:val="nil"/>
              <w:right w:val="nil"/>
            </w:tcBorders>
            <w:shd w:val="clear" w:color="auto" w:fill="auto"/>
            <w:noWrap/>
            <w:vAlign w:val="bottom"/>
          </w:tcPr>
          <w:p w14:paraId="139D69E6"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0.039</w:t>
            </w:r>
            <w:r w:rsidRPr="00920ABD">
              <w:rPr>
                <w:rFonts w:eastAsia="Times New Roman" w:cstheme="minorHAnsi"/>
                <w:bCs/>
                <w:color w:val="000000"/>
                <w:sz w:val="20"/>
                <w:szCs w:val="20"/>
                <w:lang w:val="en-US"/>
              </w:rPr>
              <w:t>)</w:t>
            </w:r>
          </w:p>
        </w:tc>
        <w:tc>
          <w:tcPr>
            <w:tcW w:w="1666" w:type="dxa"/>
            <w:tcBorders>
              <w:top w:val="nil"/>
              <w:left w:val="nil"/>
              <w:right w:val="nil"/>
            </w:tcBorders>
            <w:shd w:val="clear" w:color="auto" w:fill="auto"/>
            <w:noWrap/>
            <w:vAlign w:val="bottom"/>
          </w:tcPr>
          <w:p w14:paraId="18F458A6"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eastAsia="Times New Roman" w:cstheme="minorHAnsi"/>
                <w:bCs/>
                <w:color w:val="000000"/>
                <w:sz w:val="20"/>
                <w:szCs w:val="20"/>
                <w:lang w:val="en-US"/>
              </w:rPr>
              <w:t>(</w:t>
            </w:r>
            <w:r w:rsidRPr="00920ABD">
              <w:rPr>
                <w:rFonts w:eastAsia="Times New Roman" w:cstheme="minorHAnsi"/>
                <w:color w:val="000000"/>
                <w:sz w:val="20"/>
                <w:szCs w:val="20"/>
                <w:lang w:val="en-US"/>
              </w:rPr>
              <w:t>0.038</w:t>
            </w:r>
            <w:r w:rsidRPr="00920ABD">
              <w:rPr>
                <w:rFonts w:eastAsia="Times New Roman" w:cstheme="minorHAnsi"/>
                <w:bCs/>
                <w:color w:val="000000"/>
                <w:sz w:val="20"/>
                <w:szCs w:val="20"/>
                <w:lang w:val="en-US"/>
              </w:rPr>
              <w:t>)</w:t>
            </w:r>
          </w:p>
        </w:tc>
        <w:tc>
          <w:tcPr>
            <w:tcW w:w="1666" w:type="dxa"/>
            <w:tcBorders>
              <w:top w:val="nil"/>
              <w:left w:val="nil"/>
              <w:right w:val="nil"/>
            </w:tcBorders>
            <w:vAlign w:val="bottom"/>
          </w:tcPr>
          <w:p w14:paraId="70F9A5B4" w14:textId="77777777" w:rsidR="00E105C9" w:rsidRPr="00920ABD" w:rsidRDefault="00E105C9" w:rsidP="00E105C9">
            <w:pPr>
              <w:spacing w:before="0"/>
              <w:jc w:val="center"/>
              <w:rPr>
                <w:rFonts w:cstheme="minorHAnsi"/>
                <w:color w:val="000000"/>
                <w:sz w:val="20"/>
                <w:szCs w:val="20"/>
              </w:rPr>
            </w:pPr>
            <w:r w:rsidRPr="00920ABD">
              <w:rPr>
                <w:rFonts w:cstheme="minorHAnsi"/>
                <w:bCs/>
                <w:color w:val="000000"/>
                <w:sz w:val="20"/>
                <w:szCs w:val="20"/>
              </w:rPr>
              <w:t>(</w:t>
            </w:r>
            <w:r w:rsidRPr="00920ABD">
              <w:rPr>
                <w:rFonts w:cstheme="minorHAnsi"/>
                <w:color w:val="000000"/>
                <w:sz w:val="20"/>
                <w:szCs w:val="20"/>
              </w:rPr>
              <w:t>0.048</w:t>
            </w:r>
            <w:r w:rsidRPr="00920ABD">
              <w:rPr>
                <w:rFonts w:cstheme="minorHAnsi"/>
                <w:bCs/>
                <w:color w:val="000000"/>
                <w:sz w:val="20"/>
                <w:szCs w:val="20"/>
              </w:rPr>
              <w:t>)</w:t>
            </w:r>
          </w:p>
        </w:tc>
        <w:tc>
          <w:tcPr>
            <w:tcW w:w="1666" w:type="dxa"/>
            <w:tcBorders>
              <w:top w:val="nil"/>
              <w:left w:val="nil"/>
              <w:right w:val="nil"/>
            </w:tcBorders>
            <w:vAlign w:val="bottom"/>
          </w:tcPr>
          <w:p w14:paraId="3456DC95" w14:textId="77777777" w:rsidR="00E105C9" w:rsidRPr="00920ABD" w:rsidRDefault="00E105C9" w:rsidP="00E105C9">
            <w:pPr>
              <w:spacing w:before="0"/>
              <w:jc w:val="center"/>
              <w:rPr>
                <w:rFonts w:cstheme="minorHAnsi"/>
                <w:color w:val="000000"/>
                <w:sz w:val="20"/>
                <w:szCs w:val="20"/>
              </w:rPr>
            </w:pPr>
            <w:r w:rsidRPr="00920ABD">
              <w:rPr>
                <w:rFonts w:cstheme="minorHAnsi"/>
                <w:color w:val="000000"/>
                <w:sz w:val="20"/>
                <w:szCs w:val="20"/>
              </w:rPr>
              <w:t>(0.048)</w:t>
            </w:r>
          </w:p>
        </w:tc>
      </w:tr>
      <w:tr w:rsidR="00E105C9" w:rsidRPr="00920ABD" w14:paraId="47030341" w14:textId="77777777" w:rsidTr="00E105C9">
        <w:tc>
          <w:tcPr>
            <w:tcW w:w="2268" w:type="dxa"/>
            <w:tcBorders>
              <w:top w:val="nil"/>
              <w:left w:val="nil"/>
              <w:bottom w:val="single" w:sz="4" w:space="0" w:color="auto"/>
              <w:right w:val="nil"/>
            </w:tcBorders>
            <w:shd w:val="clear" w:color="auto" w:fill="auto"/>
            <w:noWrap/>
            <w:vAlign w:val="bottom"/>
          </w:tcPr>
          <w:p w14:paraId="0B3D9CAB"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Job characteristics</w:t>
            </w:r>
          </w:p>
        </w:tc>
        <w:tc>
          <w:tcPr>
            <w:tcW w:w="1665" w:type="dxa"/>
            <w:tcBorders>
              <w:top w:val="nil"/>
              <w:left w:val="nil"/>
              <w:bottom w:val="single" w:sz="4" w:space="0" w:color="auto"/>
              <w:right w:val="nil"/>
            </w:tcBorders>
            <w:shd w:val="clear" w:color="auto" w:fill="auto"/>
            <w:noWrap/>
            <w:vAlign w:val="bottom"/>
          </w:tcPr>
          <w:p w14:paraId="55AFFAA7"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color w:val="000000"/>
                <w:sz w:val="20"/>
                <w:szCs w:val="20"/>
                <w:lang w:val="en-US"/>
              </w:rPr>
              <w:t>No</w:t>
            </w:r>
          </w:p>
        </w:tc>
        <w:tc>
          <w:tcPr>
            <w:tcW w:w="1666" w:type="dxa"/>
            <w:tcBorders>
              <w:top w:val="nil"/>
              <w:left w:val="nil"/>
              <w:bottom w:val="single" w:sz="4" w:space="0" w:color="auto"/>
              <w:right w:val="nil"/>
            </w:tcBorders>
            <w:shd w:val="clear" w:color="auto" w:fill="auto"/>
            <w:noWrap/>
            <w:vAlign w:val="bottom"/>
          </w:tcPr>
          <w:p w14:paraId="5B2FAACA" w14:textId="77777777" w:rsidR="00E105C9" w:rsidRPr="00920ABD" w:rsidRDefault="00E105C9" w:rsidP="00E105C9">
            <w:pPr>
              <w:spacing w:before="0"/>
              <w:jc w:val="center"/>
              <w:rPr>
                <w:rFonts w:eastAsia="Times New Roman" w:cstheme="minorHAnsi"/>
                <w:bCs/>
                <w:color w:val="000000"/>
                <w:sz w:val="20"/>
                <w:szCs w:val="20"/>
                <w:lang w:val="en-US"/>
              </w:rPr>
            </w:pPr>
            <w:r w:rsidRPr="00920ABD">
              <w:rPr>
                <w:rFonts w:eastAsia="Times New Roman" w:cstheme="minorHAnsi"/>
                <w:color w:val="000000"/>
                <w:sz w:val="20"/>
                <w:szCs w:val="20"/>
                <w:lang w:val="en-US"/>
              </w:rPr>
              <w:t>Yes</w:t>
            </w:r>
          </w:p>
        </w:tc>
        <w:tc>
          <w:tcPr>
            <w:tcW w:w="1666" w:type="dxa"/>
            <w:tcBorders>
              <w:top w:val="nil"/>
              <w:left w:val="nil"/>
              <w:bottom w:val="single" w:sz="4" w:space="0" w:color="auto"/>
              <w:right w:val="nil"/>
            </w:tcBorders>
            <w:vAlign w:val="bottom"/>
          </w:tcPr>
          <w:p w14:paraId="4EB7E438" w14:textId="77777777" w:rsidR="00E105C9" w:rsidRPr="00920ABD" w:rsidRDefault="00E105C9" w:rsidP="00E105C9">
            <w:pPr>
              <w:spacing w:before="0"/>
              <w:jc w:val="center"/>
              <w:rPr>
                <w:rFonts w:cstheme="minorHAnsi"/>
                <w:bCs/>
                <w:color w:val="000000"/>
                <w:sz w:val="20"/>
                <w:szCs w:val="20"/>
              </w:rPr>
            </w:pPr>
            <w:r w:rsidRPr="00920ABD">
              <w:rPr>
                <w:rFonts w:eastAsia="Times New Roman" w:cstheme="minorHAnsi"/>
                <w:color w:val="000000"/>
                <w:sz w:val="20"/>
                <w:szCs w:val="20"/>
                <w:lang w:val="en-US"/>
              </w:rPr>
              <w:t>No</w:t>
            </w:r>
          </w:p>
        </w:tc>
        <w:tc>
          <w:tcPr>
            <w:tcW w:w="1666" w:type="dxa"/>
            <w:tcBorders>
              <w:top w:val="nil"/>
              <w:left w:val="nil"/>
              <w:bottom w:val="single" w:sz="4" w:space="0" w:color="auto"/>
              <w:right w:val="nil"/>
            </w:tcBorders>
            <w:vAlign w:val="bottom"/>
          </w:tcPr>
          <w:p w14:paraId="7FBB1434" w14:textId="77777777" w:rsidR="00E105C9" w:rsidRPr="00920ABD" w:rsidRDefault="00E105C9" w:rsidP="00E105C9">
            <w:pPr>
              <w:spacing w:before="0"/>
              <w:jc w:val="center"/>
              <w:rPr>
                <w:rFonts w:cstheme="minorHAnsi"/>
                <w:color w:val="000000"/>
                <w:sz w:val="20"/>
                <w:szCs w:val="20"/>
              </w:rPr>
            </w:pPr>
            <w:r w:rsidRPr="00920ABD">
              <w:rPr>
                <w:rFonts w:eastAsia="Times New Roman" w:cstheme="minorHAnsi"/>
                <w:color w:val="000000"/>
                <w:sz w:val="20"/>
                <w:szCs w:val="20"/>
                <w:lang w:val="en-US"/>
              </w:rPr>
              <w:t>Yes</w:t>
            </w:r>
          </w:p>
        </w:tc>
      </w:tr>
      <w:tr w:rsidR="00E105C9" w:rsidRPr="00920ABD" w14:paraId="6072AC2A" w14:textId="77777777" w:rsidTr="00E105C9">
        <w:tc>
          <w:tcPr>
            <w:tcW w:w="2268" w:type="dxa"/>
            <w:tcBorders>
              <w:top w:val="nil"/>
              <w:left w:val="nil"/>
              <w:right w:val="nil"/>
            </w:tcBorders>
            <w:shd w:val="clear" w:color="auto" w:fill="auto"/>
            <w:noWrap/>
            <w:vAlign w:val="bottom"/>
          </w:tcPr>
          <w:p w14:paraId="59A0B1E6"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N</w:t>
            </w:r>
          </w:p>
        </w:tc>
        <w:tc>
          <w:tcPr>
            <w:tcW w:w="1665" w:type="dxa"/>
            <w:tcBorders>
              <w:top w:val="nil"/>
              <w:left w:val="nil"/>
              <w:right w:val="nil"/>
            </w:tcBorders>
            <w:shd w:val="clear" w:color="auto" w:fill="auto"/>
            <w:noWrap/>
            <w:vAlign w:val="bottom"/>
          </w:tcPr>
          <w:p w14:paraId="04D5A3DE"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4258</w:t>
            </w:r>
          </w:p>
        </w:tc>
        <w:tc>
          <w:tcPr>
            <w:tcW w:w="1666" w:type="dxa"/>
            <w:tcBorders>
              <w:top w:val="nil"/>
              <w:left w:val="nil"/>
              <w:right w:val="nil"/>
            </w:tcBorders>
            <w:shd w:val="clear" w:color="auto" w:fill="auto"/>
            <w:noWrap/>
            <w:vAlign w:val="bottom"/>
          </w:tcPr>
          <w:p w14:paraId="12FC30ED"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4224</w:t>
            </w:r>
          </w:p>
        </w:tc>
        <w:tc>
          <w:tcPr>
            <w:tcW w:w="1666" w:type="dxa"/>
            <w:tcBorders>
              <w:top w:val="nil"/>
              <w:left w:val="nil"/>
              <w:right w:val="nil"/>
            </w:tcBorders>
            <w:vAlign w:val="bottom"/>
          </w:tcPr>
          <w:p w14:paraId="6FEDAD3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3361</w:t>
            </w:r>
          </w:p>
        </w:tc>
        <w:tc>
          <w:tcPr>
            <w:tcW w:w="1666" w:type="dxa"/>
            <w:tcBorders>
              <w:top w:val="nil"/>
              <w:left w:val="nil"/>
              <w:right w:val="nil"/>
            </w:tcBorders>
            <w:vAlign w:val="bottom"/>
          </w:tcPr>
          <w:p w14:paraId="0C1A1A61"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3286</w:t>
            </w:r>
          </w:p>
        </w:tc>
      </w:tr>
      <w:tr w:rsidR="00E105C9" w:rsidRPr="00920ABD" w14:paraId="08BEBB3E" w14:textId="77777777" w:rsidTr="00E105C9">
        <w:tc>
          <w:tcPr>
            <w:tcW w:w="2268" w:type="dxa"/>
            <w:tcBorders>
              <w:left w:val="nil"/>
              <w:bottom w:val="single" w:sz="4" w:space="0" w:color="auto"/>
              <w:right w:val="nil"/>
            </w:tcBorders>
            <w:shd w:val="clear" w:color="auto" w:fill="auto"/>
            <w:noWrap/>
            <w:vAlign w:val="bottom"/>
          </w:tcPr>
          <w:p w14:paraId="2A43B88D" w14:textId="77777777" w:rsidR="00E105C9" w:rsidRPr="00920ABD" w:rsidRDefault="00E105C9" w:rsidP="00E105C9">
            <w:pPr>
              <w:spacing w:before="0"/>
              <w:rPr>
                <w:rFonts w:eastAsia="Times New Roman" w:cstheme="minorHAnsi"/>
                <w:color w:val="000000"/>
                <w:sz w:val="20"/>
                <w:szCs w:val="20"/>
                <w:lang w:val="en-US"/>
              </w:rPr>
            </w:pPr>
            <w:r w:rsidRPr="00920ABD">
              <w:rPr>
                <w:rFonts w:eastAsia="Times New Roman" w:cstheme="minorHAnsi"/>
                <w:color w:val="000000"/>
                <w:sz w:val="20"/>
                <w:szCs w:val="20"/>
                <w:lang w:val="en-US"/>
              </w:rPr>
              <w:t>R</w:t>
            </w:r>
            <w:r w:rsidRPr="00920ABD">
              <w:rPr>
                <w:rFonts w:eastAsia="Times New Roman" w:cstheme="minorHAnsi"/>
                <w:color w:val="000000"/>
                <w:sz w:val="20"/>
                <w:szCs w:val="20"/>
                <w:vertAlign w:val="superscript"/>
                <w:lang w:val="en-US"/>
              </w:rPr>
              <w:t>2</w:t>
            </w:r>
          </w:p>
        </w:tc>
        <w:tc>
          <w:tcPr>
            <w:tcW w:w="1665" w:type="dxa"/>
            <w:tcBorders>
              <w:left w:val="nil"/>
              <w:bottom w:val="single" w:sz="4" w:space="0" w:color="auto"/>
              <w:right w:val="nil"/>
            </w:tcBorders>
            <w:shd w:val="clear" w:color="auto" w:fill="auto"/>
            <w:noWrap/>
            <w:vAlign w:val="bottom"/>
          </w:tcPr>
          <w:p w14:paraId="030BC54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0.3439</w:t>
            </w:r>
          </w:p>
        </w:tc>
        <w:tc>
          <w:tcPr>
            <w:tcW w:w="1666" w:type="dxa"/>
            <w:tcBorders>
              <w:left w:val="nil"/>
              <w:bottom w:val="single" w:sz="4" w:space="0" w:color="auto"/>
              <w:right w:val="nil"/>
            </w:tcBorders>
            <w:shd w:val="clear" w:color="auto" w:fill="auto"/>
            <w:noWrap/>
            <w:vAlign w:val="bottom"/>
          </w:tcPr>
          <w:p w14:paraId="759BF647"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0.4936</w:t>
            </w:r>
          </w:p>
        </w:tc>
        <w:tc>
          <w:tcPr>
            <w:tcW w:w="1666" w:type="dxa"/>
            <w:tcBorders>
              <w:left w:val="nil"/>
              <w:bottom w:val="single" w:sz="4" w:space="0" w:color="auto"/>
              <w:right w:val="nil"/>
            </w:tcBorders>
            <w:vAlign w:val="bottom"/>
          </w:tcPr>
          <w:p w14:paraId="7B43F88E"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0.3071</w:t>
            </w:r>
          </w:p>
        </w:tc>
        <w:tc>
          <w:tcPr>
            <w:tcW w:w="1666" w:type="dxa"/>
            <w:tcBorders>
              <w:left w:val="nil"/>
              <w:bottom w:val="single" w:sz="4" w:space="0" w:color="auto"/>
              <w:right w:val="nil"/>
            </w:tcBorders>
            <w:vAlign w:val="bottom"/>
          </w:tcPr>
          <w:p w14:paraId="79A34C9A" w14:textId="77777777" w:rsidR="00E105C9" w:rsidRPr="00920ABD" w:rsidRDefault="00E105C9" w:rsidP="00E105C9">
            <w:pPr>
              <w:spacing w:before="0"/>
              <w:jc w:val="center"/>
              <w:rPr>
                <w:rFonts w:eastAsia="Times New Roman" w:cstheme="minorHAnsi"/>
                <w:color w:val="000000"/>
                <w:sz w:val="20"/>
                <w:szCs w:val="20"/>
                <w:lang w:val="en-US"/>
              </w:rPr>
            </w:pPr>
            <w:r w:rsidRPr="00920ABD">
              <w:rPr>
                <w:rFonts w:cstheme="minorHAnsi"/>
                <w:color w:val="000000"/>
                <w:sz w:val="20"/>
                <w:szCs w:val="20"/>
              </w:rPr>
              <w:t>0.4746</w:t>
            </w:r>
          </w:p>
        </w:tc>
      </w:tr>
    </w:tbl>
    <w:p w14:paraId="1821E06A" w14:textId="77777777" w:rsidR="00A1684B" w:rsidRDefault="00A1684B" w:rsidP="00A40375">
      <w:pPr>
        <w:jc w:val="both"/>
        <w:rPr>
          <w:i/>
          <w:sz w:val="20"/>
          <w:szCs w:val="20"/>
          <w:lang w:val="en-US"/>
        </w:rPr>
      </w:pPr>
      <w:r w:rsidRPr="00920ABD">
        <w:rPr>
          <w:i/>
          <w:sz w:val="20"/>
          <w:szCs w:val="20"/>
          <w:lang w:val="en-US"/>
        </w:rPr>
        <w:lastRenderedPageBreak/>
        <w:t xml:space="preserve">Note: Dependent variable is the logarithm of hourly net wage. </w:t>
      </w:r>
      <w:r w:rsidRPr="00920ABD">
        <w:rPr>
          <w:rFonts w:cstheme="minorHAnsi"/>
          <w:i/>
          <w:sz w:val="20"/>
          <w:szCs w:val="20"/>
          <w:lang w:val="en-US"/>
        </w:rPr>
        <w:t xml:space="preserve">*** </w:t>
      </w:r>
      <w:proofErr w:type="gramStart"/>
      <w:r w:rsidRPr="00920ABD">
        <w:rPr>
          <w:rFonts w:cstheme="minorHAnsi"/>
          <w:i/>
          <w:sz w:val="20"/>
          <w:szCs w:val="20"/>
          <w:lang w:val="en-US"/>
        </w:rPr>
        <w:t>significant</w:t>
      </w:r>
      <w:proofErr w:type="gramEnd"/>
      <w:r w:rsidRPr="00920ABD">
        <w:rPr>
          <w:rFonts w:cstheme="minorHAnsi"/>
          <w:i/>
          <w:sz w:val="20"/>
          <w:szCs w:val="20"/>
          <w:lang w:val="en-US"/>
        </w:rPr>
        <w:t xml:space="preserve"> at 1%, ** significant at 5%, * significant at 10%. </w:t>
      </w:r>
      <w:r w:rsidR="003B0508" w:rsidRPr="00920ABD">
        <w:rPr>
          <w:rFonts w:cstheme="minorHAnsi"/>
          <w:i/>
          <w:sz w:val="20"/>
          <w:szCs w:val="20"/>
          <w:lang w:val="en-US"/>
        </w:rPr>
        <w:t xml:space="preserve">Standard errors in parentheses. </w:t>
      </w:r>
      <w:r w:rsidRPr="00920ABD">
        <w:rPr>
          <w:rFonts w:cstheme="minorHAnsi"/>
          <w:i/>
          <w:sz w:val="20"/>
          <w:szCs w:val="20"/>
          <w:lang w:val="en-US"/>
        </w:rPr>
        <w:t>Estimated using Oa</w:t>
      </w:r>
      <w:r w:rsidR="00D33D77" w:rsidRPr="00920ABD">
        <w:rPr>
          <w:rFonts w:cstheme="minorHAnsi"/>
          <w:i/>
          <w:sz w:val="20"/>
          <w:szCs w:val="20"/>
          <w:lang w:val="en-US"/>
        </w:rPr>
        <w:t xml:space="preserve">xaca command with </w:t>
      </w:r>
      <w:proofErr w:type="gramStart"/>
      <w:r w:rsidR="00D33D77" w:rsidRPr="00920ABD">
        <w:rPr>
          <w:rFonts w:cstheme="minorHAnsi"/>
          <w:i/>
          <w:sz w:val="20"/>
          <w:szCs w:val="20"/>
          <w:lang w:val="en-US"/>
        </w:rPr>
        <w:t>an</w:t>
      </w:r>
      <w:proofErr w:type="gramEnd"/>
      <w:r w:rsidR="00D33D77" w:rsidRPr="00920ABD">
        <w:rPr>
          <w:rFonts w:cstheme="minorHAnsi"/>
          <w:i/>
          <w:sz w:val="20"/>
          <w:szCs w:val="20"/>
          <w:lang w:val="en-US"/>
        </w:rPr>
        <w:t xml:space="preserve"> </w:t>
      </w:r>
      <w:proofErr w:type="spellStart"/>
      <w:r w:rsidR="00D33D77" w:rsidRPr="00920ABD">
        <w:rPr>
          <w:rFonts w:cstheme="minorHAnsi"/>
          <w:i/>
          <w:sz w:val="20"/>
          <w:szCs w:val="20"/>
          <w:lang w:val="en-US"/>
        </w:rPr>
        <w:t>svy</w:t>
      </w:r>
      <w:proofErr w:type="spellEnd"/>
      <w:r w:rsidR="00D33D77" w:rsidRPr="00920ABD">
        <w:rPr>
          <w:rFonts w:cstheme="minorHAnsi"/>
          <w:i/>
          <w:sz w:val="20"/>
          <w:szCs w:val="20"/>
          <w:lang w:val="en-US"/>
        </w:rPr>
        <w:t xml:space="preserve"> option (the same as for Table 6). </w:t>
      </w:r>
      <w:r w:rsidR="00132F73" w:rsidRPr="00920ABD">
        <w:rPr>
          <w:i/>
          <w:sz w:val="20"/>
          <w:szCs w:val="20"/>
          <w:lang w:val="en-US"/>
        </w:rPr>
        <w:t>Reference categories: No children under 15 years; Single; Lower secondary education and</w:t>
      </w:r>
      <w:r w:rsidR="00132F73" w:rsidRPr="004A792A">
        <w:rPr>
          <w:i/>
          <w:sz w:val="20"/>
          <w:szCs w:val="20"/>
          <w:lang w:val="en-US"/>
        </w:rPr>
        <w:t xml:space="preserve"> less; Rural; Chisinau municipality.</w:t>
      </w:r>
      <w:r w:rsidR="007A130F">
        <w:rPr>
          <w:i/>
          <w:sz w:val="20"/>
          <w:szCs w:val="20"/>
          <w:lang w:val="en-US"/>
        </w:rPr>
        <w:t xml:space="preserve"> Job characteristics include dumm</w:t>
      </w:r>
      <w:r w:rsidR="00E105C9">
        <w:rPr>
          <w:i/>
          <w:sz w:val="20"/>
          <w:szCs w:val="20"/>
          <w:lang w:val="en-US"/>
        </w:rPr>
        <w:t xml:space="preserve">y variables </w:t>
      </w:r>
      <w:r w:rsidR="007A130F">
        <w:rPr>
          <w:i/>
          <w:sz w:val="20"/>
          <w:szCs w:val="20"/>
          <w:lang w:val="en-US"/>
        </w:rPr>
        <w:t xml:space="preserve">for sector, occupation, part-time employment, firm size and </w:t>
      </w:r>
      <w:r w:rsidR="00E105C9">
        <w:rPr>
          <w:i/>
          <w:sz w:val="20"/>
          <w:szCs w:val="20"/>
          <w:lang w:val="en-US"/>
        </w:rPr>
        <w:t xml:space="preserve">public-private sector </w:t>
      </w:r>
      <w:r w:rsidR="007A130F">
        <w:rPr>
          <w:i/>
          <w:sz w:val="20"/>
          <w:szCs w:val="20"/>
          <w:lang w:val="en-US"/>
        </w:rPr>
        <w:t>interacted with informal employment.</w:t>
      </w:r>
    </w:p>
    <w:p w14:paraId="66AB0066" w14:textId="4F7F90A8" w:rsidR="006036A0" w:rsidRPr="004A792A" w:rsidRDefault="00853E3A" w:rsidP="006036A0">
      <w:pPr>
        <w:pStyle w:val="61"/>
        <w:shd w:val="clear" w:color="auto" w:fill="auto"/>
        <w:spacing w:before="120" w:line="240" w:lineRule="auto"/>
        <w:jc w:val="both"/>
        <w:rPr>
          <w:sz w:val="22"/>
          <w:szCs w:val="22"/>
        </w:rPr>
      </w:pPr>
      <w:r w:rsidRPr="00FA6CF8">
        <w:rPr>
          <w:b/>
          <w:sz w:val="22"/>
          <w:szCs w:val="22"/>
        </w:rPr>
        <w:t>M</w:t>
      </w:r>
      <w:r w:rsidR="006036A0" w:rsidRPr="00FA6CF8">
        <w:rPr>
          <w:b/>
          <w:sz w:val="22"/>
          <w:szCs w:val="22"/>
        </w:rPr>
        <w:t>en</w:t>
      </w:r>
      <w:r>
        <w:rPr>
          <w:b/>
          <w:sz w:val="22"/>
          <w:szCs w:val="22"/>
        </w:rPr>
        <w:t>, on the contrary, are likely to</w:t>
      </w:r>
      <w:r w:rsidR="006036A0" w:rsidRPr="00FA6CF8">
        <w:rPr>
          <w:b/>
          <w:sz w:val="22"/>
          <w:szCs w:val="22"/>
        </w:rPr>
        <w:t xml:space="preserve"> get </w:t>
      </w:r>
      <w:r w:rsidR="00002B22" w:rsidRPr="00FA6CF8">
        <w:rPr>
          <w:b/>
          <w:sz w:val="22"/>
          <w:szCs w:val="22"/>
        </w:rPr>
        <w:t xml:space="preserve">the </w:t>
      </w:r>
      <w:r w:rsidR="006036A0" w:rsidRPr="00FA6CF8">
        <w:rPr>
          <w:b/>
          <w:sz w:val="22"/>
          <w:szCs w:val="22"/>
        </w:rPr>
        <w:t>so</w:t>
      </w:r>
      <w:r w:rsidR="00002B22" w:rsidRPr="00FA6CF8">
        <w:rPr>
          <w:b/>
          <w:sz w:val="22"/>
          <w:szCs w:val="22"/>
        </w:rPr>
        <w:t>-</w:t>
      </w:r>
      <w:r w:rsidR="006036A0" w:rsidRPr="00FA6CF8">
        <w:rPr>
          <w:b/>
          <w:sz w:val="22"/>
          <w:szCs w:val="22"/>
        </w:rPr>
        <w:t xml:space="preserve">called </w:t>
      </w:r>
      <w:r w:rsidR="00CB4643" w:rsidRPr="00FA6CF8">
        <w:rPr>
          <w:b/>
          <w:sz w:val="22"/>
          <w:szCs w:val="22"/>
        </w:rPr>
        <w:t>fatherhood bonus</w:t>
      </w:r>
      <w:r w:rsidR="006036A0" w:rsidRPr="00FA6CF8">
        <w:rPr>
          <w:b/>
          <w:sz w:val="22"/>
          <w:szCs w:val="22"/>
        </w:rPr>
        <w:t xml:space="preserve"> if they have 1 or 2 children under 15 years but this effect becomes insignificant when job characteristics are included</w:t>
      </w:r>
      <w:r w:rsidR="006036A0" w:rsidRPr="00920ABD">
        <w:rPr>
          <w:sz w:val="22"/>
          <w:szCs w:val="22"/>
        </w:rPr>
        <w:t xml:space="preserve"> (full specification). </w:t>
      </w:r>
      <w:r w:rsidR="007707F3">
        <w:rPr>
          <w:sz w:val="22"/>
          <w:szCs w:val="22"/>
        </w:rPr>
        <w:t xml:space="preserve">At the same time, </w:t>
      </w:r>
      <w:r w:rsidR="006036A0" w:rsidRPr="00920ABD">
        <w:rPr>
          <w:sz w:val="22"/>
          <w:szCs w:val="22"/>
        </w:rPr>
        <w:t>men with 3 and more children under 15 years are likely to face a wage penalty of over 20 percent</w:t>
      </w:r>
      <w:r w:rsidR="007707F3">
        <w:rPr>
          <w:sz w:val="22"/>
          <w:szCs w:val="22"/>
        </w:rPr>
        <w:t>,</w:t>
      </w:r>
      <w:r w:rsidR="007707F3" w:rsidRPr="007707F3">
        <w:rPr>
          <w:sz w:val="22"/>
          <w:szCs w:val="22"/>
        </w:rPr>
        <w:t xml:space="preserve"> </w:t>
      </w:r>
      <w:r w:rsidR="007707F3">
        <w:rPr>
          <w:sz w:val="22"/>
          <w:szCs w:val="22"/>
        </w:rPr>
        <w:t>a</w:t>
      </w:r>
      <w:r w:rsidR="007707F3" w:rsidRPr="00920ABD">
        <w:rPr>
          <w:sz w:val="22"/>
          <w:szCs w:val="22"/>
        </w:rPr>
        <w:t>fter controlling for job characteristics in the extended model</w:t>
      </w:r>
      <w:r w:rsidR="00CC5C52">
        <w:rPr>
          <w:sz w:val="22"/>
          <w:szCs w:val="22"/>
        </w:rPr>
        <w:t xml:space="preserve">. However, </w:t>
      </w:r>
      <w:r w:rsidR="00054FAC" w:rsidRPr="00920ABD">
        <w:rPr>
          <w:sz w:val="22"/>
          <w:szCs w:val="22"/>
        </w:rPr>
        <w:t>th</w:t>
      </w:r>
      <w:r w:rsidR="00CC5C52">
        <w:rPr>
          <w:sz w:val="22"/>
          <w:szCs w:val="22"/>
        </w:rPr>
        <w:t xml:space="preserve">e latter </w:t>
      </w:r>
      <w:r w:rsidR="00054FAC" w:rsidRPr="00920ABD">
        <w:rPr>
          <w:sz w:val="22"/>
          <w:szCs w:val="22"/>
        </w:rPr>
        <w:t xml:space="preserve">effect is </w:t>
      </w:r>
      <w:r w:rsidR="007707F3">
        <w:rPr>
          <w:sz w:val="22"/>
          <w:szCs w:val="22"/>
        </w:rPr>
        <w:t xml:space="preserve">only </w:t>
      </w:r>
      <w:r w:rsidR="00054FAC" w:rsidRPr="00920ABD">
        <w:rPr>
          <w:sz w:val="22"/>
          <w:szCs w:val="22"/>
        </w:rPr>
        <w:t>marginally significant</w:t>
      </w:r>
      <w:r w:rsidR="00002B22">
        <w:rPr>
          <w:sz w:val="22"/>
          <w:szCs w:val="22"/>
        </w:rPr>
        <w:t>,</w:t>
      </w:r>
      <w:r w:rsidR="00920ABD">
        <w:rPr>
          <w:sz w:val="22"/>
          <w:szCs w:val="22"/>
        </w:rPr>
        <w:t xml:space="preserve"> and the number of such men is too small</w:t>
      </w:r>
      <w:r w:rsidR="007707F3">
        <w:rPr>
          <w:sz w:val="22"/>
          <w:szCs w:val="22"/>
        </w:rPr>
        <w:t xml:space="preserve"> among employees</w:t>
      </w:r>
      <w:r w:rsidR="007707F3" w:rsidRPr="00920ABD">
        <w:rPr>
          <w:rStyle w:val="af9"/>
          <w:sz w:val="22"/>
          <w:szCs w:val="22"/>
        </w:rPr>
        <w:footnoteReference w:id="28"/>
      </w:r>
      <w:r w:rsidR="007707F3">
        <w:rPr>
          <w:sz w:val="22"/>
          <w:szCs w:val="22"/>
        </w:rPr>
        <w:t xml:space="preserve"> to draw strong conclusions about the negative impact of 3 and more children per se on fathers’ wages</w:t>
      </w:r>
      <w:r w:rsidR="006036A0" w:rsidRPr="00920ABD">
        <w:rPr>
          <w:sz w:val="22"/>
          <w:szCs w:val="22"/>
        </w:rPr>
        <w:t>.</w:t>
      </w:r>
    </w:p>
    <w:p w14:paraId="493B243E" w14:textId="20468ADC" w:rsidR="00EC4BC6" w:rsidRPr="004A792A" w:rsidRDefault="00EC4BC6" w:rsidP="00EC4BC6">
      <w:pPr>
        <w:pStyle w:val="Headingoverview"/>
        <w:rPr>
          <w:color w:val="0070C0"/>
        </w:rPr>
      </w:pPr>
      <w:bookmarkStart w:id="93" w:name="_Toc533211743"/>
      <w:r w:rsidRPr="004A792A">
        <w:rPr>
          <w:color w:val="0070C0"/>
        </w:rPr>
        <w:lastRenderedPageBreak/>
        <w:t xml:space="preserve">5. </w:t>
      </w:r>
      <w:r w:rsidR="00D668F4" w:rsidRPr="000D5EE0">
        <w:rPr>
          <w:color w:val="0070C0"/>
        </w:rPr>
        <w:t xml:space="preserve">Gender differences in </w:t>
      </w:r>
      <w:r w:rsidR="00EB5013" w:rsidRPr="000D5EE0">
        <w:rPr>
          <w:color w:val="0070C0"/>
        </w:rPr>
        <w:t xml:space="preserve">desired job characteristics </w:t>
      </w:r>
      <w:r w:rsidR="00D668F4" w:rsidRPr="000D5EE0">
        <w:rPr>
          <w:color w:val="0070C0"/>
        </w:rPr>
        <w:t xml:space="preserve">and </w:t>
      </w:r>
      <w:r w:rsidR="00EB5013" w:rsidRPr="000D5EE0">
        <w:rPr>
          <w:color w:val="0070C0"/>
        </w:rPr>
        <w:t>salary expectations</w:t>
      </w:r>
      <w:r w:rsidR="00D668F4" w:rsidRPr="000D5EE0">
        <w:rPr>
          <w:color w:val="0070C0"/>
        </w:rPr>
        <w:t>: Analysis of scraped job seeker profiles</w:t>
      </w:r>
      <w:r w:rsidR="000C1E34">
        <w:rPr>
          <w:rStyle w:val="af9"/>
          <w:color w:val="0070C0"/>
        </w:rPr>
        <w:footnoteReference w:id="29"/>
      </w:r>
      <w:bookmarkEnd w:id="93"/>
    </w:p>
    <w:p w14:paraId="45B891CF" w14:textId="77777777" w:rsidR="00D668F4" w:rsidRPr="004A792A" w:rsidRDefault="00D668F4" w:rsidP="00D668F4">
      <w:pPr>
        <w:pStyle w:val="2"/>
        <w:numPr>
          <w:ilvl w:val="0"/>
          <w:numId w:val="0"/>
        </w:numPr>
        <w:spacing w:before="360"/>
        <w:rPr>
          <w:color w:val="0070C0"/>
          <w:sz w:val="32"/>
          <w:szCs w:val="32"/>
        </w:rPr>
      </w:pPr>
      <w:bookmarkStart w:id="94" w:name="_Toc520810650"/>
      <w:bookmarkStart w:id="95" w:name="_Toc533211744"/>
      <w:r w:rsidRPr="004A792A">
        <w:rPr>
          <w:color w:val="0070C0"/>
          <w:sz w:val="32"/>
          <w:szCs w:val="32"/>
        </w:rPr>
        <w:t>5.1. Socio-demographic characteristics of online job seekers</w:t>
      </w:r>
      <w:bookmarkEnd w:id="94"/>
      <w:bookmarkEnd w:id="95"/>
    </w:p>
    <w:p w14:paraId="43BA74CC" w14:textId="1C2C0E0A" w:rsidR="0088139A" w:rsidRPr="004A792A" w:rsidRDefault="0088139A" w:rsidP="000C1E34">
      <w:pPr>
        <w:spacing w:before="0" w:after="120"/>
        <w:jc w:val="both"/>
        <w:rPr>
          <w:lang w:val="en-US" w:eastAsia="en-CA"/>
        </w:rPr>
      </w:pPr>
      <w:r w:rsidRPr="00CD5F0B">
        <w:rPr>
          <w:b/>
          <w:color w:val="000000"/>
        </w:rPr>
        <w:t xml:space="preserve">To explore whether observed gender differences are shaped by different </w:t>
      </w:r>
      <w:proofErr w:type="spellStart"/>
      <w:r w:rsidRPr="00CD5F0B">
        <w:rPr>
          <w:b/>
          <w:color w:val="000000"/>
        </w:rPr>
        <w:t>labor</w:t>
      </w:r>
      <w:proofErr w:type="spellEnd"/>
      <w:r w:rsidRPr="00CD5F0B">
        <w:rPr>
          <w:b/>
          <w:color w:val="000000"/>
        </w:rPr>
        <w:t xml:space="preserve"> market aspirations and expectations, additional analysis was carried out based on information from resumes posted during January-June 2018 at one of the largest online job search portals in Moldova</w:t>
      </w:r>
      <w:r>
        <w:rPr>
          <w:color w:val="000000"/>
        </w:rPr>
        <w:t>. Resumes from female job candidates account for 40 percent of all resumes in the dataset. R</w:t>
      </w:r>
      <w:r w:rsidRPr="00FF3944">
        <w:rPr>
          <w:color w:val="000000"/>
        </w:rPr>
        <w:t>oughly four in five resumes</w:t>
      </w:r>
      <w:r>
        <w:rPr>
          <w:color w:val="000000"/>
        </w:rPr>
        <w:t xml:space="preserve"> come from t</w:t>
      </w:r>
      <w:r w:rsidRPr="00FF3944">
        <w:rPr>
          <w:color w:val="000000"/>
        </w:rPr>
        <w:t>he residents of two largest cities of Moldova</w:t>
      </w:r>
      <w:r>
        <w:rPr>
          <w:color w:val="000000"/>
        </w:rPr>
        <w:t xml:space="preserve"> (Chisinau and </w:t>
      </w:r>
      <w:proofErr w:type="spellStart"/>
      <w:r>
        <w:rPr>
          <w:color w:val="000000"/>
        </w:rPr>
        <w:t>Balti</w:t>
      </w:r>
      <w:proofErr w:type="spellEnd"/>
      <w:r>
        <w:rPr>
          <w:color w:val="000000"/>
        </w:rPr>
        <w:t>)</w:t>
      </w:r>
      <w:r w:rsidRPr="00FF3944">
        <w:rPr>
          <w:color w:val="000000"/>
        </w:rPr>
        <w:t>, while 40 other cities and towns represented in our sample comprise less than 20 percent of resumes.</w:t>
      </w:r>
      <w:r w:rsidRPr="0088139A">
        <w:rPr>
          <w:rFonts w:ascii="Calibri" w:eastAsia="Times New Roman" w:hAnsi="Calibri" w:cs="Calibri"/>
          <w:color w:val="000000"/>
          <w:lang w:val="en-US"/>
        </w:rPr>
        <w:t xml:space="preserve"> </w:t>
      </w:r>
      <w:r w:rsidRPr="004A792A">
        <w:rPr>
          <w:rFonts w:ascii="Calibri" w:eastAsia="Times New Roman" w:hAnsi="Calibri" w:cs="Calibri"/>
          <w:color w:val="000000"/>
          <w:lang w:val="en-US"/>
        </w:rPr>
        <w:t>This suggests that the Internet is substantially more actively used for job search by residents of large cities. The use of online employment resources allows to reduce job search costs (</w:t>
      </w:r>
      <w:r>
        <w:rPr>
          <w:rFonts w:ascii="Calibri" w:eastAsia="Times New Roman" w:hAnsi="Calibri" w:cs="Calibri"/>
          <w:color w:val="000000"/>
          <w:lang w:val="en-US"/>
        </w:rPr>
        <w:t xml:space="preserve">in terms of </w:t>
      </w:r>
      <w:r w:rsidRPr="004A792A">
        <w:rPr>
          <w:rFonts w:ascii="Calibri" w:eastAsia="Times New Roman" w:hAnsi="Calibri" w:cs="Calibri"/>
          <w:color w:val="000000"/>
          <w:lang w:val="en-US"/>
        </w:rPr>
        <w:t>both</w:t>
      </w:r>
      <w:r>
        <w:rPr>
          <w:rFonts w:ascii="Calibri" w:eastAsia="Times New Roman" w:hAnsi="Calibri" w:cs="Calibri"/>
          <w:color w:val="000000"/>
          <w:lang w:val="en-US"/>
        </w:rPr>
        <w:t xml:space="preserve"> money and time</w:t>
      </w:r>
      <w:r w:rsidRPr="004A792A">
        <w:rPr>
          <w:rFonts w:ascii="Calibri" w:eastAsia="Times New Roman" w:hAnsi="Calibri" w:cs="Calibri"/>
          <w:color w:val="000000"/>
          <w:lang w:val="en-US"/>
        </w:rPr>
        <w:t>) and improve efficacy of job match in dynamic and competitive urban labor markets. Residents of rural areas and small towns seem to prefer traditional methods of job search and rarely post their resumes online.</w:t>
      </w:r>
    </w:p>
    <w:p w14:paraId="54BE9B06" w14:textId="1D152EED" w:rsidR="00D668F4" w:rsidRPr="004A792A" w:rsidRDefault="00D668F4" w:rsidP="00D668F4">
      <w:pPr>
        <w:spacing w:before="0" w:after="120"/>
        <w:jc w:val="both"/>
        <w:rPr>
          <w:rFonts w:cstheme="minorHAnsi"/>
          <w:lang w:val="en-US"/>
        </w:rPr>
      </w:pPr>
      <w:r w:rsidRPr="0088139A">
        <w:rPr>
          <w:rFonts w:cstheme="minorHAnsi"/>
          <w:b/>
          <w:lang w:val="en-US"/>
        </w:rPr>
        <w:t>As one would expect, young people prevail among job seekers using the Internet</w:t>
      </w:r>
      <w:r w:rsidRPr="004A792A">
        <w:rPr>
          <w:rFonts w:cstheme="minorHAnsi"/>
          <w:lang w:val="en-US"/>
        </w:rPr>
        <w:t>, and women appear to be on average younger than men</w:t>
      </w:r>
      <w:r w:rsidR="0088139A">
        <w:rPr>
          <w:rFonts w:cstheme="minorHAnsi"/>
          <w:lang w:val="en-US"/>
        </w:rPr>
        <w:t xml:space="preserve"> (</w:t>
      </w:r>
      <w:r w:rsidR="0088139A" w:rsidRPr="004A792A">
        <w:rPr>
          <w:rFonts w:cstheme="minorHAnsi"/>
          <w:lang w:val="en-US"/>
        </w:rPr>
        <w:fldChar w:fldCharType="begin"/>
      </w:r>
      <w:r w:rsidR="0088139A" w:rsidRPr="004A792A">
        <w:rPr>
          <w:rFonts w:cstheme="minorHAnsi"/>
          <w:lang w:val="en-US"/>
        </w:rPr>
        <w:instrText xml:space="preserve"> REF _Ref520310664 \h </w:instrText>
      </w:r>
      <w:r w:rsidR="0088139A" w:rsidRPr="004A792A">
        <w:rPr>
          <w:rFonts w:cstheme="minorHAnsi"/>
          <w:lang w:val="en-US"/>
        </w:rPr>
      </w:r>
      <w:r w:rsidR="0088139A" w:rsidRPr="004A792A">
        <w:rPr>
          <w:rFonts w:cstheme="minorHAnsi"/>
          <w:lang w:val="en-US"/>
        </w:rPr>
        <w:fldChar w:fldCharType="separate"/>
      </w:r>
      <w:r w:rsidR="0088139A" w:rsidRPr="004A792A">
        <w:rPr>
          <w:lang w:val="en-US"/>
        </w:rPr>
        <w:t xml:space="preserve">Table </w:t>
      </w:r>
      <w:r w:rsidR="0088139A">
        <w:rPr>
          <w:noProof/>
          <w:lang w:val="en-US"/>
        </w:rPr>
        <w:t>8</w:t>
      </w:r>
      <w:r w:rsidR="0088139A" w:rsidRPr="004A792A">
        <w:rPr>
          <w:rFonts w:cstheme="minorHAnsi"/>
          <w:lang w:val="en-US"/>
        </w:rPr>
        <w:fldChar w:fldCharType="end"/>
      </w:r>
      <w:r w:rsidR="0088139A">
        <w:rPr>
          <w:rFonts w:cstheme="minorHAnsi"/>
          <w:lang w:val="en-US"/>
        </w:rPr>
        <w:t>)</w:t>
      </w:r>
      <w:r w:rsidRPr="004A792A">
        <w:rPr>
          <w:rFonts w:cstheme="minorHAnsi"/>
          <w:lang w:val="en-US"/>
        </w:rPr>
        <w:t>. Although there are job seekers aged from 14 to 72 years in the sample, 74 percent of female job seekers and 68 percent of male job seekers are under 30 years. The median age of female and male jobseekers is 23 and 25 years, respectively.</w:t>
      </w:r>
    </w:p>
    <w:p w14:paraId="2F4E1371" w14:textId="2532A0FB" w:rsidR="00D668F4" w:rsidRPr="004A792A" w:rsidRDefault="00D668F4" w:rsidP="00D668F4">
      <w:pPr>
        <w:pStyle w:val="ad"/>
        <w:spacing w:before="240"/>
        <w:jc w:val="left"/>
        <w:rPr>
          <w:lang w:val="en-US"/>
        </w:rPr>
      </w:pPr>
      <w:bookmarkStart w:id="96" w:name="_Ref520310664"/>
      <w:bookmarkStart w:id="97" w:name="_Toc533211798"/>
      <w:r w:rsidRPr="004A79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8</w:t>
      </w:r>
      <w:r w:rsidR="007B7CCA">
        <w:rPr>
          <w:lang w:val="en-US"/>
        </w:rPr>
        <w:fldChar w:fldCharType="end"/>
      </w:r>
      <w:bookmarkEnd w:id="96"/>
      <w:r w:rsidRPr="004A792A">
        <w:rPr>
          <w:lang w:val="en-US"/>
        </w:rPr>
        <w:t>: Socio-demographic characteristics of job seekers by gender, 2018</w:t>
      </w:r>
      <w:bookmarkEnd w:id="97"/>
    </w:p>
    <w:tbl>
      <w:tblPr>
        <w:tblW w:w="9029" w:type="dxa"/>
        <w:tblLayout w:type="fixed"/>
        <w:tblLook w:val="04A0" w:firstRow="1" w:lastRow="0" w:firstColumn="1" w:lastColumn="0" w:noHBand="0" w:noVBand="1"/>
      </w:tblPr>
      <w:tblGrid>
        <w:gridCol w:w="1985"/>
        <w:gridCol w:w="4252"/>
        <w:gridCol w:w="930"/>
        <w:gridCol w:w="931"/>
        <w:gridCol w:w="931"/>
      </w:tblGrid>
      <w:tr w:rsidR="00D668F4" w:rsidRPr="000D5EE0" w14:paraId="5E07D8D8" w14:textId="77777777" w:rsidTr="00E86E4A">
        <w:tc>
          <w:tcPr>
            <w:tcW w:w="1985" w:type="dxa"/>
            <w:tcBorders>
              <w:top w:val="single" w:sz="4" w:space="0" w:color="auto"/>
              <w:bottom w:val="single" w:sz="4" w:space="0" w:color="auto"/>
            </w:tcBorders>
            <w:shd w:val="clear" w:color="auto" w:fill="auto"/>
            <w:noWrap/>
            <w:hideMark/>
          </w:tcPr>
          <w:p w14:paraId="614C9CDB" w14:textId="77777777" w:rsidR="00D668F4" w:rsidRPr="000D5EE0" w:rsidRDefault="00D668F4" w:rsidP="00E86E4A">
            <w:pPr>
              <w:spacing w:before="0"/>
              <w:jc w:val="center"/>
              <w:rPr>
                <w:rFonts w:eastAsia="Times New Roman" w:cstheme="minorHAnsi"/>
                <w:b/>
                <w:sz w:val="20"/>
                <w:szCs w:val="20"/>
                <w:lang w:val="en-US"/>
              </w:rPr>
            </w:pPr>
            <w:r w:rsidRPr="000D5EE0">
              <w:rPr>
                <w:rFonts w:eastAsia="Times New Roman" w:cstheme="minorHAnsi"/>
                <w:b/>
                <w:sz w:val="20"/>
                <w:szCs w:val="20"/>
                <w:lang w:val="en-US"/>
              </w:rPr>
              <w:t>Characteristic</w:t>
            </w:r>
          </w:p>
        </w:tc>
        <w:tc>
          <w:tcPr>
            <w:tcW w:w="4252" w:type="dxa"/>
            <w:tcBorders>
              <w:top w:val="single" w:sz="4" w:space="0" w:color="auto"/>
              <w:bottom w:val="single" w:sz="4" w:space="0" w:color="auto"/>
            </w:tcBorders>
            <w:shd w:val="clear" w:color="auto" w:fill="auto"/>
            <w:noWrap/>
            <w:hideMark/>
          </w:tcPr>
          <w:p w14:paraId="532A7059" w14:textId="77777777" w:rsidR="00D668F4" w:rsidRPr="000D5EE0" w:rsidRDefault="00D668F4" w:rsidP="00E86E4A">
            <w:pPr>
              <w:spacing w:before="0"/>
              <w:jc w:val="center"/>
              <w:rPr>
                <w:rFonts w:eastAsia="Times New Roman" w:cstheme="minorHAnsi"/>
                <w:b/>
                <w:sz w:val="20"/>
                <w:szCs w:val="20"/>
                <w:lang w:val="en-US"/>
              </w:rPr>
            </w:pPr>
            <w:r w:rsidRPr="000D5EE0">
              <w:rPr>
                <w:rFonts w:eastAsia="Times New Roman" w:cstheme="minorHAnsi"/>
                <w:b/>
                <w:sz w:val="20"/>
                <w:szCs w:val="20"/>
                <w:lang w:val="en-US"/>
              </w:rPr>
              <w:t>Statistics</w:t>
            </w:r>
          </w:p>
        </w:tc>
        <w:tc>
          <w:tcPr>
            <w:tcW w:w="930" w:type="dxa"/>
            <w:tcBorders>
              <w:top w:val="single" w:sz="4" w:space="0" w:color="auto"/>
              <w:bottom w:val="single" w:sz="4" w:space="0" w:color="auto"/>
            </w:tcBorders>
            <w:shd w:val="clear" w:color="auto" w:fill="auto"/>
            <w:noWrap/>
            <w:hideMark/>
          </w:tcPr>
          <w:p w14:paraId="1E24EAAA" w14:textId="77777777" w:rsidR="00D668F4" w:rsidRPr="000D5EE0" w:rsidRDefault="00D668F4" w:rsidP="00E86E4A">
            <w:pPr>
              <w:spacing w:before="0"/>
              <w:jc w:val="center"/>
              <w:rPr>
                <w:rFonts w:eastAsia="Times New Roman" w:cstheme="minorHAnsi"/>
                <w:b/>
                <w:color w:val="000000"/>
                <w:sz w:val="20"/>
                <w:szCs w:val="20"/>
                <w:lang w:val="en-US"/>
              </w:rPr>
            </w:pPr>
            <w:r w:rsidRPr="000D5EE0">
              <w:rPr>
                <w:rFonts w:eastAsia="Times New Roman" w:cstheme="minorHAnsi"/>
                <w:b/>
                <w:color w:val="000000"/>
                <w:sz w:val="20"/>
                <w:szCs w:val="20"/>
                <w:lang w:val="en-US"/>
              </w:rPr>
              <w:t>Female</w:t>
            </w:r>
          </w:p>
        </w:tc>
        <w:tc>
          <w:tcPr>
            <w:tcW w:w="931" w:type="dxa"/>
            <w:tcBorders>
              <w:top w:val="single" w:sz="4" w:space="0" w:color="auto"/>
              <w:bottom w:val="single" w:sz="4" w:space="0" w:color="auto"/>
            </w:tcBorders>
            <w:shd w:val="clear" w:color="auto" w:fill="auto"/>
            <w:noWrap/>
            <w:hideMark/>
          </w:tcPr>
          <w:p w14:paraId="094B378E" w14:textId="77777777" w:rsidR="00D668F4" w:rsidRPr="000D5EE0" w:rsidRDefault="00D668F4" w:rsidP="00E86E4A">
            <w:pPr>
              <w:spacing w:before="0"/>
              <w:jc w:val="center"/>
              <w:rPr>
                <w:rFonts w:eastAsia="Times New Roman" w:cstheme="minorHAnsi"/>
                <w:b/>
                <w:color w:val="000000"/>
                <w:sz w:val="20"/>
                <w:szCs w:val="20"/>
                <w:lang w:val="en-US"/>
              </w:rPr>
            </w:pPr>
            <w:r w:rsidRPr="000D5EE0">
              <w:rPr>
                <w:rFonts w:eastAsia="Times New Roman" w:cstheme="minorHAnsi"/>
                <w:b/>
                <w:color w:val="000000"/>
                <w:sz w:val="20"/>
                <w:szCs w:val="20"/>
                <w:lang w:val="en-US"/>
              </w:rPr>
              <w:t>Male</w:t>
            </w:r>
          </w:p>
        </w:tc>
        <w:tc>
          <w:tcPr>
            <w:tcW w:w="931" w:type="dxa"/>
            <w:tcBorders>
              <w:top w:val="single" w:sz="4" w:space="0" w:color="auto"/>
              <w:bottom w:val="single" w:sz="4" w:space="0" w:color="auto"/>
            </w:tcBorders>
            <w:shd w:val="clear" w:color="auto" w:fill="auto"/>
            <w:noWrap/>
            <w:hideMark/>
          </w:tcPr>
          <w:p w14:paraId="259EF41E" w14:textId="77777777" w:rsidR="00D668F4" w:rsidRPr="000D5EE0" w:rsidRDefault="00D668F4" w:rsidP="00E86E4A">
            <w:pPr>
              <w:spacing w:before="0"/>
              <w:jc w:val="center"/>
              <w:rPr>
                <w:rFonts w:eastAsia="Times New Roman" w:cstheme="minorHAnsi"/>
                <w:b/>
                <w:color w:val="000000"/>
                <w:sz w:val="20"/>
                <w:szCs w:val="20"/>
                <w:lang w:val="en-US"/>
              </w:rPr>
            </w:pPr>
            <w:r w:rsidRPr="000D5EE0">
              <w:rPr>
                <w:rFonts w:eastAsia="Times New Roman" w:cstheme="minorHAnsi"/>
                <w:b/>
                <w:color w:val="000000"/>
                <w:sz w:val="20"/>
                <w:szCs w:val="20"/>
                <w:lang w:val="en-US"/>
              </w:rPr>
              <w:t>Total</w:t>
            </w:r>
          </w:p>
        </w:tc>
      </w:tr>
      <w:tr w:rsidR="00D668F4" w:rsidRPr="000D5EE0" w14:paraId="6B30C703" w14:textId="77777777" w:rsidTr="00E86E4A">
        <w:tc>
          <w:tcPr>
            <w:tcW w:w="1985" w:type="dxa"/>
            <w:vMerge w:val="restart"/>
            <w:tcBorders>
              <w:top w:val="single" w:sz="4" w:space="0" w:color="auto"/>
            </w:tcBorders>
            <w:shd w:val="clear" w:color="auto" w:fill="auto"/>
            <w:noWrap/>
            <w:hideMark/>
          </w:tcPr>
          <w:p w14:paraId="6E16CE47" w14:textId="77777777" w:rsidR="00D668F4" w:rsidRPr="000D5EE0" w:rsidRDefault="00D668F4" w:rsidP="00E86E4A">
            <w:pPr>
              <w:spacing w:before="0"/>
              <w:rPr>
                <w:rFonts w:eastAsia="Times New Roman" w:cstheme="minorHAnsi"/>
                <w:bCs/>
                <w:color w:val="000000"/>
                <w:sz w:val="20"/>
                <w:szCs w:val="20"/>
                <w:lang w:val="en-US"/>
              </w:rPr>
            </w:pPr>
            <w:r w:rsidRPr="000D5EE0">
              <w:rPr>
                <w:rFonts w:eastAsia="Times New Roman" w:cstheme="minorHAnsi"/>
                <w:bCs/>
                <w:color w:val="000000"/>
                <w:sz w:val="20"/>
                <w:szCs w:val="20"/>
                <w:lang w:val="en-US"/>
              </w:rPr>
              <w:t>Age</w:t>
            </w:r>
          </w:p>
        </w:tc>
        <w:tc>
          <w:tcPr>
            <w:tcW w:w="4252" w:type="dxa"/>
            <w:tcBorders>
              <w:top w:val="single" w:sz="4" w:space="0" w:color="auto"/>
            </w:tcBorders>
            <w:shd w:val="clear" w:color="auto" w:fill="auto"/>
            <w:noWrap/>
            <w:hideMark/>
          </w:tcPr>
          <w:p w14:paraId="7BF464A3"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Mean (years)</w:t>
            </w:r>
          </w:p>
        </w:tc>
        <w:tc>
          <w:tcPr>
            <w:tcW w:w="930" w:type="dxa"/>
            <w:tcBorders>
              <w:top w:val="single" w:sz="4" w:space="0" w:color="auto"/>
            </w:tcBorders>
            <w:shd w:val="clear" w:color="auto" w:fill="auto"/>
            <w:noWrap/>
            <w:hideMark/>
          </w:tcPr>
          <w:p w14:paraId="69C5C250"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26.1</w:t>
            </w:r>
            <w:r w:rsidR="00EA1944" w:rsidRPr="000D5EE0">
              <w:rPr>
                <w:rFonts w:eastAsia="Times New Roman" w:cstheme="minorHAnsi"/>
                <w:color w:val="000000"/>
                <w:sz w:val="20"/>
                <w:szCs w:val="20"/>
                <w:lang w:val="en-US"/>
              </w:rPr>
              <w:t>***</w:t>
            </w:r>
          </w:p>
        </w:tc>
        <w:tc>
          <w:tcPr>
            <w:tcW w:w="931" w:type="dxa"/>
            <w:tcBorders>
              <w:top w:val="single" w:sz="4" w:space="0" w:color="auto"/>
            </w:tcBorders>
            <w:shd w:val="clear" w:color="auto" w:fill="auto"/>
            <w:noWrap/>
            <w:hideMark/>
          </w:tcPr>
          <w:p w14:paraId="62BC7610"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27.8</w:t>
            </w:r>
          </w:p>
        </w:tc>
        <w:tc>
          <w:tcPr>
            <w:tcW w:w="931" w:type="dxa"/>
            <w:tcBorders>
              <w:top w:val="single" w:sz="4" w:space="0" w:color="auto"/>
            </w:tcBorders>
            <w:shd w:val="clear" w:color="auto" w:fill="auto"/>
            <w:noWrap/>
            <w:hideMark/>
          </w:tcPr>
          <w:p w14:paraId="730A3F71"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27.1</w:t>
            </w:r>
          </w:p>
        </w:tc>
      </w:tr>
      <w:tr w:rsidR="00D668F4" w:rsidRPr="000D5EE0" w14:paraId="070FE3B4" w14:textId="77777777" w:rsidTr="00E86E4A">
        <w:tc>
          <w:tcPr>
            <w:tcW w:w="1985" w:type="dxa"/>
            <w:vMerge/>
            <w:hideMark/>
          </w:tcPr>
          <w:p w14:paraId="494FACC2" w14:textId="77777777" w:rsidR="00D668F4" w:rsidRPr="000D5EE0" w:rsidRDefault="00D668F4" w:rsidP="00E86E4A">
            <w:pPr>
              <w:spacing w:before="0"/>
              <w:rPr>
                <w:rFonts w:eastAsia="Times New Roman" w:cstheme="minorHAnsi"/>
                <w:bCs/>
                <w:color w:val="000000"/>
                <w:sz w:val="20"/>
                <w:szCs w:val="20"/>
                <w:lang w:val="en-US"/>
              </w:rPr>
            </w:pPr>
          </w:p>
        </w:tc>
        <w:tc>
          <w:tcPr>
            <w:tcW w:w="4252" w:type="dxa"/>
            <w:shd w:val="clear" w:color="auto" w:fill="auto"/>
            <w:noWrap/>
            <w:hideMark/>
          </w:tcPr>
          <w:p w14:paraId="10A37342"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SD (years)</w:t>
            </w:r>
          </w:p>
        </w:tc>
        <w:tc>
          <w:tcPr>
            <w:tcW w:w="930" w:type="dxa"/>
            <w:shd w:val="clear" w:color="auto" w:fill="auto"/>
            <w:noWrap/>
            <w:hideMark/>
          </w:tcPr>
          <w:p w14:paraId="69896A37"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8.9</w:t>
            </w:r>
          </w:p>
        </w:tc>
        <w:tc>
          <w:tcPr>
            <w:tcW w:w="931" w:type="dxa"/>
            <w:shd w:val="clear" w:color="auto" w:fill="auto"/>
            <w:noWrap/>
            <w:hideMark/>
          </w:tcPr>
          <w:p w14:paraId="57BCA582"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9.8</w:t>
            </w:r>
          </w:p>
        </w:tc>
        <w:tc>
          <w:tcPr>
            <w:tcW w:w="931" w:type="dxa"/>
            <w:shd w:val="clear" w:color="auto" w:fill="auto"/>
            <w:noWrap/>
            <w:hideMark/>
          </w:tcPr>
          <w:p w14:paraId="7B264AC8"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9.5</w:t>
            </w:r>
          </w:p>
        </w:tc>
      </w:tr>
      <w:tr w:rsidR="00D668F4" w:rsidRPr="000D5EE0" w14:paraId="482E220C" w14:textId="77777777" w:rsidTr="00E86E4A">
        <w:tc>
          <w:tcPr>
            <w:tcW w:w="1985" w:type="dxa"/>
            <w:vMerge/>
            <w:hideMark/>
          </w:tcPr>
          <w:p w14:paraId="079F2C69" w14:textId="77777777" w:rsidR="00D668F4" w:rsidRPr="000D5EE0" w:rsidRDefault="00D668F4" w:rsidP="00E86E4A">
            <w:pPr>
              <w:spacing w:before="0"/>
              <w:rPr>
                <w:rFonts w:eastAsia="Times New Roman" w:cstheme="minorHAnsi"/>
                <w:bCs/>
                <w:color w:val="000000"/>
                <w:sz w:val="20"/>
                <w:szCs w:val="20"/>
                <w:lang w:val="en-US"/>
              </w:rPr>
            </w:pPr>
          </w:p>
        </w:tc>
        <w:tc>
          <w:tcPr>
            <w:tcW w:w="4252" w:type="dxa"/>
            <w:shd w:val="clear" w:color="auto" w:fill="auto"/>
            <w:noWrap/>
            <w:hideMark/>
          </w:tcPr>
          <w:p w14:paraId="00777E95"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Median (years)</w:t>
            </w:r>
          </w:p>
        </w:tc>
        <w:tc>
          <w:tcPr>
            <w:tcW w:w="930" w:type="dxa"/>
            <w:shd w:val="clear" w:color="auto" w:fill="auto"/>
            <w:noWrap/>
            <w:hideMark/>
          </w:tcPr>
          <w:p w14:paraId="033FC3B8"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23</w:t>
            </w:r>
          </w:p>
        </w:tc>
        <w:tc>
          <w:tcPr>
            <w:tcW w:w="931" w:type="dxa"/>
            <w:shd w:val="clear" w:color="auto" w:fill="auto"/>
            <w:noWrap/>
            <w:hideMark/>
          </w:tcPr>
          <w:p w14:paraId="4044160E"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25</w:t>
            </w:r>
          </w:p>
        </w:tc>
        <w:tc>
          <w:tcPr>
            <w:tcW w:w="931" w:type="dxa"/>
            <w:shd w:val="clear" w:color="auto" w:fill="auto"/>
            <w:noWrap/>
            <w:hideMark/>
          </w:tcPr>
          <w:p w14:paraId="0F0EDC82"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24</w:t>
            </w:r>
          </w:p>
        </w:tc>
      </w:tr>
      <w:tr w:rsidR="00D668F4" w:rsidRPr="000D5EE0" w14:paraId="1B7E52D5" w14:textId="77777777" w:rsidTr="00E86E4A">
        <w:tc>
          <w:tcPr>
            <w:tcW w:w="1985" w:type="dxa"/>
            <w:vMerge/>
            <w:hideMark/>
          </w:tcPr>
          <w:p w14:paraId="2CDCF064" w14:textId="77777777" w:rsidR="00D668F4" w:rsidRPr="000D5EE0" w:rsidRDefault="00D668F4" w:rsidP="00E86E4A">
            <w:pPr>
              <w:spacing w:before="0"/>
              <w:rPr>
                <w:rFonts w:eastAsia="Times New Roman" w:cstheme="minorHAnsi"/>
                <w:bCs/>
                <w:color w:val="000000"/>
                <w:sz w:val="20"/>
                <w:szCs w:val="20"/>
                <w:lang w:val="en-US"/>
              </w:rPr>
            </w:pPr>
          </w:p>
        </w:tc>
        <w:tc>
          <w:tcPr>
            <w:tcW w:w="4252" w:type="dxa"/>
            <w:shd w:val="clear" w:color="auto" w:fill="auto"/>
            <w:noWrap/>
            <w:hideMark/>
          </w:tcPr>
          <w:p w14:paraId="32FEF17D"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Min (years)</w:t>
            </w:r>
          </w:p>
        </w:tc>
        <w:tc>
          <w:tcPr>
            <w:tcW w:w="930" w:type="dxa"/>
            <w:shd w:val="clear" w:color="auto" w:fill="auto"/>
            <w:noWrap/>
            <w:hideMark/>
          </w:tcPr>
          <w:p w14:paraId="798314FC"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14</w:t>
            </w:r>
          </w:p>
        </w:tc>
        <w:tc>
          <w:tcPr>
            <w:tcW w:w="931" w:type="dxa"/>
            <w:shd w:val="clear" w:color="auto" w:fill="auto"/>
            <w:noWrap/>
            <w:hideMark/>
          </w:tcPr>
          <w:p w14:paraId="34C8F9D0"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14</w:t>
            </w:r>
          </w:p>
        </w:tc>
        <w:tc>
          <w:tcPr>
            <w:tcW w:w="931" w:type="dxa"/>
            <w:shd w:val="clear" w:color="auto" w:fill="auto"/>
            <w:noWrap/>
            <w:hideMark/>
          </w:tcPr>
          <w:p w14:paraId="1D247A8E"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14</w:t>
            </w:r>
          </w:p>
        </w:tc>
      </w:tr>
      <w:tr w:rsidR="00D668F4" w:rsidRPr="000D5EE0" w14:paraId="48535AB3" w14:textId="77777777" w:rsidTr="00E86E4A">
        <w:tc>
          <w:tcPr>
            <w:tcW w:w="1985" w:type="dxa"/>
            <w:vMerge/>
            <w:tcBorders>
              <w:bottom w:val="single" w:sz="4" w:space="0" w:color="auto"/>
            </w:tcBorders>
            <w:hideMark/>
          </w:tcPr>
          <w:p w14:paraId="583C8686" w14:textId="77777777" w:rsidR="00D668F4" w:rsidRPr="000D5EE0" w:rsidRDefault="00D668F4" w:rsidP="00E86E4A">
            <w:pPr>
              <w:spacing w:before="0"/>
              <w:rPr>
                <w:rFonts w:eastAsia="Times New Roman" w:cstheme="minorHAnsi"/>
                <w:bCs/>
                <w:color w:val="000000"/>
                <w:sz w:val="20"/>
                <w:szCs w:val="20"/>
                <w:lang w:val="en-US"/>
              </w:rPr>
            </w:pPr>
          </w:p>
        </w:tc>
        <w:tc>
          <w:tcPr>
            <w:tcW w:w="4252" w:type="dxa"/>
            <w:tcBorders>
              <w:bottom w:val="single" w:sz="4" w:space="0" w:color="auto"/>
            </w:tcBorders>
            <w:shd w:val="clear" w:color="auto" w:fill="auto"/>
            <w:noWrap/>
            <w:hideMark/>
          </w:tcPr>
          <w:p w14:paraId="2501B805"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Max (years)</w:t>
            </w:r>
          </w:p>
        </w:tc>
        <w:tc>
          <w:tcPr>
            <w:tcW w:w="930" w:type="dxa"/>
            <w:tcBorders>
              <w:bottom w:val="single" w:sz="4" w:space="0" w:color="auto"/>
            </w:tcBorders>
            <w:shd w:val="clear" w:color="auto" w:fill="auto"/>
            <w:noWrap/>
            <w:hideMark/>
          </w:tcPr>
          <w:p w14:paraId="4DFD5C86"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67</w:t>
            </w:r>
          </w:p>
        </w:tc>
        <w:tc>
          <w:tcPr>
            <w:tcW w:w="931" w:type="dxa"/>
            <w:tcBorders>
              <w:bottom w:val="single" w:sz="4" w:space="0" w:color="auto"/>
            </w:tcBorders>
            <w:shd w:val="clear" w:color="auto" w:fill="auto"/>
            <w:noWrap/>
            <w:hideMark/>
          </w:tcPr>
          <w:p w14:paraId="0BD3702D"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72</w:t>
            </w:r>
          </w:p>
        </w:tc>
        <w:tc>
          <w:tcPr>
            <w:tcW w:w="931" w:type="dxa"/>
            <w:tcBorders>
              <w:bottom w:val="single" w:sz="4" w:space="0" w:color="auto"/>
            </w:tcBorders>
            <w:shd w:val="clear" w:color="auto" w:fill="auto"/>
            <w:noWrap/>
            <w:hideMark/>
          </w:tcPr>
          <w:p w14:paraId="49832C9D"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72</w:t>
            </w:r>
          </w:p>
        </w:tc>
      </w:tr>
      <w:tr w:rsidR="00D668F4" w:rsidRPr="000D5EE0" w14:paraId="467355A5" w14:textId="77777777" w:rsidTr="00E86E4A">
        <w:tc>
          <w:tcPr>
            <w:tcW w:w="1985" w:type="dxa"/>
            <w:vMerge w:val="restart"/>
            <w:tcBorders>
              <w:top w:val="single" w:sz="4" w:space="0" w:color="auto"/>
            </w:tcBorders>
            <w:shd w:val="clear" w:color="auto" w:fill="auto"/>
            <w:noWrap/>
            <w:hideMark/>
          </w:tcPr>
          <w:p w14:paraId="40CB72CC" w14:textId="77777777" w:rsidR="00D668F4" w:rsidRPr="000D5EE0" w:rsidRDefault="00D668F4" w:rsidP="00E86E4A">
            <w:pPr>
              <w:spacing w:before="0"/>
              <w:rPr>
                <w:rFonts w:eastAsia="Times New Roman" w:cstheme="minorHAnsi"/>
                <w:bCs/>
                <w:color w:val="000000"/>
                <w:sz w:val="20"/>
                <w:szCs w:val="20"/>
                <w:lang w:val="en-US"/>
              </w:rPr>
            </w:pPr>
            <w:r w:rsidRPr="000D5EE0">
              <w:rPr>
                <w:rFonts w:eastAsia="Times New Roman" w:cstheme="minorHAnsi"/>
                <w:bCs/>
                <w:color w:val="000000"/>
                <w:sz w:val="20"/>
                <w:szCs w:val="20"/>
                <w:lang w:val="en-US"/>
              </w:rPr>
              <w:t>Marital status</w:t>
            </w:r>
          </w:p>
        </w:tc>
        <w:tc>
          <w:tcPr>
            <w:tcW w:w="4252" w:type="dxa"/>
            <w:tcBorders>
              <w:top w:val="single" w:sz="4" w:space="0" w:color="auto"/>
            </w:tcBorders>
            <w:shd w:val="clear" w:color="auto" w:fill="auto"/>
            <w:noWrap/>
            <w:hideMark/>
          </w:tcPr>
          <w:p w14:paraId="57FFD9EB"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Share married (%)</w:t>
            </w:r>
          </w:p>
        </w:tc>
        <w:tc>
          <w:tcPr>
            <w:tcW w:w="930" w:type="dxa"/>
            <w:tcBorders>
              <w:top w:val="single" w:sz="4" w:space="0" w:color="auto"/>
            </w:tcBorders>
            <w:shd w:val="clear" w:color="auto" w:fill="auto"/>
            <w:noWrap/>
            <w:hideMark/>
          </w:tcPr>
          <w:p w14:paraId="0D57F619"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29.8</w:t>
            </w:r>
          </w:p>
        </w:tc>
        <w:tc>
          <w:tcPr>
            <w:tcW w:w="931" w:type="dxa"/>
            <w:tcBorders>
              <w:top w:val="single" w:sz="4" w:space="0" w:color="auto"/>
            </w:tcBorders>
            <w:shd w:val="clear" w:color="auto" w:fill="auto"/>
            <w:noWrap/>
            <w:hideMark/>
          </w:tcPr>
          <w:p w14:paraId="0288DBE0"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31.3</w:t>
            </w:r>
          </w:p>
        </w:tc>
        <w:tc>
          <w:tcPr>
            <w:tcW w:w="931" w:type="dxa"/>
            <w:tcBorders>
              <w:top w:val="single" w:sz="4" w:space="0" w:color="auto"/>
            </w:tcBorders>
            <w:shd w:val="clear" w:color="auto" w:fill="auto"/>
            <w:noWrap/>
            <w:hideMark/>
          </w:tcPr>
          <w:p w14:paraId="5767DC17"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30.7</w:t>
            </w:r>
          </w:p>
        </w:tc>
      </w:tr>
      <w:tr w:rsidR="00D668F4" w:rsidRPr="000D5EE0" w14:paraId="7A335E41" w14:textId="77777777" w:rsidTr="00E86E4A">
        <w:tc>
          <w:tcPr>
            <w:tcW w:w="1985" w:type="dxa"/>
            <w:vMerge/>
            <w:hideMark/>
          </w:tcPr>
          <w:p w14:paraId="51A96C03" w14:textId="77777777" w:rsidR="00D668F4" w:rsidRPr="000D5EE0" w:rsidRDefault="00D668F4" w:rsidP="00E86E4A">
            <w:pPr>
              <w:spacing w:before="0"/>
              <w:rPr>
                <w:rFonts w:eastAsia="Times New Roman" w:cstheme="minorHAnsi"/>
                <w:bCs/>
                <w:color w:val="000000"/>
                <w:sz w:val="20"/>
                <w:szCs w:val="20"/>
                <w:lang w:val="en-US"/>
              </w:rPr>
            </w:pPr>
          </w:p>
        </w:tc>
        <w:tc>
          <w:tcPr>
            <w:tcW w:w="4252" w:type="dxa"/>
            <w:shd w:val="clear" w:color="auto" w:fill="auto"/>
            <w:noWrap/>
            <w:hideMark/>
          </w:tcPr>
          <w:p w14:paraId="6BA19D75"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Share unmarried (%)</w:t>
            </w:r>
          </w:p>
        </w:tc>
        <w:tc>
          <w:tcPr>
            <w:tcW w:w="930" w:type="dxa"/>
            <w:shd w:val="clear" w:color="auto" w:fill="auto"/>
            <w:noWrap/>
            <w:hideMark/>
          </w:tcPr>
          <w:p w14:paraId="322280B3"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68.9</w:t>
            </w:r>
          </w:p>
        </w:tc>
        <w:tc>
          <w:tcPr>
            <w:tcW w:w="931" w:type="dxa"/>
            <w:shd w:val="clear" w:color="auto" w:fill="auto"/>
            <w:noWrap/>
            <w:hideMark/>
          </w:tcPr>
          <w:p w14:paraId="70B01BC8"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67.0</w:t>
            </w:r>
          </w:p>
        </w:tc>
        <w:tc>
          <w:tcPr>
            <w:tcW w:w="931" w:type="dxa"/>
            <w:shd w:val="clear" w:color="auto" w:fill="auto"/>
            <w:noWrap/>
            <w:hideMark/>
          </w:tcPr>
          <w:p w14:paraId="2F26AFCF"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67.8</w:t>
            </w:r>
          </w:p>
        </w:tc>
      </w:tr>
      <w:tr w:rsidR="00D668F4" w:rsidRPr="000D5EE0" w14:paraId="3E91B10E" w14:textId="77777777" w:rsidTr="00947172">
        <w:tc>
          <w:tcPr>
            <w:tcW w:w="1985" w:type="dxa"/>
            <w:vMerge/>
            <w:tcBorders>
              <w:bottom w:val="single" w:sz="4" w:space="0" w:color="auto"/>
            </w:tcBorders>
            <w:hideMark/>
          </w:tcPr>
          <w:p w14:paraId="1FB3DD73" w14:textId="77777777" w:rsidR="00D668F4" w:rsidRPr="000D5EE0" w:rsidRDefault="00D668F4" w:rsidP="00E86E4A">
            <w:pPr>
              <w:spacing w:before="0"/>
              <w:rPr>
                <w:rFonts w:eastAsia="Times New Roman" w:cstheme="minorHAnsi"/>
                <w:bCs/>
                <w:color w:val="000000"/>
                <w:sz w:val="20"/>
                <w:szCs w:val="20"/>
                <w:lang w:val="en-US"/>
              </w:rPr>
            </w:pPr>
          </w:p>
        </w:tc>
        <w:tc>
          <w:tcPr>
            <w:tcW w:w="4252" w:type="dxa"/>
            <w:tcBorders>
              <w:bottom w:val="single" w:sz="4" w:space="0" w:color="auto"/>
            </w:tcBorders>
            <w:shd w:val="clear" w:color="auto" w:fill="auto"/>
            <w:noWrap/>
            <w:hideMark/>
          </w:tcPr>
          <w:p w14:paraId="524345BD"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Share with unspecified marital status (%)</w:t>
            </w:r>
          </w:p>
        </w:tc>
        <w:tc>
          <w:tcPr>
            <w:tcW w:w="930" w:type="dxa"/>
            <w:tcBorders>
              <w:bottom w:val="single" w:sz="4" w:space="0" w:color="auto"/>
            </w:tcBorders>
            <w:shd w:val="clear" w:color="auto" w:fill="auto"/>
            <w:noWrap/>
            <w:hideMark/>
          </w:tcPr>
          <w:p w14:paraId="79D75001"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1.3</w:t>
            </w:r>
          </w:p>
        </w:tc>
        <w:tc>
          <w:tcPr>
            <w:tcW w:w="931" w:type="dxa"/>
            <w:tcBorders>
              <w:bottom w:val="single" w:sz="4" w:space="0" w:color="auto"/>
            </w:tcBorders>
            <w:shd w:val="clear" w:color="auto" w:fill="auto"/>
            <w:noWrap/>
            <w:hideMark/>
          </w:tcPr>
          <w:p w14:paraId="5425293A"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1.7</w:t>
            </w:r>
          </w:p>
        </w:tc>
        <w:tc>
          <w:tcPr>
            <w:tcW w:w="931" w:type="dxa"/>
            <w:tcBorders>
              <w:bottom w:val="single" w:sz="4" w:space="0" w:color="auto"/>
            </w:tcBorders>
            <w:shd w:val="clear" w:color="auto" w:fill="auto"/>
            <w:noWrap/>
            <w:hideMark/>
          </w:tcPr>
          <w:p w14:paraId="30AB8172"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1.6</w:t>
            </w:r>
          </w:p>
        </w:tc>
      </w:tr>
      <w:tr w:rsidR="00947172" w:rsidRPr="000D5EE0" w14:paraId="27F5F2EF" w14:textId="77777777" w:rsidTr="00947172">
        <w:tc>
          <w:tcPr>
            <w:tcW w:w="1985" w:type="dxa"/>
            <w:vMerge w:val="restart"/>
            <w:tcBorders>
              <w:top w:val="single" w:sz="4" w:space="0" w:color="auto"/>
            </w:tcBorders>
            <w:shd w:val="clear" w:color="auto" w:fill="auto"/>
            <w:noWrap/>
          </w:tcPr>
          <w:p w14:paraId="76423A3A" w14:textId="77777777" w:rsidR="00947172" w:rsidRPr="000D5EE0" w:rsidRDefault="00947172" w:rsidP="00E86E4A">
            <w:pPr>
              <w:spacing w:before="0"/>
              <w:rPr>
                <w:rFonts w:eastAsia="Times New Roman" w:cstheme="minorHAnsi"/>
                <w:bCs/>
                <w:color w:val="000000"/>
                <w:sz w:val="20"/>
                <w:szCs w:val="20"/>
                <w:lang w:val="en-US"/>
              </w:rPr>
            </w:pPr>
            <w:r w:rsidRPr="000D5EE0">
              <w:rPr>
                <w:rFonts w:eastAsia="Times New Roman" w:cstheme="minorHAnsi"/>
                <w:bCs/>
                <w:color w:val="000000"/>
                <w:sz w:val="20"/>
                <w:szCs w:val="20"/>
                <w:lang w:val="en-US"/>
              </w:rPr>
              <w:t>Presence of children</w:t>
            </w:r>
          </w:p>
        </w:tc>
        <w:tc>
          <w:tcPr>
            <w:tcW w:w="4252" w:type="dxa"/>
            <w:tcBorders>
              <w:top w:val="single" w:sz="4" w:space="0" w:color="auto"/>
            </w:tcBorders>
            <w:shd w:val="clear" w:color="auto" w:fill="auto"/>
            <w:noWrap/>
          </w:tcPr>
          <w:p w14:paraId="65C0C299" w14:textId="77777777" w:rsidR="00947172" w:rsidRPr="000D5EE0" w:rsidRDefault="00947172" w:rsidP="00947172">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Share of all reporting as having children (%)</w:t>
            </w:r>
          </w:p>
        </w:tc>
        <w:tc>
          <w:tcPr>
            <w:tcW w:w="930" w:type="dxa"/>
            <w:tcBorders>
              <w:top w:val="single" w:sz="4" w:space="0" w:color="auto"/>
            </w:tcBorders>
            <w:shd w:val="clear" w:color="auto" w:fill="auto"/>
            <w:noWrap/>
          </w:tcPr>
          <w:p w14:paraId="2EF6476B" w14:textId="77777777" w:rsidR="00947172" w:rsidRPr="000D5EE0" w:rsidRDefault="00FE04FF"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31.6***</w:t>
            </w:r>
          </w:p>
        </w:tc>
        <w:tc>
          <w:tcPr>
            <w:tcW w:w="931" w:type="dxa"/>
            <w:tcBorders>
              <w:top w:val="single" w:sz="4" w:space="0" w:color="auto"/>
            </w:tcBorders>
            <w:shd w:val="clear" w:color="auto" w:fill="auto"/>
            <w:noWrap/>
          </w:tcPr>
          <w:p w14:paraId="391E9390" w14:textId="77777777" w:rsidR="00947172" w:rsidRPr="000D5EE0" w:rsidRDefault="00FE04FF"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28</w:t>
            </w:r>
          </w:p>
        </w:tc>
        <w:tc>
          <w:tcPr>
            <w:tcW w:w="931" w:type="dxa"/>
            <w:tcBorders>
              <w:top w:val="single" w:sz="4" w:space="0" w:color="auto"/>
            </w:tcBorders>
            <w:shd w:val="clear" w:color="auto" w:fill="auto"/>
            <w:noWrap/>
          </w:tcPr>
          <w:p w14:paraId="650FBDEC" w14:textId="77777777" w:rsidR="00947172" w:rsidRPr="000D5EE0" w:rsidRDefault="00FE04FF"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29.5</w:t>
            </w:r>
          </w:p>
        </w:tc>
      </w:tr>
      <w:tr w:rsidR="00947172" w:rsidRPr="000D5EE0" w14:paraId="74884C71" w14:textId="77777777" w:rsidTr="00947172">
        <w:tc>
          <w:tcPr>
            <w:tcW w:w="1985" w:type="dxa"/>
            <w:vMerge/>
            <w:shd w:val="clear" w:color="auto" w:fill="auto"/>
            <w:noWrap/>
            <w:hideMark/>
          </w:tcPr>
          <w:p w14:paraId="21757964" w14:textId="77777777" w:rsidR="00947172" w:rsidRPr="000D5EE0" w:rsidRDefault="00947172" w:rsidP="00E86E4A">
            <w:pPr>
              <w:spacing w:before="0"/>
              <w:rPr>
                <w:rFonts w:eastAsia="Times New Roman" w:cstheme="minorHAnsi"/>
                <w:bCs/>
                <w:color w:val="000000"/>
                <w:sz w:val="20"/>
                <w:szCs w:val="20"/>
                <w:lang w:val="en-US"/>
              </w:rPr>
            </w:pPr>
          </w:p>
        </w:tc>
        <w:tc>
          <w:tcPr>
            <w:tcW w:w="4252" w:type="dxa"/>
            <w:shd w:val="clear" w:color="auto" w:fill="auto"/>
            <w:noWrap/>
            <w:hideMark/>
          </w:tcPr>
          <w:p w14:paraId="32BEBE81" w14:textId="77777777" w:rsidR="00947172" w:rsidRPr="000D5EE0" w:rsidRDefault="00947172"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Share of married reporting as having children (%)</w:t>
            </w:r>
          </w:p>
        </w:tc>
        <w:tc>
          <w:tcPr>
            <w:tcW w:w="930" w:type="dxa"/>
            <w:shd w:val="clear" w:color="auto" w:fill="auto"/>
            <w:noWrap/>
            <w:hideMark/>
          </w:tcPr>
          <w:p w14:paraId="5A9F3826" w14:textId="77777777" w:rsidR="00947172" w:rsidRPr="000D5EE0" w:rsidRDefault="00947172"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79.5</w:t>
            </w:r>
          </w:p>
        </w:tc>
        <w:tc>
          <w:tcPr>
            <w:tcW w:w="931" w:type="dxa"/>
            <w:shd w:val="clear" w:color="auto" w:fill="auto"/>
            <w:noWrap/>
            <w:hideMark/>
          </w:tcPr>
          <w:p w14:paraId="2939E91D" w14:textId="77777777" w:rsidR="00947172" w:rsidRPr="000D5EE0" w:rsidRDefault="00947172"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80.7</w:t>
            </w:r>
          </w:p>
        </w:tc>
        <w:tc>
          <w:tcPr>
            <w:tcW w:w="931" w:type="dxa"/>
            <w:shd w:val="clear" w:color="auto" w:fill="auto"/>
            <w:noWrap/>
            <w:hideMark/>
          </w:tcPr>
          <w:p w14:paraId="2DB0D92D" w14:textId="77777777" w:rsidR="00947172" w:rsidRPr="000D5EE0" w:rsidRDefault="00947172"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80.2</w:t>
            </w:r>
          </w:p>
        </w:tc>
      </w:tr>
      <w:tr w:rsidR="00947172" w:rsidRPr="000D5EE0" w14:paraId="4C0185CE" w14:textId="77777777" w:rsidTr="00E86E4A">
        <w:tc>
          <w:tcPr>
            <w:tcW w:w="1985" w:type="dxa"/>
            <w:vMerge/>
            <w:tcBorders>
              <w:bottom w:val="single" w:sz="4" w:space="0" w:color="auto"/>
            </w:tcBorders>
            <w:shd w:val="clear" w:color="auto" w:fill="auto"/>
            <w:noWrap/>
            <w:hideMark/>
          </w:tcPr>
          <w:p w14:paraId="2BE974A0" w14:textId="77777777" w:rsidR="00947172" w:rsidRPr="000D5EE0" w:rsidRDefault="00947172" w:rsidP="00E86E4A">
            <w:pPr>
              <w:spacing w:before="0"/>
              <w:rPr>
                <w:rFonts w:eastAsia="Times New Roman" w:cstheme="minorHAnsi"/>
                <w:bCs/>
                <w:color w:val="000000"/>
                <w:sz w:val="20"/>
                <w:szCs w:val="20"/>
                <w:lang w:val="en-US"/>
              </w:rPr>
            </w:pPr>
          </w:p>
        </w:tc>
        <w:tc>
          <w:tcPr>
            <w:tcW w:w="4252" w:type="dxa"/>
            <w:tcBorders>
              <w:bottom w:val="single" w:sz="4" w:space="0" w:color="auto"/>
            </w:tcBorders>
            <w:shd w:val="clear" w:color="auto" w:fill="auto"/>
            <w:noWrap/>
            <w:hideMark/>
          </w:tcPr>
          <w:p w14:paraId="362BF56B" w14:textId="77777777" w:rsidR="00947172" w:rsidRPr="000D5EE0" w:rsidRDefault="00947172" w:rsidP="006D2D6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 xml:space="preserve">Share of </w:t>
            </w:r>
            <w:r w:rsidRPr="000D5EE0">
              <w:rPr>
                <w:rFonts w:eastAsia="Times New Roman" w:cstheme="minorHAnsi"/>
                <w:bCs/>
                <w:color w:val="000000"/>
                <w:sz w:val="20"/>
                <w:szCs w:val="20"/>
                <w:lang w:val="en-US"/>
              </w:rPr>
              <w:t xml:space="preserve">unmarried </w:t>
            </w:r>
            <w:r w:rsidRPr="000D5EE0">
              <w:rPr>
                <w:rFonts w:eastAsia="Times New Roman" w:cstheme="minorHAnsi"/>
                <w:color w:val="000000"/>
                <w:sz w:val="20"/>
                <w:szCs w:val="20"/>
                <w:lang w:val="en-US"/>
              </w:rPr>
              <w:t>reporting as having children (%)</w:t>
            </w:r>
          </w:p>
        </w:tc>
        <w:tc>
          <w:tcPr>
            <w:tcW w:w="930" w:type="dxa"/>
            <w:tcBorders>
              <w:bottom w:val="single" w:sz="4" w:space="0" w:color="auto"/>
            </w:tcBorders>
            <w:shd w:val="clear" w:color="auto" w:fill="auto"/>
            <w:noWrap/>
            <w:hideMark/>
          </w:tcPr>
          <w:p w14:paraId="4F72D4CC" w14:textId="77777777" w:rsidR="00947172" w:rsidRPr="000D5EE0" w:rsidRDefault="00947172" w:rsidP="006D2D6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10.8***</w:t>
            </w:r>
          </w:p>
        </w:tc>
        <w:tc>
          <w:tcPr>
            <w:tcW w:w="931" w:type="dxa"/>
            <w:tcBorders>
              <w:bottom w:val="single" w:sz="4" w:space="0" w:color="auto"/>
            </w:tcBorders>
            <w:shd w:val="clear" w:color="auto" w:fill="auto"/>
            <w:noWrap/>
            <w:hideMark/>
          </w:tcPr>
          <w:p w14:paraId="035A8887" w14:textId="77777777" w:rsidR="00947172" w:rsidRPr="000D5EE0" w:rsidRDefault="00947172"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3.7</w:t>
            </w:r>
          </w:p>
        </w:tc>
        <w:tc>
          <w:tcPr>
            <w:tcW w:w="931" w:type="dxa"/>
            <w:tcBorders>
              <w:bottom w:val="single" w:sz="4" w:space="0" w:color="auto"/>
            </w:tcBorders>
            <w:shd w:val="clear" w:color="auto" w:fill="auto"/>
            <w:noWrap/>
            <w:hideMark/>
          </w:tcPr>
          <w:p w14:paraId="43346488" w14:textId="77777777" w:rsidR="00947172" w:rsidRPr="000D5EE0" w:rsidRDefault="00947172"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6.6</w:t>
            </w:r>
          </w:p>
        </w:tc>
      </w:tr>
      <w:tr w:rsidR="00D668F4" w:rsidRPr="000D5EE0" w14:paraId="59773BF9" w14:textId="77777777" w:rsidTr="00E86E4A">
        <w:tc>
          <w:tcPr>
            <w:tcW w:w="1985" w:type="dxa"/>
            <w:tcBorders>
              <w:top w:val="single" w:sz="4" w:space="0" w:color="auto"/>
              <w:bottom w:val="single" w:sz="4" w:space="0" w:color="auto"/>
            </w:tcBorders>
            <w:shd w:val="clear" w:color="auto" w:fill="auto"/>
            <w:noWrap/>
            <w:hideMark/>
          </w:tcPr>
          <w:p w14:paraId="717705DA" w14:textId="77777777" w:rsidR="00D668F4" w:rsidRPr="000D5EE0" w:rsidRDefault="00D668F4" w:rsidP="00E86E4A">
            <w:pPr>
              <w:spacing w:before="0"/>
              <w:rPr>
                <w:rFonts w:eastAsia="Times New Roman" w:cstheme="minorHAnsi"/>
                <w:bCs/>
                <w:color w:val="000000"/>
                <w:sz w:val="20"/>
                <w:szCs w:val="20"/>
                <w:lang w:val="en-US"/>
              </w:rPr>
            </w:pPr>
            <w:r w:rsidRPr="000D5EE0">
              <w:rPr>
                <w:rFonts w:eastAsia="Times New Roman" w:cstheme="minorHAnsi"/>
                <w:bCs/>
                <w:color w:val="000000"/>
                <w:sz w:val="20"/>
                <w:szCs w:val="20"/>
                <w:lang w:val="en-US"/>
              </w:rPr>
              <w:t>Photo attached to CV</w:t>
            </w:r>
          </w:p>
        </w:tc>
        <w:tc>
          <w:tcPr>
            <w:tcW w:w="4252" w:type="dxa"/>
            <w:tcBorders>
              <w:top w:val="single" w:sz="4" w:space="0" w:color="auto"/>
              <w:bottom w:val="single" w:sz="4" w:space="0" w:color="auto"/>
            </w:tcBorders>
            <w:shd w:val="clear" w:color="auto" w:fill="auto"/>
            <w:noWrap/>
            <w:hideMark/>
          </w:tcPr>
          <w:p w14:paraId="7E286A1D" w14:textId="77777777" w:rsidR="00D668F4" w:rsidRPr="000D5EE0" w:rsidRDefault="00D668F4" w:rsidP="00E86E4A">
            <w:pPr>
              <w:spacing w:before="0"/>
              <w:rPr>
                <w:rFonts w:eastAsia="Times New Roman" w:cstheme="minorHAnsi"/>
                <w:color w:val="000000"/>
                <w:sz w:val="20"/>
                <w:szCs w:val="20"/>
                <w:lang w:val="en-US"/>
              </w:rPr>
            </w:pPr>
            <w:r w:rsidRPr="000D5EE0">
              <w:rPr>
                <w:rFonts w:eastAsia="Times New Roman" w:cstheme="minorHAnsi"/>
                <w:color w:val="000000"/>
                <w:sz w:val="20"/>
                <w:szCs w:val="20"/>
                <w:lang w:val="en-US"/>
              </w:rPr>
              <w:t>Share of resumes with photo (%)</w:t>
            </w:r>
          </w:p>
        </w:tc>
        <w:tc>
          <w:tcPr>
            <w:tcW w:w="930" w:type="dxa"/>
            <w:tcBorders>
              <w:top w:val="single" w:sz="4" w:space="0" w:color="auto"/>
              <w:bottom w:val="single" w:sz="4" w:space="0" w:color="auto"/>
            </w:tcBorders>
            <w:shd w:val="clear" w:color="auto" w:fill="auto"/>
            <w:noWrap/>
            <w:hideMark/>
          </w:tcPr>
          <w:p w14:paraId="6F7BC65B"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72.9</w:t>
            </w:r>
            <w:r w:rsidR="00EA1944" w:rsidRPr="000D5EE0">
              <w:rPr>
                <w:rFonts w:eastAsia="Times New Roman" w:cstheme="minorHAnsi"/>
                <w:color w:val="000000"/>
                <w:sz w:val="20"/>
                <w:szCs w:val="20"/>
                <w:lang w:val="en-US"/>
              </w:rPr>
              <w:t>***</w:t>
            </w:r>
          </w:p>
        </w:tc>
        <w:tc>
          <w:tcPr>
            <w:tcW w:w="931" w:type="dxa"/>
            <w:tcBorders>
              <w:top w:val="single" w:sz="4" w:space="0" w:color="auto"/>
              <w:bottom w:val="single" w:sz="4" w:space="0" w:color="auto"/>
            </w:tcBorders>
            <w:shd w:val="clear" w:color="auto" w:fill="auto"/>
            <w:noWrap/>
            <w:hideMark/>
          </w:tcPr>
          <w:p w14:paraId="7A757995"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60.7</w:t>
            </w:r>
          </w:p>
        </w:tc>
        <w:tc>
          <w:tcPr>
            <w:tcW w:w="931" w:type="dxa"/>
            <w:tcBorders>
              <w:top w:val="single" w:sz="4" w:space="0" w:color="auto"/>
              <w:bottom w:val="single" w:sz="4" w:space="0" w:color="auto"/>
            </w:tcBorders>
            <w:shd w:val="clear" w:color="auto" w:fill="auto"/>
            <w:noWrap/>
            <w:hideMark/>
          </w:tcPr>
          <w:p w14:paraId="07C631F5" w14:textId="77777777" w:rsidR="00D668F4" w:rsidRPr="000D5EE0" w:rsidRDefault="00D668F4" w:rsidP="00E86E4A">
            <w:pPr>
              <w:spacing w:before="0"/>
              <w:jc w:val="center"/>
              <w:rPr>
                <w:rFonts w:eastAsia="Times New Roman" w:cstheme="minorHAnsi"/>
                <w:color w:val="000000"/>
                <w:sz w:val="20"/>
                <w:szCs w:val="20"/>
                <w:lang w:val="en-US"/>
              </w:rPr>
            </w:pPr>
            <w:r w:rsidRPr="000D5EE0">
              <w:rPr>
                <w:rFonts w:eastAsia="Times New Roman" w:cstheme="minorHAnsi"/>
                <w:color w:val="000000"/>
                <w:sz w:val="20"/>
                <w:szCs w:val="20"/>
                <w:lang w:val="en-US"/>
              </w:rPr>
              <w:t>65.6</w:t>
            </w:r>
          </w:p>
        </w:tc>
      </w:tr>
      <w:tr w:rsidR="00D668F4" w:rsidRPr="004A792A" w14:paraId="260A5457" w14:textId="77777777" w:rsidTr="00E86E4A">
        <w:tc>
          <w:tcPr>
            <w:tcW w:w="6237" w:type="dxa"/>
            <w:gridSpan w:val="2"/>
            <w:tcBorders>
              <w:top w:val="single" w:sz="4" w:space="0" w:color="auto"/>
              <w:bottom w:val="single" w:sz="4" w:space="0" w:color="auto"/>
            </w:tcBorders>
            <w:shd w:val="clear" w:color="auto" w:fill="auto"/>
            <w:noWrap/>
          </w:tcPr>
          <w:p w14:paraId="4E44B398" w14:textId="77777777" w:rsidR="00D668F4" w:rsidRPr="004A792A" w:rsidRDefault="00D668F4" w:rsidP="00E86E4A">
            <w:pPr>
              <w:spacing w:before="0"/>
              <w:rPr>
                <w:rFonts w:eastAsia="Times New Roman" w:cstheme="minorHAnsi"/>
                <w:color w:val="000000"/>
                <w:sz w:val="20"/>
                <w:szCs w:val="20"/>
                <w:lang w:val="en-US"/>
              </w:rPr>
            </w:pPr>
            <w:r w:rsidRPr="004A792A">
              <w:rPr>
                <w:rFonts w:eastAsia="Times New Roman" w:cstheme="minorHAnsi"/>
                <w:bCs/>
                <w:color w:val="000000"/>
                <w:sz w:val="20"/>
                <w:szCs w:val="20"/>
                <w:lang w:val="en-US"/>
              </w:rPr>
              <w:t>N of profiles of job seekers in January-June 2018</w:t>
            </w:r>
          </w:p>
        </w:tc>
        <w:tc>
          <w:tcPr>
            <w:tcW w:w="930" w:type="dxa"/>
            <w:tcBorders>
              <w:top w:val="single" w:sz="4" w:space="0" w:color="auto"/>
              <w:bottom w:val="single" w:sz="4" w:space="0" w:color="auto"/>
            </w:tcBorders>
            <w:shd w:val="clear" w:color="auto" w:fill="auto"/>
            <w:noWrap/>
          </w:tcPr>
          <w:p w14:paraId="3CAABCE3" w14:textId="77777777" w:rsidR="00D668F4" w:rsidRPr="004A792A" w:rsidRDefault="00D668F4" w:rsidP="00E86E4A">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1,949</w:t>
            </w:r>
          </w:p>
        </w:tc>
        <w:tc>
          <w:tcPr>
            <w:tcW w:w="931" w:type="dxa"/>
            <w:tcBorders>
              <w:top w:val="single" w:sz="4" w:space="0" w:color="auto"/>
              <w:bottom w:val="single" w:sz="4" w:space="0" w:color="auto"/>
            </w:tcBorders>
            <w:shd w:val="clear" w:color="auto" w:fill="auto"/>
            <w:noWrap/>
          </w:tcPr>
          <w:p w14:paraId="7D1D352A" w14:textId="77777777" w:rsidR="00D668F4" w:rsidRPr="004A792A" w:rsidRDefault="00D668F4" w:rsidP="00E86E4A">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2,875</w:t>
            </w:r>
          </w:p>
        </w:tc>
        <w:tc>
          <w:tcPr>
            <w:tcW w:w="931" w:type="dxa"/>
            <w:tcBorders>
              <w:top w:val="single" w:sz="4" w:space="0" w:color="auto"/>
              <w:bottom w:val="single" w:sz="4" w:space="0" w:color="auto"/>
            </w:tcBorders>
            <w:shd w:val="clear" w:color="auto" w:fill="auto"/>
            <w:noWrap/>
          </w:tcPr>
          <w:p w14:paraId="648D9141" w14:textId="77777777" w:rsidR="00D668F4" w:rsidRPr="004A792A" w:rsidRDefault="00D668F4" w:rsidP="00E86E4A">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4,824</w:t>
            </w:r>
          </w:p>
        </w:tc>
      </w:tr>
    </w:tbl>
    <w:p w14:paraId="75524C64" w14:textId="77777777" w:rsidR="00D668F4" w:rsidRPr="000D5EE0" w:rsidRDefault="00A60A8D" w:rsidP="00511E40">
      <w:pPr>
        <w:spacing w:after="120"/>
        <w:jc w:val="both"/>
        <w:rPr>
          <w:rFonts w:cstheme="minorHAnsi"/>
          <w:lang w:val="en-US"/>
        </w:rPr>
      </w:pPr>
      <w:r w:rsidRPr="000D5EE0">
        <w:rPr>
          <w:rFonts w:cstheme="minorHAnsi"/>
          <w:i/>
          <w:sz w:val="20"/>
          <w:szCs w:val="20"/>
          <w:lang w:val="en-US"/>
        </w:rPr>
        <w:t>Note:</w:t>
      </w:r>
      <w:r w:rsidRPr="000D5EE0">
        <w:rPr>
          <w:rFonts w:cstheme="minorHAnsi"/>
          <w:lang w:val="en-US"/>
        </w:rPr>
        <w:t xml:space="preserve"> </w:t>
      </w:r>
      <w:r w:rsidR="00511E40" w:rsidRPr="000D5EE0">
        <w:rPr>
          <w:i/>
          <w:sz w:val="20"/>
          <w:szCs w:val="20"/>
          <w:lang w:val="en-US"/>
        </w:rPr>
        <w:t xml:space="preserve">*** denotes statistically significant difference between women and men </w:t>
      </w:r>
      <w:r w:rsidR="00CD2422" w:rsidRPr="000D5EE0">
        <w:rPr>
          <w:i/>
          <w:sz w:val="20"/>
          <w:szCs w:val="20"/>
          <w:lang w:val="en-US"/>
        </w:rPr>
        <w:t xml:space="preserve">at </w:t>
      </w:r>
      <w:r w:rsidR="00511E40" w:rsidRPr="000D5EE0">
        <w:rPr>
          <w:i/>
          <w:sz w:val="20"/>
          <w:szCs w:val="20"/>
          <w:lang w:val="en-US"/>
        </w:rPr>
        <w:t>1%.</w:t>
      </w:r>
    </w:p>
    <w:p w14:paraId="7149A0C5" w14:textId="1898C899" w:rsidR="00D668F4" w:rsidRPr="004A792A" w:rsidRDefault="00D668F4" w:rsidP="00D668F4">
      <w:pPr>
        <w:spacing w:before="0" w:after="120"/>
        <w:jc w:val="both"/>
        <w:rPr>
          <w:rFonts w:cstheme="minorHAnsi"/>
          <w:lang w:val="en-US"/>
        </w:rPr>
      </w:pPr>
      <w:r w:rsidRPr="0088139A">
        <w:rPr>
          <w:rFonts w:cstheme="minorHAnsi"/>
          <w:b/>
          <w:lang w:val="en-US"/>
        </w:rPr>
        <w:t xml:space="preserve">Given the age composition, it is not surprising that the overwhelming majority of job seekers are not married </w:t>
      </w:r>
      <w:r w:rsidR="0088139A" w:rsidRPr="0088139A">
        <w:rPr>
          <w:rFonts w:cstheme="minorHAnsi"/>
          <w:b/>
          <w:lang w:val="en-US"/>
        </w:rPr>
        <w:t>(</w:t>
      </w:r>
      <w:r w:rsidR="0088139A">
        <w:rPr>
          <w:rFonts w:cstheme="minorHAnsi"/>
          <w:b/>
          <w:lang w:val="en-US"/>
        </w:rPr>
        <w:t>even though</w:t>
      </w:r>
      <w:r w:rsidR="0088139A" w:rsidRPr="0088139A">
        <w:rPr>
          <w:rFonts w:cstheme="minorHAnsi"/>
          <w:b/>
          <w:lang w:val="en-US"/>
        </w:rPr>
        <w:t xml:space="preserve"> they can be cohabiting) </w:t>
      </w:r>
      <w:r w:rsidRPr="0088139A">
        <w:rPr>
          <w:rFonts w:cstheme="minorHAnsi"/>
          <w:b/>
          <w:lang w:val="en-US"/>
        </w:rPr>
        <w:t>and do not have children, and that there is no significant difference by gender</w:t>
      </w:r>
      <w:r w:rsidRPr="000D5EE0">
        <w:rPr>
          <w:rFonts w:cstheme="minorHAnsi"/>
          <w:lang w:val="en-US"/>
        </w:rPr>
        <w:t>. One of the most striking differences between women and men is in the share of unmarried individuals having children: it is almost three times higher among female job seekers compared to that of men (</w:t>
      </w:r>
      <w:r w:rsidRPr="000D5EE0">
        <w:rPr>
          <w:rFonts w:cstheme="minorHAnsi"/>
          <w:lang w:val="en-US"/>
        </w:rPr>
        <w:fldChar w:fldCharType="begin"/>
      </w:r>
      <w:r w:rsidRPr="000D5EE0">
        <w:rPr>
          <w:rFonts w:cstheme="minorHAnsi"/>
          <w:lang w:val="en-US"/>
        </w:rPr>
        <w:instrText xml:space="preserve"> REF _Ref520310664 \h </w:instrText>
      </w:r>
      <w:r w:rsidR="000D5EE0">
        <w:rPr>
          <w:rFonts w:cstheme="minorHAnsi"/>
          <w:lang w:val="en-US"/>
        </w:rPr>
        <w:instrText xml:space="preserve"> \* MERGEFORMAT </w:instrText>
      </w:r>
      <w:r w:rsidRPr="000D5EE0">
        <w:rPr>
          <w:rFonts w:cstheme="minorHAnsi"/>
          <w:lang w:val="en-US"/>
        </w:rPr>
      </w:r>
      <w:r w:rsidRPr="000D5EE0">
        <w:rPr>
          <w:rFonts w:cstheme="minorHAnsi"/>
          <w:lang w:val="en-US"/>
        </w:rPr>
        <w:fldChar w:fldCharType="separate"/>
      </w:r>
      <w:r w:rsidR="00206AA9" w:rsidRPr="004A792A">
        <w:rPr>
          <w:lang w:val="en-US"/>
        </w:rPr>
        <w:t xml:space="preserve">Table </w:t>
      </w:r>
      <w:r w:rsidR="00206AA9">
        <w:rPr>
          <w:noProof/>
          <w:lang w:val="en-US"/>
        </w:rPr>
        <w:t>8</w:t>
      </w:r>
      <w:r w:rsidRPr="000D5EE0">
        <w:rPr>
          <w:rFonts w:cstheme="minorHAnsi"/>
          <w:lang w:val="en-US"/>
        </w:rPr>
        <w:fldChar w:fldCharType="end"/>
      </w:r>
      <w:r w:rsidRPr="000D5EE0">
        <w:rPr>
          <w:rFonts w:cstheme="minorHAnsi"/>
          <w:lang w:val="en-US"/>
        </w:rPr>
        <w:t xml:space="preserve">). This suggests that </w:t>
      </w:r>
      <w:r w:rsidR="006C6FA1" w:rsidRPr="0088139A">
        <w:rPr>
          <w:rFonts w:cstheme="minorHAnsi"/>
          <w:lang w:val="en-US"/>
        </w:rPr>
        <w:t>unmarried</w:t>
      </w:r>
      <w:r w:rsidRPr="000D5EE0">
        <w:rPr>
          <w:rFonts w:cstheme="minorHAnsi"/>
          <w:lang w:val="en-US"/>
        </w:rPr>
        <w:t xml:space="preserve"> mothers with many responsibilities including financial provision, parenting</w:t>
      </w:r>
      <w:r w:rsidR="006A0DD0">
        <w:rPr>
          <w:rFonts w:cstheme="minorHAnsi"/>
          <w:lang w:val="en-US"/>
        </w:rPr>
        <w:t>,</w:t>
      </w:r>
      <w:r w:rsidRPr="000D5EE0">
        <w:rPr>
          <w:rFonts w:cstheme="minorHAnsi"/>
          <w:lang w:val="en-US"/>
        </w:rPr>
        <w:t xml:space="preserve"> and housekeeping might actively use the </w:t>
      </w:r>
      <w:r w:rsidRPr="000D5EE0">
        <w:rPr>
          <w:rFonts w:cstheme="minorHAnsi"/>
          <w:lang w:val="en-US"/>
        </w:rPr>
        <w:lastRenderedPageBreak/>
        <w:t>Internet to find a suitable “child-friendly” job.</w:t>
      </w:r>
      <w:r w:rsidR="0088139A">
        <w:rPr>
          <w:rStyle w:val="af9"/>
          <w:rFonts w:cstheme="minorHAnsi"/>
          <w:lang w:val="en-US"/>
        </w:rPr>
        <w:footnoteReference w:id="30"/>
      </w:r>
      <w:r w:rsidR="00847673">
        <w:rPr>
          <w:rFonts w:cstheme="minorHAnsi"/>
          <w:lang w:val="en-US"/>
        </w:rPr>
        <w:t xml:space="preserve"> </w:t>
      </w:r>
      <w:r w:rsidRPr="000D5EE0">
        <w:rPr>
          <w:rFonts w:cstheme="minorHAnsi"/>
          <w:lang w:val="en-US"/>
        </w:rPr>
        <w:t xml:space="preserve">On the other hand, </w:t>
      </w:r>
      <w:r w:rsidR="00255A6C" w:rsidRPr="00730E3E">
        <w:rPr>
          <w:rFonts w:cstheme="minorHAnsi"/>
          <w:lang w:val="en-US"/>
        </w:rPr>
        <w:t>single or cohabiting</w:t>
      </w:r>
      <w:r w:rsidR="00255A6C">
        <w:rPr>
          <w:rFonts w:cstheme="minorHAnsi"/>
          <w:lang w:val="en-US"/>
        </w:rPr>
        <w:t xml:space="preserve"> </w:t>
      </w:r>
      <w:r w:rsidRPr="000D5EE0">
        <w:rPr>
          <w:rFonts w:cstheme="minorHAnsi"/>
          <w:lang w:val="en-US"/>
        </w:rPr>
        <w:t xml:space="preserve">men </w:t>
      </w:r>
      <w:r w:rsidR="00847673">
        <w:rPr>
          <w:rFonts w:cstheme="minorHAnsi"/>
          <w:lang w:val="en-US"/>
        </w:rPr>
        <w:t xml:space="preserve">are more likely to </w:t>
      </w:r>
      <w:r w:rsidRPr="000D5EE0">
        <w:rPr>
          <w:rFonts w:cstheme="minorHAnsi"/>
          <w:lang w:val="en-US"/>
        </w:rPr>
        <w:t>hide information about having children.</w:t>
      </w:r>
    </w:p>
    <w:p w14:paraId="30A99CEE" w14:textId="77777777" w:rsidR="00D668F4" w:rsidRPr="004A792A" w:rsidRDefault="00D668F4" w:rsidP="00D668F4">
      <w:pPr>
        <w:spacing w:before="0" w:after="120"/>
        <w:jc w:val="both"/>
        <w:rPr>
          <w:rFonts w:cstheme="minorHAnsi"/>
          <w:lang w:val="en-US"/>
        </w:rPr>
      </w:pPr>
      <w:r w:rsidRPr="00730E3E">
        <w:rPr>
          <w:rFonts w:cstheme="minorHAnsi"/>
          <w:b/>
          <w:lang w:val="en-US"/>
        </w:rPr>
        <w:t>Another important difference is in the share of resumes with attached photos: women are much more likely to add their photo to online resume</w:t>
      </w:r>
      <w:r w:rsidR="006A0DD0" w:rsidRPr="00730E3E">
        <w:rPr>
          <w:rFonts w:cstheme="minorHAnsi"/>
          <w:b/>
          <w:lang w:val="en-US"/>
        </w:rPr>
        <w:t>s</w:t>
      </w:r>
      <w:r w:rsidRPr="00730E3E">
        <w:rPr>
          <w:rFonts w:cstheme="minorHAnsi"/>
          <w:b/>
          <w:lang w:val="en-US"/>
        </w:rPr>
        <w:t xml:space="preserve"> than men</w:t>
      </w:r>
      <w:r w:rsidRPr="004A792A">
        <w:rPr>
          <w:rFonts w:cstheme="minorHAnsi"/>
          <w:lang w:val="en-US"/>
        </w:rPr>
        <w:t xml:space="preserve">. Perhaps women believe that adding a photo to </w:t>
      </w:r>
      <w:r w:rsidR="006A0DD0">
        <w:rPr>
          <w:rFonts w:cstheme="minorHAnsi"/>
          <w:lang w:val="en-US"/>
        </w:rPr>
        <w:t xml:space="preserve">the </w:t>
      </w:r>
      <w:r w:rsidRPr="004A792A">
        <w:rPr>
          <w:rFonts w:cstheme="minorHAnsi"/>
          <w:lang w:val="en-US"/>
        </w:rPr>
        <w:t>resume will enhance their chances of getting noticed by potential employers and being invited to the job interview.</w:t>
      </w:r>
      <w:r w:rsidR="00083890">
        <w:rPr>
          <w:rStyle w:val="af9"/>
          <w:rFonts w:cstheme="minorHAnsi"/>
          <w:lang w:val="en-US"/>
        </w:rPr>
        <w:footnoteReference w:id="31"/>
      </w:r>
      <w:r w:rsidRPr="004A792A">
        <w:rPr>
          <w:rFonts w:cstheme="minorHAnsi"/>
          <w:lang w:val="en-US"/>
        </w:rPr>
        <w:t xml:space="preserve"> </w:t>
      </w:r>
      <w:r w:rsidRPr="00FA558D">
        <w:rPr>
          <w:rFonts w:cstheme="minorHAnsi"/>
          <w:lang w:val="en-US"/>
        </w:rPr>
        <w:t xml:space="preserve">An alternative explanation is that if a job portal suggests </w:t>
      </w:r>
      <w:r w:rsidR="00FA6A36" w:rsidRPr="00FA558D">
        <w:rPr>
          <w:rFonts w:cstheme="minorHAnsi"/>
          <w:lang w:val="en-US"/>
        </w:rPr>
        <w:t>adding</w:t>
      </w:r>
      <w:r w:rsidRPr="00FA558D">
        <w:rPr>
          <w:rFonts w:cstheme="minorHAnsi"/>
          <w:lang w:val="en-US"/>
        </w:rPr>
        <w:t xml:space="preserve"> a photo to their profile, more women do this th</w:t>
      </w:r>
      <w:r w:rsidRPr="004A792A">
        <w:rPr>
          <w:rFonts w:cstheme="minorHAnsi"/>
          <w:lang w:val="en-US"/>
        </w:rPr>
        <w:t xml:space="preserve">an men because women tend to be more responsive to requests </w:t>
      </w:r>
      <w:r w:rsidR="00ED6879">
        <w:rPr>
          <w:rFonts w:cstheme="minorHAnsi"/>
          <w:lang w:val="en-US"/>
        </w:rPr>
        <w:t>and</w:t>
      </w:r>
      <w:r w:rsidRPr="004A792A">
        <w:rPr>
          <w:rFonts w:cstheme="minorHAnsi"/>
          <w:lang w:val="en-US"/>
        </w:rPr>
        <w:t xml:space="preserve"> rules.</w:t>
      </w:r>
    </w:p>
    <w:p w14:paraId="75F61792" w14:textId="77777777" w:rsidR="00D668F4" w:rsidRDefault="00D668F4" w:rsidP="00D668F4">
      <w:pPr>
        <w:spacing w:before="0" w:after="120"/>
        <w:jc w:val="both"/>
        <w:rPr>
          <w:rFonts w:cstheme="minorHAnsi"/>
          <w:lang w:val="en-US"/>
        </w:rPr>
      </w:pPr>
      <w:r w:rsidRPr="006A7639">
        <w:rPr>
          <w:rFonts w:cstheme="minorHAnsi"/>
          <w:b/>
          <w:lang w:val="en-US"/>
        </w:rPr>
        <w:t xml:space="preserve">An important issue for discussion is whether a job </w:t>
      </w:r>
      <w:r w:rsidR="006B3FD0" w:rsidRPr="006A7639">
        <w:rPr>
          <w:rFonts w:cstheme="minorHAnsi"/>
          <w:b/>
          <w:lang w:val="en-US"/>
        </w:rPr>
        <w:t xml:space="preserve">portal </w:t>
      </w:r>
      <w:r w:rsidR="00071262" w:rsidRPr="006A7639">
        <w:rPr>
          <w:rFonts w:cstheme="minorHAnsi"/>
          <w:b/>
          <w:lang w:val="en-US"/>
        </w:rPr>
        <w:t xml:space="preserve">is entitled to ask </w:t>
      </w:r>
      <w:r w:rsidRPr="006A7639">
        <w:rPr>
          <w:rFonts w:cstheme="minorHAnsi"/>
          <w:b/>
          <w:lang w:val="en-US"/>
        </w:rPr>
        <w:t xml:space="preserve">job applicants </w:t>
      </w:r>
      <w:r w:rsidR="006B3FD0" w:rsidRPr="006A7639">
        <w:rPr>
          <w:rFonts w:cstheme="minorHAnsi"/>
          <w:b/>
          <w:lang w:val="en-US"/>
        </w:rPr>
        <w:t>for</w:t>
      </w:r>
      <w:r w:rsidRPr="006A7639">
        <w:rPr>
          <w:rFonts w:cstheme="minorHAnsi"/>
          <w:b/>
          <w:lang w:val="en-US"/>
        </w:rPr>
        <w:t xml:space="preserve"> their personal information such as age, marital status and having children and a photo</w:t>
      </w:r>
      <w:r w:rsidRPr="004A792A">
        <w:rPr>
          <w:rFonts w:cstheme="minorHAnsi"/>
          <w:lang w:val="en-US"/>
        </w:rPr>
        <w:t xml:space="preserve">. </w:t>
      </w:r>
      <w:r w:rsidR="006B3FD0">
        <w:rPr>
          <w:rFonts w:cstheme="minorHAnsi"/>
          <w:lang w:val="en-US"/>
        </w:rPr>
        <w:t>Such</w:t>
      </w:r>
      <w:r w:rsidR="006B3FD0" w:rsidRPr="004A792A">
        <w:rPr>
          <w:rFonts w:cstheme="minorHAnsi"/>
          <w:lang w:val="en-US"/>
        </w:rPr>
        <w:t xml:space="preserve"> </w:t>
      </w:r>
      <w:r w:rsidRPr="004A792A">
        <w:rPr>
          <w:rFonts w:cstheme="minorHAnsi"/>
          <w:lang w:val="en-US"/>
        </w:rPr>
        <w:t xml:space="preserve">information can substantially bias the recruitment process encouraging employers to </w:t>
      </w:r>
      <w:r w:rsidR="00FF2EAA" w:rsidRPr="004A792A">
        <w:rPr>
          <w:rFonts w:cstheme="minorHAnsi"/>
          <w:lang w:val="en-US"/>
        </w:rPr>
        <w:t>discriminat</w:t>
      </w:r>
      <w:r w:rsidR="00FF2EAA">
        <w:rPr>
          <w:rFonts w:cstheme="minorHAnsi"/>
          <w:lang w:val="en-US"/>
        </w:rPr>
        <w:t>e</w:t>
      </w:r>
      <w:r w:rsidR="00FF2EAA" w:rsidRPr="004A792A">
        <w:rPr>
          <w:rFonts w:cstheme="minorHAnsi"/>
          <w:lang w:val="en-US"/>
        </w:rPr>
        <w:t xml:space="preserve"> </w:t>
      </w:r>
      <w:r w:rsidRPr="004A792A">
        <w:rPr>
          <w:rFonts w:cstheme="minorHAnsi"/>
          <w:lang w:val="en-US"/>
        </w:rPr>
        <w:t xml:space="preserve">based on age, gender, motherhood, attractiveness or personal style. </w:t>
      </w:r>
      <w:proofErr w:type="spellStart"/>
      <w:r w:rsidRPr="004A792A">
        <w:rPr>
          <w:rFonts w:cstheme="minorHAnsi"/>
          <w:lang w:val="en-US"/>
        </w:rPr>
        <w:t>Rinne</w:t>
      </w:r>
      <w:proofErr w:type="spellEnd"/>
      <w:r w:rsidRPr="004A792A">
        <w:rPr>
          <w:rFonts w:cstheme="minorHAnsi"/>
          <w:lang w:val="en-US"/>
        </w:rPr>
        <w:t xml:space="preserve"> (2014) argues that reducing hiring discrimination can have large benefits and using anonymous job applications is one practical method for achieving these benefits. However, anonymous job applications cannot prevent discrimination in later stages of the hiring process, while they can block affirmative action by employers in the initial stage of recruitment. The author concludes that anonymous job applications </w:t>
      </w:r>
      <w:r w:rsidR="006B3FD0">
        <w:rPr>
          <w:rFonts w:cstheme="minorHAnsi"/>
          <w:lang w:val="en-US"/>
        </w:rPr>
        <w:t>are</w:t>
      </w:r>
      <w:r w:rsidR="006B3FD0" w:rsidRPr="004A792A">
        <w:rPr>
          <w:rFonts w:cstheme="minorHAnsi"/>
          <w:lang w:val="en-US"/>
        </w:rPr>
        <w:t xml:space="preserve"> </w:t>
      </w:r>
      <w:r w:rsidRPr="004A792A">
        <w:rPr>
          <w:rFonts w:cstheme="minorHAnsi"/>
          <w:lang w:val="en-US"/>
        </w:rPr>
        <w:t>not a panacea against employer discrimination. Proponents of adding personal photo and information to resumes, predominantly in the EU countries, argue that a resume with photo provides a more complete representation of the applicant and that anyway this personal information can be found in job seekers’ social media profiles.</w:t>
      </w:r>
    </w:p>
    <w:p w14:paraId="7CF33652" w14:textId="77777777" w:rsidR="00071262" w:rsidRPr="004A792A" w:rsidRDefault="00071262" w:rsidP="00071262">
      <w:pPr>
        <w:pStyle w:val="2"/>
        <w:numPr>
          <w:ilvl w:val="0"/>
          <w:numId w:val="0"/>
        </w:numPr>
        <w:spacing w:before="360"/>
        <w:rPr>
          <w:color w:val="0070C0"/>
          <w:sz w:val="32"/>
          <w:szCs w:val="32"/>
        </w:rPr>
      </w:pPr>
      <w:bookmarkStart w:id="98" w:name="_Toc533211745"/>
      <w:r w:rsidRPr="004A792A">
        <w:rPr>
          <w:color w:val="0070C0"/>
          <w:sz w:val="32"/>
          <w:szCs w:val="32"/>
        </w:rPr>
        <w:t>5.</w:t>
      </w:r>
      <w:r>
        <w:rPr>
          <w:color w:val="0070C0"/>
          <w:sz w:val="32"/>
          <w:szCs w:val="32"/>
        </w:rPr>
        <w:t>2</w:t>
      </w:r>
      <w:r w:rsidRPr="004A792A">
        <w:rPr>
          <w:color w:val="0070C0"/>
          <w:sz w:val="32"/>
          <w:szCs w:val="32"/>
        </w:rPr>
        <w:t xml:space="preserve">. </w:t>
      </w:r>
      <w:r>
        <w:rPr>
          <w:color w:val="0070C0"/>
          <w:sz w:val="32"/>
          <w:szCs w:val="32"/>
        </w:rPr>
        <w:t>H</w:t>
      </w:r>
      <w:r w:rsidRPr="004A792A">
        <w:rPr>
          <w:color w:val="0070C0"/>
          <w:sz w:val="32"/>
          <w:szCs w:val="32"/>
        </w:rPr>
        <w:t>uman capital characteristics of online job seekers</w:t>
      </w:r>
      <w:bookmarkEnd w:id="98"/>
    </w:p>
    <w:p w14:paraId="1977D26A" w14:textId="77777777" w:rsidR="0040303F" w:rsidRDefault="00314643" w:rsidP="00D668F4">
      <w:pPr>
        <w:spacing w:before="0" w:after="120"/>
        <w:jc w:val="both"/>
        <w:rPr>
          <w:lang w:val="en-US"/>
        </w:rPr>
      </w:pPr>
      <w:r w:rsidRPr="006A7639">
        <w:rPr>
          <w:b/>
          <w:lang w:val="en-US"/>
        </w:rPr>
        <w:t>T</w:t>
      </w:r>
      <w:r w:rsidR="00D668F4" w:rsidRPr="006A7639">
        <w:rPr>
          <w:b/>
          <w:lang w:val="en-US"/>
        </w:rPr>
        <w:t xml:space="preserve">he vast majority of </w:t>
      </w:r>
      <w:r w:rsidR="00D668F4" w:rsidRPr="006A7639">
        <w:rPr>
          <w:rFonts w:cstheme="minorHAnsi"/>
          <w:b/>
          <w:lang w:val="en-US"/>
        </w:rPr>
        <w:t xml:space="preserve">job seekers posting their resumes on the local job </w:t>
      </w:r>
      <w:r w:rsidR="00AC2D2F" w:rsidRPr="006A7639">
        <w:rPr>
          <w:rFonts w:cstheme="minorHAnsi"/>
          <w:b/>
          <w:lang w:val="en-US"/>
        </w:rPr>
        <w:t>portal</w:t>
      </w:r>
      <w:r w:rsidR="00D668F4" w:rsidRPr="006A7639">
        <w:rPr>
          <w:rFonts w:cstheme="minorHAnsi"/>
          <w:b/>
          <w:lang w:val="en-US"/>
        </w:rPr>
        <w:t xml:space="preserve"> have either incomplete or complete tertiary education</w:t>
      </w:r>
      <w:r w:rsidR="00D668F4" w:rsidRPr="004A792A">
        <w:rPr>
          <w:rFonts w:cstheme="minorHAnsi"/>
          <w:lang w:val="en-US"/>
        </w:rPr>
        <w:t xml:space="preserve"> (</w:t>
      </w:r>
      <w:r w:rsidR="00D668F4" w:rsidRPr="004A792A">
        <w:rPr>
          <w:rFonts w:cstheme="minorHAnsi"/>
          <w:lang w:val="en-US"/>
        </w:rPr>
        <w:fldChar w:fldCharType="begin"/>
      </w:r>
      <w:r w:rsidR="00D668F4" w:rsidRPr="004A792A">
        <w:rPr>
          <w:rFonts w:cstheme="minorHAnsi"/>
          <w:lang w:val="en-US"/>
        </w:rPr>
        <w:instrText xml:space="preserve"> REF _Ref520467719 \h </w:instrText>
      </w:r>
      <w:r w:rsidR="00D668F4" w:rsidRPr="004A792A">
        <w:rPr>
          <w:rFonts w:cstheme="minorHAnsi"/>
          <w:lang w:val="en-US"/>
        </w:rPr>
      </w:r>
      <w:r w:rsidR="00D668F4" w:rsidRPr="004A792A">
        <w:rPr>
          <w:rFonts w:cstheme="minorHAnsi"/>
          <w:lang w:val="en-US"/>
        </w:rPr>
        <w:fldChar w:fldCharType="separate"/>
      </w:r>
      <w:r w:rsidR="00206AA9" w:rsidRPr="004A792A">
        <w:rPr>
          <w:lang w:val="en-US"/>
        </w:rPr>
        <w:t xml:space="preserve">Table </w:t>
      </w:r>
      <w:r w:rsidR="00206AA9">
        <w:rPr>
          <w:noProof/>
          <w:lang w:val="en-US"/>
        </w:rPr>
        <w:t>9</w:t>
      </w:r>
      <w:r w:rsidR="00D668F4" w:rsidRPr="004A792A">
        <w:rPr>
          <w:rFonts w:cstheme="minorHAnsi"/>
          <w:lang w:val="en-US"/>
        </w:rPr>
        <w:fldChar w:fldCharType="end"/>
      </w:r>
      <w:r w:rsidR="00D668F4" w:rsidRPr="004A792A">
        <w:rPr>
          <w:rFonts w:cstheme="minorHAnsi"/>
          <w:lang w:val="en-US"/>
        </w:rPr>
        <w:t>)</w:t>
      </w:r>
      <w:r>
        <w:rPr>
          <w:rFonts w:cstheme="minorHAnsi"/>
          <w:lang w:val="en-US"/>
        </w:rPr>
        <w:t xml:space="preserve">. </w:t>
      </w:r>
      <w:r w:rsidR="007B4277">
        <w:rPr>
          <w:rFonts w:cstheme="minorHAnsi"/>
          <w:lang w:val="en-US"/>
        </w:rPr>
        <w:t>T</w:t>
      </w:r>
      <w:r w:rsidR="00D668F4" w:rsidRPr="004A792A">
        <w:rPr>
          <w:rFonts w:cstheme="minorHAnsi"/>
          <w:lang w:val="en-US"/>
        </w:rPr>
        <w:t xml:space="preserve">heir share is considerably larger </w:t>
      </w:r>
      <w:r w:rsidR="000C45F5">
        <w:rPr>
          <w:rFonts w:cstheme="minorHAnsi"/>
          <w:lang w:val="en-US"/>
        </w:rPr>
        <w:t xml:space="preserve">than </w:t>
      </w:r>
      <w:r w:rsidR="00071262">
        <w:rPr>
          <w:rFonts w:cstheme="minorHAnsi"/>
          <w:lang w:val="en-US"/>
        </w:rPr>
        <w:t xml:space="preserve">the proportion of </w:t>
      </w:r>
      <w:r w:rsidR="000C45F5">
        <w:rPr>
          <w:rFonts w:cstheme="minorHAnsi"/>
          <w:lang w:val="en-US"/>
        </w:rPr>
        <w:t>higher-educated individuals among un</w:t>
      </w:r>
      <w:r w:rsidR="00D668F4" w:rsidRPr="004A792A">
        <w:rPr>
          <w:rFonts w:cstheme="minorHAnsi"/>
          <w:lang w:val="en-US"/>
        </w:rPr>
        <w:t>employed men and women according to the LFS</w:t>
      </w:r>
      <w:r w:rsidR="00716A09">
        <w:rPr>
          <w:rFonts w:cstheme="minorHAnsi"/>
          <w:lang w:val="en-US"/>
        </w:rPr>
        <w:t>.</w:t>
      </w:r>
      <w:r w:rsidR="000C45F5" w:rsidRPr="000D5EE0">
        <w:rPr>
          <w:rStyle w:val="af9"/>
          <w:rFonts w:cstheme="minorHAnsi"/>
          <w:lang w:val="en-US"/>
        </w:rPr>
        <w:footnoteReference w:id="32"/>
      </w:r>
      <w:r w:rsidR="00716A09">
        <w:rPr>
          <w:rFonts w:cstheme="minorHAnsi"/>
          <w:lang w:val="en-US"/>
        </w:rPr>
        <w:t xml:space="preserve"> This is</w:t>
      </w:r>
      <w:r w:rsidR="00397520">
        <w:rPr>
          <w:rFonts w:cstheme="minorHAnsi"/>
          <w:lang w:val="en-US"/>
        </w:rPr>
        <w:t xml:space="preserve"> </w:t>
      </w:r>
      <w:r w:rsidR="00716A09">
        <w:rPr>
          <w:rFonts w:cstheme="minorHAnsi"/>
          <w:lang w:val="en-US"/>
        </w:rPr>
        <w:t>i</w:t>
      </w:r>
      <w:r w:rsidRPr="004A792A">
        <w:rPr>
          <w:rFonts w:cstheme="minorHAnsi"/>
          <w:lang w:val="en-US"/>
        </w:rPr>
        <w:t>n line with our expectation of</w:t>
      </w:r>
      <w:r w:rsidRPr="004A792A">
        <w:rPr>
          <w:lang w:val="en-US"/>
        </w:rPr>
        <w:t xml:space="preserve"> higher levels of educational attainment among the users of online employment resources</w:t>
      </w:r>
      <w:r>
        <w:rPr>
          <w:lang w:val="en-US"/>
        </w:rPr>
        <w:t>.</w:t>
      </w:r>
    </w:p>
    <w:p w14:paraId="24CFF245" w14:textId="6AF440E9" w:rsidR="000D5EE0" w:rsidRPr="0040303F" w:rsidRDefault="000D5EE0" w:rsidP="000D5EE0">
      <w:pPr>
        <w:spacing w:before="0" w:after="120"/>
        <w:jc w:val="both"/>
        <w:rPr>
          <w:lang w:val="en-US"/>
        </w:rPr>
      </w:pPr>
      <w:r w:rsidRPr="006A7639">
        <w:rPr>
          <w:b/>
          <w:lang w:val="en-US"/>
        </w:rPr>
        <w:t>Female job seekers tend to be more educated than their male counterparts not only in terms of the highest level of education but also with regard to the reported number of education episodes</w:t>
      </w:r>
      <w:r w:rsidRPr="000D5EE0">
        <w:rPr>
          <w:lang w:val="en-US"/>
        </w:rPr>
        <w:t xml:space="preserve">. Studies of resumes in the US find that women present themselves very differently in resumes than men, citing more </w:t>
      </w:r>
      <w:r w:rsidRPr="000D5EE0">
        <w:rPr>
          <w:bCs/>
          <w:lang w:val="en-US"/>
        </w:rPr>
        <w:t>credentials and personal distinctions and using more words.</w:t>
      </w:r>
      <w:r w:rsidRPr="000D5EE0">
        <w:rPr>
          <w:vertAlign w:val="superscript"/>
        </w:rPr>
        <w:footnoteReference w:id="33"/>
      </w:r>
      <w:r w:rsidRPr="000D5EE0">
        <w:rPr>
          <w:bCs/>
          <w:lang w:val="en-US"/>
        </w:rPr>
        <w:t xml:space="preserve"> If similar differences are observed in Moldova, women </w:t>
      </w:r>
      <w:r w:rsidR="00FD4D93">
        <w:rPr>
          <w:bCs/>
          <w:lang w:val="en-US"/>
        </w:rPr>
        <w:t>would be</w:t>
      </w:r>
      <w:r w:rsidR="00FD4D93" w:rsidRPr="000D5EE0">
        <w:rPr>
          <w:bCs/>
          <w:lang w:val="en-US"/>
        </w:rPr>
        <w:t xml:space="preserve"> </w:t>
      </w:r>
      <w:r w:rsidRPr="000D5EE0">
        <w:rPr>
          <w:bCs/>
          <w:lang w:val="en-US"/>
        </w:rPr>
        <w:t xml:space="preserve">expected to report more education episodes than men but these additional episodes </w:t>
      </w:r>
      <w:r w:rsidR="00FD4D93">
        <w:rPr>
          <w:bCs/>
          <w:lang w:val="en-US"/>
        </w:rPr>
        <w:t>would</w:t>
      </w:r>
      <w:r w:rsidR="00FD4D93" w:rsidRPr="000D5EE0">
        <w:rPr>
          <w:bCs/>
          <w:lang w:val="en-US"/>
        </w:rPr>
        <w:t xml:space="preserve"> </w:t>
      </w:r>
      <w:r w:rsidRPr="000D5EE0">
        <w:rPr>
          <w:bCs/>
          <w:lang w:val="en-US"/>
        </w:rPr>
        <w:t xml:space="preserve">not necessarily mean more degrees at higher levels of education. Our dataset of scraped </w:t>
      </w:r>
      <w:r w:rsidR="006A7639">
        <w:rPr>
          <w:bCs/>
          <w:lang w:val="en-US"/>
        </w:rPr>
        <w:t>resumes</w:t>
      </w:r>
      <w:r w:rsidR="006A7639" w:rsidRPr="000D5EE0">
        <w:rPr>
          <w:bCs/>
          <w:lang w:val="en-US"/>
        </w:rPr>
        <w:t xml:space="preserve"> </w:t>
      </w:r>
      <w:r w:rsidRPr="000D5EE0">
        <w:rPr>
          <w:bCs/>
          <w:lang w:val="en-US"/>
        </w:rPr>
        <w:t xml:space="preserve">does not include the whole education history, and therefore we cannot test this hypothesis with quantitative information. A quick analysis of selected online profiles with 3 and more education episodes shows that individuals of both genders report several education </w:t>
      </w:r>
      <w:r w:rsidRPr="000D5EE0">
        <w:rPr>
          <w:bCs/>
          <w:lang w:val="en-US"/>
        </w:rPr>
        <w:lastRenderedPageBreak/>
        <w:t>episodes including those at lower levels, e.g. colleges, vocational schools, and short-term training courses.</w:t>
      </w:r>
    </w:p>
    <w:p w14:paraId="588DF8A9" w14:textId="647D76E0" w:rsidR="00D668F4" w:rsidRPr="004A792A" w:rsidRDefault="00D668F4" w:rsidP="00D668F4">
      <w:pPr>
        <w:pStyle w:val="ad"/>
        <w:spacing w:before="240"/>
        <w:jc w:val="left"/>
        <w:rPr>
          <w:lang w:val="en-US"/>
        </w:rPr>
      </w:pPr>
      <w:bookmarkStart w:id="99" w:name="_Ref520467719"/>
      <w:bookmarkStart w:id="100" w:name="_Toc533211799"/>
      <w:r w:rsidRPr="004A79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9</w:t>
      </w:r>
      <w:r w:rsidR="007B7CCA">
        <w:rPr>
          <w:lang w:val="en-US"/>
        </w:rPr>
        <w:fldChar w:fldCharType="end"/>
      </w:r>
      <w:bookmarkEnd w:id="99"/>
      <w:r w:rsidR="006207EB">
        <w:rPr>
          <w:lang w:val="en-US"/>
        </w:rPr>
        <w:t>: Educational attainment</w:t>
      </w:r>
      <w:r w:rsidR="009A4F8E">
        <w:rPr>
          <w:lang w:val="en-US"/>
        </w:rPr>
        <w:t xml:space="preserve">, language and driving skills </w:t>
      </w:r>
      <w:r w:rsidRPr="004A792A">
        <w:rPr>
          <w:lang w:val="en-US"/>
        </w:rPr>
        <w:t xml:space="preserve">of </w:t>
      </w:r>
      <w:r w:rsidR="00063B16">
        <w:rPr>
          <w:lang w:val="en-US"/>
        </w:rPr>
        <w:t xml:space="preserve">female and male </w:t>
      </w:r>
      <w:r w:rsidRPr="004A792A">
        <w:rPr>
          <w:lang w:val="en-US"/>
        </w:rPr>
        <w:t>job seekers, 2018</w:t>
      </w:r>
      <w:bookmarkEnd w:id="100"/>
    </w:p>
    <w:tbl>
      <w:tblPr>
        <w:tblW w:w="9029" w:type="dxa"/>
        <w:tblLayout w:type="fixed"/>
        <w:tblLook w:val="04A0" w:firstRow="1" w:lastRow="0" w:firstColumn="1" w:lastColumn="0" w:noHBand="0" w:noVBand="1"/>
      </w:tblPr>
      <w:tblGrid>
        <w:gridCol w:w="2127"/>
        <w:gridCol w:w="3969"/>
        <w:gridCol w:w="977"/>
        <w:gridCol w:w="978"/>
        <w:gridCol w:w="978"/>
      </w:tblGrid>
      <w:tr w:rsidR="00D668F4" w:rsidRPr="004A792A" w14:paraId="6A0D2250" w14:textId="77777777" w:rsidTr="00545212">
        <w:tc>
          <w:tcPr>
            <w:tcW w:w="2127" w:type="dxa"/>
            <w:tcBorders>
              <w:top w:val="single" w:sz="4" w:space="0" w:color="auto"/>
              <w:bottom w:val="single" w:sz="4" w:space="0" w:color="auto"/>
            </w:tcBorders>
            <w:shd w:val="clear" w:color="auto" w:fill="auto"/>
            <w:noWrap/>
            <w:vAlign w:val="bottom"/>
            <w:hideMark/>
          </w:tcPr>
          <w:p w14:paraId="5989630E" w14:textId="77777777" w:rsidR="00D668F4" w:rsidRPr="004A792A" w:rsidRDefault="00D668F4" w:rsidP="004A792A">
            <w:pPr>
              <w:spacing w:before="0"/>
              <w:rPr>
                <w:rFonts w:eastAsia="Times New Roman" w:cstheme="minorHAnsi"/>
                <w:b/>
                <w:sz w:val="20"/>
                <w:szCs w:val="20"/>
                <w:lang w:val="en-US"/>
              </w:rPr>
            </w:pPr>
            <w:r w:rsidRPr="004A792A">
              <w:rPr>
                <w:rFonts w:eastAsia="Times New Roman" w:cstheme="minorHAnsi"/>
                <w:b/>
                <w:sz w:val="20"/>
                <w:szCs w:val="20"/>
                <w:lang w:val="en-US"/>
              </w:rPr>
              <w:t>Characteristic</w:t>
            </w:r>
          </w:p>
        </w:tc>
        <w:tc>
          <w:tcPr>
            <w:tcW w:w="3969" w:type="dxa"/>
            <w:tcBorders>
              <w:top w:val="single" w:sz="4" w:space="0" w:color="auto"/>
              <w:bottom w:val="single" w:sz="4" w:space="0" w:color="auto"/>
            </w:tcBorders>
            <w:shd w:val="clear" w:color="auto" w:fill="auto"/>
            <w:noWrap/>
            <w:vAlign w:val="bottom"/>
            <w:hideMark/>
          </w:tcPr>
          <w:p w14:paraId="06A9ED00" w14:textId="77777777" w:rsidR="00D668F4" w:rsidRPr="004A792A" w:rsidRDefault="00D668F4" w:rsidP="004A792A">
            <w:pPr>
              <w:spacing w:before="0"/>
              <w:rPr>
                <w:rFonts w:eastAsia="Times New Roman" w:cstheme="minorHAnsi"/>
                <w:b/>
                <w:sz w:val="20"/>
                <w:szCs w:val="20"/>
                <w:lang w:val="en-US"/>
              </w:rPr>
            </w:pPr>
            <w:r w:rsidRPr="004A792A">
              <w:rPr>
                <w:rFonts w:eastAsia="Times New Roman" w:cstheme="minorHAnsi"/>
                <w:b/>
                <w:sz w:val="20"/>
                <w:szCs w:val="20"/>
                <w:lang w:val="en-US"/>
              </w:rPr>
              <w:t>Statistics</w:t>
            </w:r>
          </w:p>
        </w:tc>
        <w:tc>
          <w:tcPr>
            <w:tcW w:w="977" w:type="dxa"/>
            <w:tcBorders>
              <w:top w:val="single" w:sz="4" w:space="0" w:color="auto"/>
              <w:bottom w:val="single" w:sz="4" w:space="0" w:color="auto"/>
            </w:tcBorders>
            <w:shd w:val="clear" w:color="auto" w:fill="auto"/>
            <w:noWrap/>
            <w:vAlign w:val="bottom"/>
            <w:hideMark/>
          </w:tcPr>
          <w:p w14:paraId="3FF5D578" w14:textId="77777777" w:rsidR="00D668F4" w:rsidRPr="004A792A" w:rsidRDefault="00D668F4" w:rsidP="004A792A">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Female</w:t>
            </w:r>
          </w:p>
        </w:tc>
        <w:tc>
          <w:tcPr>
            <w:tcW w:w="978" w:type="dxa"/>
            <w:tcBorders>
              <w:top w:val="single" w:sz="4" w:space="0" w:color="auto"/>
              <w:bottom w:val="single" w:sz="4" w:space="0" w:color="auto"/>
            </w:tcBorders>
            <w:shd w:val="clear" w:color="auto" w:fill="auto"/>
            <w:noWrap/>
            <w:vAlign w:val="bottom"/>
            <w:hideMark/>
          </w:tcPr>
          <w:p w14:paraId="550B2679" w14:textId="77777777" w:rsidR="00D668F4" w:rsidRPr="004A792A" w:rsidRDefault="00D668F4" w:rsidP="004A792A">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Male</w:t>
            </w:r>
          </w:p>
        </w:tc>
        <w:tc>
          <w:tcPr>
            <w:tcW w:w="978" w:type="dxa"/>
            <w:tcBorders>
              <w:top w:val="single" w:sz="4" w:space="0" w:color="auto"/>
              <w:bottom w:val="single" w:sz="4" w:space="0" w:color="auto"/>
            </w:tcBorders>
            <w:shd w:val="clear" w:color="auto" w:fill="auto"/>
            <w:noWrap/>
            <w:vAlign w:val="bottom"/>
            <w:hideMark/>
          </w:tcPr>
          <w:p w14:paraId="27CFCD8B" w14:textId="77777777" w:rsidR="00D668F4" w:rsidRPr="004A792A" w:rsidRDefault="00D668F4" w:rsidP="004A792A">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Total</w:t>
            </w:r>
          </w:p>
        </w:tc>
      </w:tr>
      <w:tr w:rsidR="00D668F4" w:rsidRPr="004A792A" w14:paraId="6697DF2F" w14:textId="77777777" w:rsidTr="00545212">
        <w:tc>
          <w:tcPr>
            <w:tcW w:w="2127" w:type="dxa"/>
            <w:vMerge w:val="restart"/>
            <w:tcBorders>
              <w:top w:val="single" w:sz="4" w:space="0" w:color="auto"/>
            </w:tcBorders>
            <w:shd w:val="clear" w:color="auto" w:fill="auto"/>
            <w:noWrap/>
          </w:tcPr>
          <w:p w14:paraId="14EA4895" w14:textId="77777777" w:rsidR="00D668F4" w:rsidRPr="004A792A" w:rsidRDefault="00D668F4" w:rsidP="004A792A">
            <w:pPr>
              <w:spacing w:before="0"/>
              <w:rPr>
                <w:rFonts w:eastAsia="Times New Roman" w:cstheme="minorHAnsi"/>
                <w:bCs/>
                <w:color w:val="000000"/>
                <w:sz w:val="20"/>
                <w:szCs w:val="20"/>
                <w:lang w:val="en-US"/>
              </w:rPr>
            </w:pPr>
            <w:r w:rsidRPr="004A792A">
              <w:rPr>
                <w:rFonts w:eastAsia="Times New Roman" w:cstheme="minorHAnsi"/>
                <w:bCs/>
                <w:color w:val="000000"/>
                <w:sz w:val="20"/>
                <w:szCs w:val="20"/>
                <w:lang w:val="en-US"/>
              </w:rPr>
              <w:t>Education (level)</w:t>
            </w:r>
          </w:p>
        </w:tc>
        <w:tc>
          <w:tcPr>
            <w:tcW w:w="3969" w:type="dxa"/>
            <w:tcBorders>
              <w:top w:val="single" w:sz="4" w:space="0" w:color="auto"/>
            </w:tcBorders>
            <w:shd w:val="clear" w:color="auto" w:fill="auto"/>
            <w:noWrap/>
          </w:tcPr>
          <w:p w14:paraId="7AEF36B8" w14:textId="77777777" w:rsidR="00D668F4" w:rsidRPr="004A792A" w:rsidRDefault="00D668F4" w:rsidP="004F2BFD">
            <w:pPr>
              <w:spacing w:before="0"/>
              <w:rPr>
                <w:rFonts w:eastAsia="Times New Roman" w:cstheme="minorHAnsi"/>
                <w:color w:val="000000"/>
                <w:sz w:val="20"/>
                <w:szCs w:val="20"/>
                <w:lang w:val="en-US"/>
              </w:rPr>
            </w:pPr>
            <w:r w:rsidRPr="004A792A">
              <w:rPr>
                <w:rFonts w:ascii="Calibri" w:hAnsi="Calibri" w:cs="Calibri"/>
                <w:color w:val="000000"/>
                <w:sz w:val="20"/>
                <w:szCs w:val="20"/>
                <w:lang w:val="en-US"/>
              </w:rPr>
              <w:t>Secondary general (%)</w:t>
            </w:r>
          </w:p>
        </w:tc>
        <w:tc>
          <w:tcPr>
            <w:tcW w:w="977" w:type="dxa"/>
            <w:tcBorders>
              <w:top w:val="single" w:sz="4" w:space="0" w:color="auto"/>
            </w:tcBorders>
            <w:shd w:val="clear" w:color="auto" w:fill="auto"/>
            <w:noWrap/>
          </w:tcPr>
          <w:p w14:paraId="461332B2"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16.6</w:t>
            </w:r>
          </w:p>
        </w:tc>
        <w:tc>
          <w:tcPr>
            <w:tcW w:w="978" w:type="dxa"/>
            <w:tcBorders>
              <w:top w:val="single" w:sz="4" w:space="0" w:color="auto"/>
            </w:tcBorders>
            <w:shd w:val="clear" w:color="auto" w:fill="auto"/>
            <w:noWrap/>
          </w:tcPr>
          <w:p w14:paraId="698CA842"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17.0</w:t>
            </w:r>
          </w:p>
        </w:tc>
        <w:tc>
          <w:tcPr>
            <w:tcW w:w="978" w:type="dxa"/>
            <w:tcBorders>
              <w:top w:val="single" w:sz="4" w:space="0" w:color="auto"/>
            </w:tcBorders>
            <w:shd w:val="clear" w:color="auto" w:fill="auto"/>
            <w:noWrap/>
          </w:tcPr>
          <w:p w14:paraId="541FE4C3"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16.8</w:t>
            </w:r>
          </w:p>
        </w:tc>
      </w:tr>
      <w:tr w:rsidR="00D668F4" w:rsidRPr="004A792A" w14:paraId="79F3B0E3" w14:textId="77777777" w:rsidTr="00545212">
        <w:tc>
          <w:tcPr>
            <w:tcW w:w="2127" w:type="dxa"/>
            <w:vMerge/>
            <w:shd w:val="clear" w:color="auto" w:fill="auto"/>
            <w:noWrap/>
          </w:tcPr>
          <w:p w14:paraId="6B59FFD0"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76B7C46C" w14:textId="77777777" w:rsidR="00D668F4" w:rsidRPr="004A792A" w:rsidRDefault="00D668F4" w:rsidP="004F2BFD">
            <w:pPr>
              <w:spacing w:before="0"/>
              <w:rPr>
                <w:rFonts w:eastAsia="Times New Roman" w:cstheme="minorHAnsi"/>
                <w:color w:val="000000"/>
                <w:sz w:val="20"/>
                <w:szCs w:val="20"/>
                <w:lang w:val="en-US"/>
              </w:rPr>
            </w:pPr>
            <w:r w:rsidRPr="004A792A">
              <w:rPr>
                <w:rFonts w:ascii="Calibri" w:hAnsi="Calibri" w:cs="Calibri"/>
                <w:color w:val="000000"/>
                <w:sz w:val="20"/>
                <w:szCs w:val="20"/>
                <w:lang w:val="en-US"/>
              </w:rPr>
              <w:t>Secondary vocational/special (%)</w:t>
            </w:r>
          </w:p>
        </w:tc>
        <w:tc>
          <w:tcPr>
            <w:tcW w:w="977" w:type="dxa"/>
            <w:shd w:val="clear" w:color="auto" w:fill="auto"/>
            <w:noWrap/>
          </w:tcPr>
          <w:p w14:paraId="02F758CD"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17.3</w:t>
            </w:r>
            <w:r w:rsidR="00410597">
              <w:rPr>
                <w:rFonts w:ascii="Calibri" w:hAnsi="Calibri" w:cs="Calibri"/>
                <w:color w:val="000000"/>
                <w:sz w:val="20"/>
                <w:szCs w:val="20"/>
                <w:lang w:val="en-US"/>
              </w:rPr>
              <w:t>***</w:t>
            </w:r>
          </w:p>
        </w:tc>
        <w:tc>
          <w:tcPr>
            <w:tcW w:w="978" w:type="dxa"/>
            <w:shd w:val="clear" w:color="auto" w:fill="auto"/>
            <w:noWrap/>
          </w:tcPr>
          <w:p w14:paraId="661663CC"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25.4</w:t>
            </w:r>
          </w:p>
        </w:tc>
        <w:tc>
          <w:tcPr>
            <w:tcW w:w="978" w:type="dxa"/>
            <w:shd w:val="clear" w:color="auto" w:fill="auto"/>
            <w:noWrap/>
          </w:tcPr>
          <w:p w14:paraId="03FF7337"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22.1</w:t>
            </w:r>
          </w:p>
        </w:tc>
      </w:tr>
      <w:tr w:rsidR="00D668F4" w:rsidRPr="004A792A" w14:paraId="22B92371" w14:textId="77777777" w:rsidTr="00545212">
        <w:tc>
          <w:tcPr>
            <w:tcW w:w="2127" w:type="dxa"/>
            <w:vMerge/>
            <w:shd w:val="clear" w:color="auto" w:fill="auto"/>
            <w:noWrap/>
          </w:tcPr>
          <w:p w14:paraId="14D5DF3E"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6BE1FADA" w14:textId="77777777" w:rsidR="00D668F4" w:rsidRPr="004A792A" w:rsidRDefault="00D668F4" w:rsidP="00C913CB">
            <w:pPr>
              <w:spacing w:before="0"/>
              <w:rPr>
                <w:rFonts w:eastAsia="Times New Roman" w:cstheme="minorHAnsi"/>
                <w:color w:val="000000"/>
                <w:sz w:val="20"/>
                <w:szCs w:val="20"/>
                <w:lang w:val="en-US"/>
              </w:rPr>
            </w:pPr>
            <w:r w:rsidRPr="004A792A">
              <w:rPr>
                <w:rFonts w:ascii="Calibri" w:hAnsi="Calibri" w:cs="Calibri"/>
                <w:color w:val="000000"/>
                <w:sz w:val="20"/>
                <w:szCs w:val="20"/>
                <w:lang w:val="en-US"/>
              </w:rPr>
              <w:t xml:space="preserve">Incomplete </w:t>
            </w:r>
            <w:r w:rsidR="00C913CB">
              <w:rPr>
                <w:rFonts w:ascii="Calibri" w:hAnsi="Calibri" w:cs="Calibri"/>
                <w:color w:val="000000"/>
                <w:sz w:val="20"/>
                <w:szCs w:val="20"/>
                <w:lang w:val="en-US"/>
              </w:rPr>
              <w:t>tertiary</w:t>
            </w:r>
            <w:r w:rsidRPr="004A792A">
              <w:rPr>
                <w:rFonts w:ascii="Calibri" w:hAnsi="Calibri" w:cs="Calibri"/>
                <w:color w:val="000000"/>
                <w:sz w:val="20"/>
                <w:szCs w:val="20"/>
                <w:lang w:val="en-US"/>
              </w:rPr>
              <w:t xml:space="preserve"> (%)</w:t>
            </w:r>
          </w:p>
        </w:tc>
        <w:tc>
          <w:tcPr>
            <w:tcW w:w="977" w:type="dxa"/>
            <w:shd w:val="clear" w:color="auto" w:fill="auto"/>
            <w:noWrap/>
          </w:tcPr>
          <w:p w14:paraId="57617947"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20.2</w:t>
            </w:r>
            <w:r w:rsidR="00410597">
              <w:rPr>
                <w:rFonts w:ascii="Calibri" w:hAnsi="Calibri" w:cs="Calibri"/>
                <w:color w:val="000000"/>
                <w:sz w:val="20"/>
                <w:szCs w:val="20"/>
                <w:lang w:val="en-US"/>
              </w:rPr>
              <w:t>***</w:t>
            </w:r>
          </w:p>
        </w:tc>
        <w:tc>
          <w:tcPr>
            <w:tcW w:w="978" w:type="dxa"/>
            <w:shd w:val="clear" w:color="auto" w:fill="auto"/>
            <w:noWrap/>
          </w:tcPr>
          <w:p w14:paraId="51766AD7"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17.1</w:t>
            </w:r>
          </w:p>
        </w:tc>
        <w:tc>
          <w:tcPr>
            <w:tcW w:w="978" w:type="dxa"/>
            <w:shd w:val="clear" w:color="auto" w:fill="auto"/>
            <w:noWrap/>
          </w:tcPr>
          <w:p w14:paraId="46ED8FF9"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18.4</w:t>
            </w:r>
          </w:p>
        </w:tc>
      </w:tr>
      <w:tr w:rsidR="00D668F4" w:rsidRPr="004A792A" w14:paraId="0963051F" w14:textId="77777777" w:rsidTr="00545212">
        <w:tc>
          <w:tcPr>
            <w:tcW w:w="2127" w:type="dxa"/>
            <w:vMerge/>
            <w:shd w:val="clear" w:color="auto" w:fill="auto"/>
            <w:noWrap/>
          </w:tcPr>
          <w:p w14:paraId="339173AD"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6E0F9494" w14:textId="77777777" w:rsidR="00D668F4" w:rsidRPr="004A792A" w:rsidRDefault="00C913CB" w:rsidP="00C913CB">
            <w:pPr>
              <w:spacing w:before="0"/>
              <w:rPr>
                <w:rFonts w:eastAsia="Times New Roman" w:cstheme="minorHAnsi"/>
                <w:color w:val="000000"/>
                <w:sz w:val="20"/>
                <w:szCs w:val="20"/>
                <w:lang w:val="en-US"/>
              </w:rPr>
            </w:pPr>
            <w:r>
              <w:rPr>
                <w:rFonts w:ascii="Calibri" w:hAnsi="Calibri" w:cs="Calibri"/>
                <w:color w:val="000000"/>
                <w:sz w:val="20"/>
                <w:szCs w:val="20"/>
                <w:lang w:val="en-US"/>
              </w:rPr>
              <w:t>Tertiary</w:t>
            </w:r>
            <w:r w:rsidR="00D668F4" w:rsidRPr="004A792A">
              <w:rPr>
                <w:rFonts w:ascii="Calibri" w:hAnsi="Calibri" w:cs="Calibri"/>
                <w:color w:val="000000"/>
                <w:sz w:val="20"/>
                <w:szCs w:val="20"/>
                <w:lang w:val="en-US"/>
              </w:rPr>
              <w:t xml:space="preserve"> (%)</w:t>
            </w:r>
          </w:p>
        </w:tc>
        <w:tc>
          <w:tcPr>
            <w:tcW w:w="977" w:type="dxa"/>
            <w:shd w:val="clear" w:color="auto" w:fill="auto"/>
            <w:noWrap/>
          </w:tcPr>
          <w:p w14:paraId="66C3DEB6"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37.9</w:t>
            </w:r>
            <w:r w:rsidR="00410597">
              <w:rPr>
                <w:rFonts w:ascii="Calibri" w:hAnsi="Calibri" w:cs="Calibri"/>
                <w:color w:val="000000"/>
                <w:sz w:val="20"/>
                <w:szCs w:val="20"/>
                <w:lang w:val="en-US"/>
              </w:rPr>
              <w:t>***</w:t>
            </w:r>
          </w:p>
        </w:tc>
        <w:tc>
          <w:tcPr>
            <w:tcW w:w="978" w:type="dxa"/>
            <w:shd w:val="clear" w:color="auto" w:fill="auto"/>
            <w:noWrap/>
          </w:tcPr>
          <w:p w14:paraId="0343CA28"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34.0</w:t>
            </w:r>
          </w:p>
        </w:tc>
        <w:tc>
          <w:tcPr>
            <w:tcW w:w="978" w:type="dxa"/>
            <w:shd w:val="clear" w:color="auto" w:fill="auto"/>
            <w:noWrap/>
          </w:tcPr>
          <w:p w14:paraId="5AAF126F"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35.6</w:t>
            </w:r>
          </w:p>
        </w:tc>
      </w:tr>
      <w:tr w:rsidR="00D668F4" w:rsidRPr="004A792A" w14:paraId="4ED27C76" w14:textId="77777777" w:rsidTr="00545212">
        <w:tc>
          <w:tcPr>
            <w:tcW w:w="2127" w:type="dxa"/>
            <w:vMerge/>
            <w:shd w:val="clear" w:color="auto" w:fill="auto"/>
            <w:noWrap/>
          </w:tcPr>
          <w:p w14:paraId="36C823BE"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371013AE" w14:textId="77777777" w:rsidR="00D668F4" w:rsidRPr="004A792A" w:rsidRDefault="00D668F4" w:rsidP="004F2BFD">
            <w:pPr>
              <w:spacing w:before="0"/>
              <w:rPr>
                <w:rFonts w:eastAsia="Times New Roman" w:cstheme="minorHAnsi"/>
                <w:color w:val="000000"/>
                <w:sz w:val="20"/>
                <w:szCs w:val="20"/>
                <w:lang w:val="en-US"/>
              </w:rPr>
            </w:pPr>
            <w:r w:rsidRPr="004A792A">
              <w:rPr>
                <w:rFonts w:ascii="Calibri" w:hAnsi="Calibri" w:cs="Calibri"/>
                <w:color w:val="000000"/>
                <w:sz w:val="20"/>
                <w:szCs w:val="20"/>
                <w:lang w:val="en-US"/>
              </w:rPr>
              <w:t>Student (%)</w:t>
            </w:r>
          </w:p>
        </w:tc>
        <w:tc>
          <w:tcPr>
            <w:tcW w:w="977" w:type="dxa"/>
            <w:shd w:val="clear" w:color="auto" w:fill="auto"/>
            <w:noWrap/>
          </w:tcPr>
          <w:p w14:paraId="7ECFC403"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6.6</w:t>
            </w:r>
            <w:r w:rsidR="00410597">
              <w:rPr>
                <w:rFonts w:ascii="Calibri" w:hAnsi="Calibri" w:cs="Calibri"/>
                <w:color w:val="000000"/>
                <w:sz w:val="20"/>
                <w:szCs w:val="20"/>
                <w:lang w:val="en-US"/>
              </w:rPr>
              <w:t>***</w:t>
            </w:r>
          </w:p>
        </w:tc>
        <w:tc>
          <w:tcPr>
            <w:tcW w:w="978" w:type="dxa"/>
            <w:shd w:val="clear" w:color="auto" w:fill="auto"/>
            <w:noWrap/>
          </w:tcPr>
          <w:p w14:paraId="039FA413"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4.8</w:t>
            </w:r>
          </w:p>
        </w:tc>
        <w:tc>
          <w:tcPr>
            <w:tcW w:w="978" w:type="dxa"/>
            <w:shd w:val="clear" w:color="auto" w:fill="auto"/>
            <w:noWrap/>
          </w:tcPr>
          <w:p w14:paraId="1E661F7B"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5.5</w:t>
            </w:r>
          </w:p>
        </w:tc>
      </w:tr>
      <w:tr w:rsidR="00D668F4" w:rsidRPr="004A792A" w14:paraId="1112A94A" w14:textId="77777777" w:rsidTr="00545212">
        <w:tc>
          <w:tcPr>
            <w:tcW w:w="2127" w:type="dxa"/>
            <w:vMerge/>
            <w:tcBorders>
              <w:bottom w:val="single" w:sz="4" w:space="0" w:color="auto"/>
            </w:tcBorders>
            <w:shd w:val="clear" w:color="auto" w:fill="auto"/>
            <w:noWrap/>
          </w:tcPr>
          <w:p w14:paraId="7BFD9F58" w14:textId="77777777" w:rsidR="00D668F4" w:rsidRPr="004A792A" w:rsidRDefault="00D668F4" w:rsidP="004A792A">
            <w:pPr>
              <w:spacing w:before="0"/>
              <w:rPr>
                <w:rFonts w:eastAsia="Times New Roman" w:cstheme="minorHAnsi"/>
                <w:bCs/>
                <w:color w:val="000000"/>
                <w:sz w:val="20"/>
                <w:szCs w:val="20"/>
                <w:lang w:val="en-US"/>
              </w:rPr>
            </w:pPr>
          </w:p>
        </w:tc>
        <w:tc>
          <w:tcPr>
            <w:tcW w:w="3969" w:type="dxa"/>
            <w:tcBorders>
              <w:bottom w:val="single" w:sz="4" w:space="0" w:color="auto"/>
            </w:tcBorders>
            <w:shd w:val="clear" w:color="auto" w:fill="auto"/>
            <w:noWrap/>
          </w:tcPr>
          <w:p w14:paraId="4BD6E310" w14:textId="77777777" w:rsidR="00D668F4" w:rsidRPr="004A792A" w:rsidRDefault="00D668F4" w:rsidP="004F2BFD">
            <w:pPr>
              <w:spacing w:before="0"/>
              <w:rPr>
                <w:rFonts w:eastAsia="Times New Roman" w:cstheme="minorHAnsi"/>
                <w:color w:val="000000"/>
                <w:sz w:val="20"/>
                <w:szCs w:val="20"/>
                <w:lang w:val="en-US"/>
              </w:rPr>
            </w:pPr>
            <w:r w:rsidRPr="004A792A">
              <w:rPr>
                <w:rFonts w:ascii="Calibri" w:hAnsi="Calibri" w:cs="Calibri"/>
                <w:color w:val="000000"/>
                <w:sz w:val="20"/>
                <w:szCs w:val="20"/>
                <w:lang w:val="en-US"/>
              </w:rPr>
              <w:t>Unspecified (%)</w:t>
            </w:r>
          </w:p>
        </w:tc>
        <w:tc>
          <w:tcPr>
            <w:tcW w:w="977" w:type="dxa"/>
            <w:tcBorders>
              <w:bottom w:val="single" w:sz="4" w:space="0" w:color="auto"/>
            </w:tcBorders>
            <w:shd w:val="clear" w:color="auto" w:fill="auto"/>
            <w:noWrap/>
          </w:tcPr>
          <w:p w14:paraId="0DD1AC77"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1.3</w:t>
            </w:r>
          </w:p>
        </w:tc>
        <w:tc>
          <w:tcPr>
            <w:tcW w:w="978" w:type="dxa"/>
            <w:tcBorders>
              <w:bottom w:val="single" w:sz="4" w:space="0" w:color="auto"/>
            </w:tcBorders>
            <w:shd w:val="clear" w:color="auto" w:fill="auto"/>
            <w:noWrap/>
          </w:tcPr>
          <w:p w14:paraId="3FD207EE"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1.7</w:t>
            </w:r>
          </w:p>
        </w:tc>
        <w:tc>
          <w:tcPr>
            <w:tcW w:w="978" w:type="dxa"/>
            <w:tcBorders>
              <w:bottom w:val="single" w:sz="4" w:space="0" w:color="auto"/>
            </w:tcBorders>
            <w:shd w:val="clear" w:color="auto" w:fill="auto"/>
            <w:noWrap/>
          </w:tcPr>
          <w:p w14:paraId="7786FFDD" w14:textId="77777777" w:rsidR="00D668F4" w:rsidRPr="004A792A" w:rsidRDefault="00D668F4" w:rsidP="004F2BFD">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1.6</w:t>
            </w:r>
          </w:p>
        </w:tc>
      </w:tr>
      <w:tr w:rsidR="00397520" w:rsidRPr="004A792A" w14:paraId="6AA00B90" w14:textId="77777777" w:rsidTr="00545212">
        <w:tc>
          <w:tcPr>
            <w:tcW w:w="2127" w:type="dxa"/>
            <w:vMerge w:val="restart"/>
            <w:tcBorders>
              <w:top w:val="single" w:sz="4" w:space="0" w:color="auto"/>
            </w:tcBorders>
            <w:shd w:val="clear" w:color="auto" w:fill="auto"/>
            <w:noWrap/>
          </w:tcPr>
          <w:p w14:paraId="13F533DB" w14:textId="77777777" w:rsidR="00397520" w:rsidRPr="00397520" w:rsidRDefault="00397520" w:rsidP="00452DA6">
            <w:pPr>
              <w:spacing w:before="0"/>
              <w:rPr>
                <w:rFonts w:eastAsia="Times New Roman" w:cstheme="minorHAnsi"/>
                <w:bCs/>
                <w:color w:val="000000"/>
                <w:sz w:val="20"/>
                <w:szCs w:val="20"/>
                <w:lang w:val="en-US"/>
              </w:rPr>
            </w:pPr>
            <w:r w:rsidRPr="00397520">
              <w:rPr>
                <w:rFonts w:eastAsia="Times New Roman" w:cstheme="minorHAnsi"/>
                <w:bCs/>
                <w:color w:val="000000"/>
                <w:sz w:val="20"/>
                <w:szCs w:val="20"/>
                <w:lang w:val="en-US"/>
              </w:rPr>
              <w:t>Number of education episodes reported in CV</w:t>
            </w:r>
          </w:p>
        </w:tc>
        <w:tc>
          <w:tcPr>
            <w:tcW w:w="3969" w:type="dxa"/>
            <w:tcBorders>
              <w:top w:val="single" w:sz="4" w:space="0" w:color="auto"/>
            </w:tcBorders>
            <w:shd w:val="clear" w:color="auto" w:fill="auto"/>
            <w:noWrap/>
          </w:tcPr>
          <w:p w14:paraId="40D32656" w14:textId="77777777" w:rsidR="00397520" w:rsidRPr="00397520" w:rsidRDefault="00397520" w:rsidP="004F2BFD">
            <w:pPr>
              <w:spacing w:before="0"/>
              <w:rPr>
                <w:rFonts w:ascii="Calibri" w:hAnsi="Calibri" w:cs="Calibri"/>
                <w:color w:val="000000"/>
                <w:sz w:val="20"/>
                <w:szCs w:val="20"/>
                <w:lang w:val="en-US"/>
              </w:rPr>
            </w:pPr>
            <w:r w:rsidRPr="00397520">
              <w:rPr>
                <w:rFonts w:ascii="Calibri" w:hAnsi="Calibri" w:cs="Calibri"/>
                <w:color w:val="000000"/>
                <w:sz w:val="20"/>
                <w:szCs w:val="20"/>
                <w:lang w:val="en-US"/>
              </w:rPr>
              <w:t>0 (%)</w:t>
            </w:r>
          </w:p>
        </w:tc>
        <w:tc>
          <w:tcPr>
            <w:tcW w:w="977" w:type="dxa"/>
            <w:tcBorders>
              <w:top w:val="single" w:sz="4" w:space="0" w:color="auto"/>
            </w:tcBorders>
            <w:shd w:val="clear" w:color="auto" w:fill="auto"/>
            <w:noWrap/>
          </w:tcPr>
          <w:p w14:paraId="7F72798B"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8.0</w:t>
            </w:r>
          </w:p>
        </w:tc>
        <w:tc>
          <w:tcPr>
            <w:tcW w:w="978" w:type="dxa"/>
            <w:tcBorders>
              <w:top w:val="single" w:sz="4" w:space="0" w:color="auto"/>
            </w:tcBorders>
            <w:shd w:val="clear" w:color="auto" w:fill="auto"/>
            <w:noWrap/>
          </w:tcPr>
          <w:p w14:paraId="65ADD490"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6.5</w:t>
            </w:r>
          </w:p>
        </w:tc>
        <w:tc>
          <w:tcPr>
            <w:tcW w:w="978" w:type="dxa"/>
            <w:tcBorders>
              <w:top w:val="single" w:sz="4" w:space="0" w:color="auto"/>
            </w:tcBorders>
            <w:shd w:val="clear" w:color="auto" w:fill="auto"/>
            <w:noWrap/>
          </w:tcPr>
          <w:p w14:paraId="58C076F2"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7.1</w:t>
            </w:r>
          </w:p>
        </w:tc>
      </w:tr>
      <w:tr w:rsidR="00397520" w:rsidRPr="004A792A" w14:paraId="1B5ECEC3" w14:textId="77777777" w:rsidTr="00545212">
        <w:tc>
          <w:tcPr>
            <w:tcW w:w="2127" w:type="dxa"/>
            <w:vMerge/>
            <w:shd w:val="clear" w:color="auto" w:fill="auto"/>
            <w:noWrap/>
          </w:tcPr>
          <w:p w14:paraId="18E87180" w14:textId="77777777" w:rsidR="00397520" w:rsidRPr="00397520" w:rsidRDefault="00397520" w:rsidP="00452DA6">
            <w:pPr>
              <w:spacing w:before="0"/>
              <w:rPr>
                <w:rFonts w:eastAsia="Times New Roman" w:cstheme="minorHAnsi"/>
                <w:bCs/>
                <w:color w:val="000000"/>
                <w:sz w:val="20"/>
                <w:szCs w:val="20"/>
                <w:lang w:val="en-US"/>
              </w:rPr>
            </w:pPr>
          </w:p>
        </w:tc>
        <w:tc>
          <w:tcPr>
            <w:tcW w:w="3969" w:type="dxa"/>
            <w:shd w:val="clear" w:color="auto" w:fill="auto"/>
            <w:noWrap/>
          </w:tcPr>
          <w:p w14:paraId="2856FB57" w14:textId="77777777" w:rsidR="00397520" w:rsidRPr="00397520" w:rsidRDefault="00397520" w:rsidP="004F2BFD">
            <w:pPr>
              <w:spacing w:before="0"/>
              <w:rPr>
                <w:rFonts w:ascii="Calibri" w:hAnsi="Calibri" w:cs="Calibri"/>
                <w:color w:val="000000"/>
                <w:sz w:val="20"/>
                <w:szCs w:val="20"/>
                <w:lang w:val="en-US"/>
              </w:rPr>
            </w:pPr>
            <w:r w:rsidRPr="00397520">
              <w:rPr>
                <w:rFonts w:ascii="Calibri" w:hAnsi="Calibri" w:cs="Calibri"/>
                <w:color w:val="000000"/>
                <w:sz w:val="20"/>
                <w:szCs w:val="20"/>
                <w:lang w:val="en-US"/>
              </w:rPr>
              <w:t>1 (%)</w:t>
            </w:r>
          </w:p>
        </w:tc>
        <w:tc>
          <w:tcPr>
            <w:tcW w:w="977" w:type="dxa"/>
            <w:shd w:val="clear" w:color="auto" w:fill="auto"/>
            <w:noWrap/>
          </w:tcPr>
          <w:p w14:paraId="2BF50928"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77.7</w:t>
            </w:r>
            <w:r w:rsidR="00CD2422">
              <w:rPr>
                <w:rFonts w:ascii="Calibri" w:hAnsi="Calibri" w:cs="Calibri"/>
                <w:color w:val="000000"/>
                <w:sz w:val="20"/>
                <w:szCs w:val="20"/>
                <w:lang w:val="en-US"/>
              </w:rPr>
              <w:t>**</w:t>
            </w:r>
          </w:p>
        </w:tc>
        <w:tc>
          <w:tcPr>
            <w:tcW w:w="978" w:type="dxa"/>
            <w:shd w:val="clear" w:color="auto" w:fill="auto"/>
            <w:noWrap/>
          </w:tcPr>
          <w:p w14:paraId="726D011F"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80.7</w:t>
            </w:r>
          </w:p>
        </w:tc>
        <w:tc>
          <w:tcPr>
            <w:tcW w:w="978" w:type="dxa"/>
            <w:shd w:val="clear" w:color="auto" w:fill="auto"/>
            <w:noWrap/>
          </w:tcPr>
          <w:p w14:paraId="5AD0E7F0"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79.5</w:t>
            </w:r>
          </w:p>
        </w:tc>
      </w:tr>
      <w:tr w:rsidR="00397520" w:rsidRPr="004A792A" w14:paraId="46BFBB8B" w14:textId="77777777" w:rsidTr="00545212">
        <w:tc>
          <w:tcPr>
            <w:tcW w:w="2127" w:type="dxa"/>
            <w:vMerge/>
            <w:tcBorders>
              <w:bottom w:val="single" w:sz="4" w:space="0" w:color="auto"/>
            </w:tcBorders>
            <w:shd w:val="clear" w:color="auto" w:fill="auto"/>
            <w:noWrap/>
          </w:tcPr>
          <w:p w14:paraId="1F2EC9E3" w14:textId="77777777" w:rsidR="00397520" w:rsidRPr="00397520" w:rsidRDefault="00397520" w:rsidP="00452DA6">
            <w:pPr>
              <w:spacing w:before="0"/>
              <w:rPr>
                <w:rFonts w:eastAsia="Times New Roman" w:cstheme="minorHAnsi"/>
                <w:bCs/>
                <w:color w:val="000000"/>
                <w:sz w:val="20"/>
                <w:szCs w:val="20"/>
                <w:lang w:val="en-US"/>
              </w:rPr>
            </w:pPr>
          </w:p>
        </w:tc>
        <w:tc>
          <w:tcPr>
            <w:tcW w:w="3969" w:type="dxa"/>
            <w:tcBorders>
              <w:bottom w:val="single" w:sz="4" w:space="0" w:color="auto"/>
            </w:tcBorders>
            <w:shd w:val="clear" w:color="auto" w:fill="auto"/>
            <w:noWrap/>
          </w:tcPr>
          <w:p w14:paraId="6103C209" w14:textId="77777777" w:rsidR="00397520" w:rsidRPr="00397520" w:rsidRDefault="00397520" w:rsidP="004F2BFD">
            <w:pPr>
              <w:spacing w:before="0"/>
              <w:rPr>
                <w:rFonts w:ascii="Calibri" w:hAnsi="Calibri" w:cs="Calibri"/>
                <w:color w:val="000000"/>
                <w:sz w:val="20"/>
                <w:szCs w:val="20"/>
                <w:lang w:val="en-US"/>
              </w:rPr>
            </w:pPr>
            <w:r w:rsidRPr="00397520">
              <w:rPr>
                <w:rFonts w:ascii="Calibri" w:hAnsi="Calibri" w:cs="Calibri"/>
                <w:color w:val="000000"/>
                <w:sz w:val="20"/>
                <w:szCs w:val="20"/>
                <w:lang w:val="en-US"/>
              </w:rPr>
              <w:t>2 and more (%)</w:t>
            </w:r>
          </w:p>
        </w:tc>
        <w:tc>
          <w:tcPr>
            <w:tcW w:w="977" w:type="dxa"/>
            <w:tcBorders>
              <w:bottom w:val="single" w:sz="4" w:space="0" w:color="auto"/>
            </w:tcBorders>
            <w:shd w:val="clear" w:color="auto" w:fill="auto"/>
            <w:noWrap/>
          </w:tcPr>
          <w:p w14:paraId="6837B26D"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14.3</w:t>
            </w:r>
          </w:p>
        </w:tc>
        <w:tc>
          <w:tcPr>
            <w:tcW w:w="978" w:type="dxa"/>
            <w:tcBorders>
              <w:bottom w:val="single" w:sz="4" w:space="0" w:color="auto"/>
            </w:tcBorders>
            <w:shd w:val="clear" w:color="auto" w:fill="auto"/>
            <w:noWrap/>
          </w:tcPr>
          <w:p w14:paraId="3BC4F3AA"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12.8</w:t>
            </w:r>
          </w:p>
        </w:tc>
        <w:tc>
          <w:tcPr>
            <w:tcW w:w="978" w:type="dxa"/>
            <w:tcBorders>
              <w:bottom w:val="single" w:sz="4" w:space="0" w:color="auto"/>
            </w:tcBorders>
            <w:shd w:val="clear" w:color="auto" w:fill="auto"/>
            <w:noWrap/>
          </w:tcPr>
          <w:p w14:paraId="0DC48219" w14:textId="77777777" w:rsidR="00397520" w:rsidRPr="004A792A" w:rsidRDefault="00397520"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13.4</w:t>
            </w:r>
          </w:p>
        </w:tc>
      </w:tr>
      <w:tr w:rsidR="00D668F4" w:rsidRPr="004A792A" w14:paraId="1343110D" w14:textId="77777777" w:rsidTr="00545212">
        <w:tc>
          <w:tcPr>
            <w:tcW w:w="2127" w:type="dxa"/>
            <w:vMerge w:val="restart"/>
            <w:tcBorders>
              <w:top w:val="single" w:sz="4" w:space="0" w:color="auto"/>
            </w:tcBorders>
            <w:shd w:val="clear" w:color="auto" w:fill="auto"/>
            <w:noWrap/>
          </w:tcPr>
          <w:p w14:paraId="448AA1C2" w14:textId="77777777" w:rsidR="00D668F4" w:rsidRPr="004A792A" w:rsidRDefault="00D668F4" w:rsidP="004A792A">
            <w:pPr>
              <w:spacing w:before="0"/>
              <w:rPr>
                <w:rFonts w:eastAsia="Times New Roman" w:cstheme="minorHAnsi"/>
                <w:bCs/>
                <w:color w:val="000000"/>
                <w:sz w:val="20"/>
                <w:szCs w:val="20"/>
                <w:lang w:val="en-US"/>
              </w:rPr>
            </w:pPr>
            <w:r w:rsidRPr="004A792A">
              <w:rPr>
                <w:rFonts w:eastAsia="Times New Roman" w:cstheme="minorHAnsi"/>
                <w:bCs/>
                <w:color w:val="000000"/>
                <w:sz w:val="20"/>
                <w:szCs w:val="20"/>
                <w:lang w:val="en-US"/>
              </w:rPr>
              <w:t>Time since the last education episode</w:t>
            </w:r>
          </w:p>
        </w:tc>
        <w:tc>
          <w:tcPr>
            <w:tcW w:w="3969" w:type="dxa"/>
            <w:tcBorders>
              <w:top w:val="single" w:sz="4" w:space="0" w:color="auto"/>
            </w:tcBorders>
            <w:shd w:val="clear" w:color="auto" w:fill="auto"/>
            <w:noWrap/>
          </w:tcPr>
          <w:p w14:paraId="156C5649" w14:textId="77777777" w:rsidR="00D668F4" w:rsidRPr="004A792A" w:rsidRDefault="00D668F4" w:rsidP="004F2BF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Mean (years)</w:t>
            </w:r>
          </w:p>
        </w:tc>
        <w:tc>
          <w:tcPr>
            <w:tcW w:w="977" w:type="dxa"/>
            <w:tcBorders>
              <w:top w:val="single" w:sz="4" w:space="0" w:color="auto"/>
            </w:tcBorders>
            <w:shd w:val="clear" w:color="auto" w:fill="auto"/>
            <w:noWrap/>
          </w:tcPr>
          <w:p w14:paraId="7836FAF1"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7.9</w:t>
            </w:r>
            <w:r w:rsidR="00375A8F">
              <w:rPr>
                <w:rFonts w:ascii="Calibri" w:hAnsi="Calibri" w:cs="Calibri"/>
                <w:color w:val="000000"/>
                <w:sz w:val="20"/>
                <w:szCs w:val="20"/>
                <w:lang w:val="en-US"/>
              </w:rPr>
              <w:t>***</w:t>
            </w:r>
          </w:p>
        </w:tc>
        <w:tc>
          <w:tcPr>
            <w:tcW w:w="978" w:type="dxa"/>
            <w:tcBorders>
              <w:top w:val="single" w:sz="4" w:space="0" w:color="auto"/>
            </w:tcBorders>
            <w:shd w:val="clear" w:color="auto" w:fill="auto"/>
            <w:noWrap/>
          </w:tcPr>
          <w:p w14:paraId="7045FA3E"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9.1</w:t>
            </w:r>
          </w:p>
        </w:tc>
        <w:tc>
          <w:tcPr>
            <w:tcW w:w="978" w:type="dxa"/>
            <w:tcBorders>
              <w:top w:val="single" w:sz="4" w:space="0" w:color="auto"/>
            </w:tcBorders>
            <w:shd w:val="clear" w:color="auto" w:fill="auto"/>
            <w:noWrap/>
          </w:tcPr>
          <w:p w14:paraId="479DFEC1"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8.7</w:t>
            </w:r>
          </w:p>
        </w:tc>
      </w:tr>
      <w:tr w:rsidR="00D668F4" w:rsidRPr="004A792A" w14:paraId="5E5C7DBA" w14:textId="77777777" w:rsidTr="00545212">
        <w:tc>
          <w:tcPr>
            <w:tcW w:w="2127" w:type="dxa"/>
            <w:vMerge/>
            <w:shd w:val="clear" w:color="auto" w:fill="auto"/>
            <w:noWrap/>
          </w:tcPr>
          <w:p w14:paraId="0EF1D886"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6F0C3404" w14:textId="77777777" w:rsidR="00D668F4" w:rsidRPr="004A792A" w:rsidRDefault="00D668F4" w:rsidP="004F2BF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SD (years)</w:t>
            </w:r>
          </w:p>
        </w:tc>
        <w:tc>
          <w:tcPr>
            <w:tcW w:w="977" w:type="dxa"/>
            <w:shd w:val="clear" w:color="auto" w:fill="auto"/>
            <w:noWrap/>
          </w:tcPr>
          <w:p w14:paraId="42346527"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8.3</w:t>
            </w:r>
          </w:p>
        </w:tc>
        <w:tc>
          <w:tcPr>
            <w:tcW w:w="978" w:type="dxa"/>
            <w:shd w:val="clear" w:color="auto" w:fill="auto"/>
            <w:noWrap/>
          </w:tcPr>
          <w:p w14:paraId="6F1971FD"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9.1</w:t>
            </w:r>
          </w:p>
        </w:tc>
        <w:tc>
          <w:tcPr>
            <w:tcW w:w="978" w:type="dxa"/>
            <w:shd w:val="clear" w:color="auto" w:fill="auto"/>
            <w:noWrap/>
          </w:tcPr>
          <w:p w14:paraId="3E36FB89"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8.8</w:t>
            </w:r>
          </w:p>
        </w:tc>
      </w:tr>
      <w:tr w:rsidR="00D668F4" w:rsidRPr="004A792A" w14:paraId="60FAC08E" w14:textId="77777777" w:rsidTr="00545212">
        <w:tc>
          <w:tcPr>
            <w:tcW w:w="2127" w:type="dxa"/>
            <w:vMerge/>
            <w:shd w:val="clear" w:color="auto" w:fill="auto"/>
            <w:noWrap/>
          </w:tcPr>
          <w:p w14:paraId="1D5022F0"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265906EA" w14:textId="77777777" w:rsidR="00D668F4" w:rsidRPr="004A792A" w:rsidRDefault="00D668F4" w:rsidP="004F2BF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Median (years)</w:t>
            </w:r>
          </w:p>
        </w:tc>
        <w:tc>
          <w:tcPr>
            <w:tcW w:w="977" w:type="dxa"/>
            <w:shd w:val="clear" w:color="auto" w:fill="auto"/>
            <w:noWrap/>
          </w:tcPr>
          <w:p w14:paraId="406AFB8D"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5</w:t>
            </w:r>
          </w:p>
        </w:tc>
        <w:tc>
          <w:tcPr>
            <w:tcW w:w="978" w:type="dxa"/>
            <w:shd w:val="clear" w:color="auto" w:fill="auto"/>
            <w:noWrap/>
          </w:tcPr>
          <w:p w14:paraId="63412112"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6</w:t>
            </w:r>
          </w:p>
        </w:tc>
        <w:tc>
          <w:tcPr>
            <w:tcW w:w="978" w:type="dxa"/>
            <w:shd w:val="clear" w:color="auto" w:fill="auto"/>
            <w:noWrap/>
          </w:tcPr>
          <w:p w14:paraId="549E8901"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6</w:t>
            </w:r>
          </w:p>
        </w:tc>
      </w:tr>
      <w:tr w:rsidR="00D668F4" w:rsidRPr="004A792A" w14:paraId="798800BF" w14:textId="77777777" w:rsidTr="00545212">
        <w:tc>
          <w:tcPr>
            <w:tcW w:w="2127" w:type="dxa"/>
            <w:vMerge/>
            <w:shd w:val="clear" w:color="auto" w:fill="auto"/>
            <w:noWrap/>
          </w:tcPr>
          <w:p w14:paraId="0EB9F596" w14:textId="77777777" w:rsidR="00D668F4" w:rsidRPr="004A792A" w:rsidRDefault="00D668F4" w:rsidP="004A792A">
            <w:pPr>
              <w:spacing w:before="0"/>
              <w:rPr>
                <w:rFonts w:eastAsia="Times New Roman" w:cstheme="minorHAnsi"/>
                <w:bCs/>
                <w:color w:val="000000"/>
                <w:sz w:val="20"/>
                <w:szCs w:val="20"/>
                <w:lang w:val="en-US"/>
              </w:rPr>
            </w:pPr>
          </w:p>
        </w:tc>
        <w:tc>
          <w:tcPr>
            <w:tcW w:w="3969" w:type="dxa"/>
            <w:shd w:val="clear" w:color="auto" w:fill="auto"/>
            <w:noWrap/>
          </w:tcPr>
          <w:p w14:paraId="0F0F217C" w14:textId="77777777" w:rsidR="00D668F4" w:rsidRPr="004A792A" w:rsidRDefault="00D668F4" w:rsidP="004F2BF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Min (years)</w:t>
            </w:r>
          </w:p>
        </w:tc>
        <w:tc>
          <w:tcPr>
            <w:tcW w:w="977" w:type="dxa"/>
            <w:shd w:val="clear" w:color="auto" w:fill="auto"/>
            <w:noWrap/>
          </w:tcPr>
          <w:p w14:paraId="5284490B"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0</w:t>
            </w:r>
          </w:p>
        </w:tc>
        <w:tc>
          <w:tcPr>
            <w:tcW w:w="978" w:type="dxa"/>
            <w:shd w:val="clear" w:color="auto" w:fill="auto"/>
            <w:noWrap/>
          </w:tcPr>
          <w:p w14:paraId="37F31146"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0</w:t>
            </w:r>
          </w:p>
        </w:tc>
        <w:tc>
          <w:tcPr>
            <w:tcW w:w="978" w:type="dxa"/>
            <w:shd w:val="clear" w:color="auto" w:fill="auto"/>
            <w:noWrap/>
          </w:tcPr>
          <w:p w14:paraId="02EA81F3"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0</w:t>
            </w:r>
          </w:p>
        </w:tc>
      </w:tr>
      <w:tr w:rsidR="00D668F4" w:rsidRPr="004A792A" w14:paraId="79AE3931" w14:textId="77777777" w:rsidTr="00545212">
        <w:tc>
          <w:tcPr>
            <w:tcW w:w="2127" w:type="dxa"/>
            <w:vMerge/>
            <w:tcBorders>
              <w:bottom w:val="single" w:sz="4" w:space="0" w:color="auto"/>
            </w:tcBorders>
            <w:shd w:val="clear" w:color="auto" w:fill="auto"/>
            <w:noWrap/>
          </w:tcPr>
          <w:p w14:paraId="71918570" w14:textId="77777777" w:rsidR="00D668F4" w:rsidRPr="004A792A" w:rsidRDefault="00D668F4" w:rsidP="004A792A">
            <w:pPr>
              <w:spacing w:before="0"/>
              <w:rPr>
                <w:rFonts w:eastAsia="Times New Roman" w:cstheme="minorHAnsi"/>
                <w:bCs/>
                <w:color w:val="000000"/>
                <w:sz w:val="20"/>
                <w:szCs w:val="20"/>
                <w:lang w:val="en-US"/>
              </w:rPr>
            </w:pPr>
          </w:p>
        </w:tc>
        <w:tc>
          <w:tcPr>
            <w:tcW w:w="3969" w:type="dxa"/>
            <w:tcBorders>
              <w:bottom w:val="single" w:sz="4" w:space="0" w:color="auto"/>
            </w:tcBorders>
            <w:shd w:val="clear" w:color="auto" w:fill="auto"/>
            <w:noWrap/>
          </w:tcPr>
          <w:p w14:paraId="76B919BD" w14:textId="77777777" w:rsidR="00D668F4" w:rsidRPr="004A792A" w:rsidRDefault="00D668F4" w:rsidP="004F2BF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Max (years)</w:t>
            </w:r>
          </w:p>
        </w:tc>
        <w:tc>
          <w:tcPr>
            <w:tcW w:w="977" w:type="dxa"/>
            <w:tcBorders>
              <w:bottom w:val="single" w:sz="4" w:space="0" w:color="auto"/>
            </w:tcBorders>
            <w:shd w:val="clear" w:color="auto" w:fill="auto"/>
            <w:noWrap/>
          </w:tcPr>
          <w:p w14:paraId="361D51D6"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42</w:t>
            </w:r>
          </w:p>
        </w:tc>
        <w:tc>
          <w:tcPr>
            <w:tcW w:w="978" w:type="dxa"/>
            <w:tcBorders>
              <w:bottom w:val="single" w:sz="4" w:space="0" w:color="auto"/>
            </w:tcBorders>
            <w:shd w:val="clear" w:color="auto" w:fill="auto"/>
            <w:noWrap/>
          </w:tcPr>
          <w:p w14:paraId="1DD9410E"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45</w:t>
            </w:r>
          </w:p>
        </w:tc>
        <w:tc>
          <w:tcPr>
            <w:tcW w:w="978" w:type="dxa"/>
            <w:tcBorders>
              <w:bottom w:val="single" w:sz="4" w:space="0" w:color="auto"/>
            </w:tcBorders>
            <w:shd w:val="clear" w:color="auto" w:fill="auto"/>
            <w:noWrap/>
          </w:tcPr>
          <w:p w14:paraId="32A18669"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45</w:t>
            </w:r>
          </w:p>
        </w:tc>
      </w:tr>
      <w:tr w:rsidR="00D668F4" w:rsidRPr="004A792A" w14:paraId="1896045B" w14:textId="77777777" w:rsidTr="00545212">
        <w:tc>
          <w:tcPr>
            <w:tcW w:w="2127" w:type="dxa"/>
            <w:vMerge w:val="restart"/>
            <w:tcBorders>
              <w:top w:val="single" w:sz="4" w:space="0" w:color="auto"/>
            </w:tcBorders>
            <w:shd w:val="clear" w:color="auto" w:fill="auto"/>
            <w:noWrap/>
          </w:tcPr>
          <w:p w14:paraId="2BD4FED8" w14:textId="77777777" w:rsidR="00D668F4" w:rsidRPr="004A792A" w:rsidRDefault="00D668F4" w:rsidP="006642DC">
            <w:pPr>
              <w:spacing w:before="0"/>
              <w:rPr>
                <w:rFonts w:eastAsia="Times New Roman" w:cstheme="minorHAnsi"/>
                <w:bCs/>
                <w:color w:val="000000"/>
                <w:sz w:val="20"/>
                <w:szCs w:val="20"/>
                <w:lang w:val="en-US"/>
              </w:rPr>
            </w:pPr>
            <w:r w:rsidRPr="004A792A">
              <w:rPr>
                <w:rFonts w:eastAsia="Times New Roman" w:cstheme="minorHAnsi"/>
                <w:bCs/>
                <w:color w:val="000000"/>
                <w:sz w:val="20"/>
                <w:szCs w:val="20"/>
                <w:lang w:val="en-US"/>
              </w:rPr>
              <w:t>Job seekers continuing education</w:t>
            </w:r>
          </w:p>
        </w:tc>
        <w:tc>
          <w:tcPr>
            <w:tcW w:w="3969" w:type="dxa"/>
            <w:tcBorders>
              <w:top w:val="single" w:sz="4" w:space="0" w:color="auto"/>
            </w:tcBorders>
            <w:shd w:val="clear" w:color="auto" w:fill="auto"/>
            <w:noWrap/>
          </w:tcPr>
          <w:p w14:paraId="254169A1" w14:textId="77777777" w:rsidR="00D668F4" w:rsidRPr="004A792A" w:rsidRDefault="00D668F4" w:rsidP="004F2BFD">
            <w:pPr>
              <w:spacing w:before="0"/>
              <w:rPr>
                <w:rFonts w:ascii="Calibri" w:hAnsi="Calibri" w:cs="Calibri"/>
                <w:color w:val="000000"/>
                <w:sz w:val="20"/>
                <w:szCs w:val="20"/>
                <w:lang w:val="en-US"/>
              </w:rPr>
            </w:pPr>
            <w:r w:rsidRPr="004A792A">
              <w:rPr>
                <w:rFonts w:ascii="Calibri" w:hAnsi="Calibri" w:cs="Calibri"/>
                <w:color w:val="000000"/>
                <w:sz w:val="20"/>
                <w:szCs w:val="20"/>
                <w:lang w:val="en-US"/>
              </w:rPr>
              <w:t>N</w:t>
            </w:r>
          </w:p>
        </w:tc>
        <w:tc>
          <w:tcPr>
            <w:tcW w:w="977" w:type="dxa"/>
            <w:tcBorders>
              <w:top w:val="single" w:sz="4" w:space="0" w:color="auto"/>
            </w:tcBorders>
            <w:shd w:val="clear" w:color="auto" w:fill="auto"/>
            <w:noWrap/>
          </w:tcPr>
          <w:p w14:paraId="597E1210"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568</w:t>
            </w:r>
          </w:p>
        </w:tc>
        <w:tc>
          <w:tcPr>
            <w:tcW w:w="978" w:type="dxa"/>
            <w:tcBorders>
              <w:top w:val="single" w:sz="4" w:space="0" w:color="auto"/>
            </w:tcBorders>
            <w:shd w:val="clear" w:color="auto" w:fill="auto"/>
            <w:noWrap/>
          </w:tcPr>
          <w:p w14:paraId="5487E214"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596</w:t>
            </w:r>
          </w:p>
        </w:tc>
        <w:tc>
          <w:tcPr>
            <w:tcW w:w="978" w:type="dxa"/>
            <w:tcBorders>
              <w:top w:val="single" w:sz="4" w:space="0" w:color="auto"/>
            </w:tcBorders>
            <w:shd w:val="clear" w:color="auto" w:fill="auto"/>
            <w:noWrap/>
          </w:tcPr>
          <w:p w14:paraId="7BF8F32D"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1,164</w:t>
            </w:r>
          </w:p>
        </w:tc>
      </w:tr>
      <w:tr w:rsidR="00D668F4" w:rsidRPr="004A792A" w14:paraId="4C576373" w14:textId="77777777" w:rsidTr="00545212">
        <w:tc>
          <w:tcPr>
            <w:tcW w:w="2127" w:type="dxa"/>
            <w:vMerge/>
            <w:tcBorders>
              <w:bottom w:val="single" w:sz="4" w:space="0" w:color="auto"/>
            </w:tcBorders>
            <w:shd w:val="clear" w:color="auto" w:fill="auto"/>
            <w:noWrap/>
          </w:tcPr>
          <w:p w14:paraId="4E31C60A" w14:textId="77777777" w:rsidR="00D668F4" w:rsidRPr="004A792A" w:rsidRDefault="00D668F4" w:rsidP="004A792A">
            <w:pPr>
              <w:spacing w:before="0"/>
              <w:rPr>
                <w:rFonts w:eastAsia="Times New Roman" w:cstheme="minorHAnsi"/>
                <w:b/>
                <w:bCs/>
                <w:color w:val="000000"/>
                <w:sz w:val="20"/>
                <w:szCs w:val="20"/>
                <w:lang w:val="en-US"/>
              </w:rPr>
            </w:pPr>
          </w:p>
        </w:tc>
        <w:tc>
          <w:tcPr>
            <w:tcW w:w="3969" w:type="dxa"/>
            <w:tcBorders>
              <w:bottom w:val="single" w:sz="4" w:space="0" w:color="auto"/>
            </w:tcBorders>
            <w:shd w:val="clear" w:color="auto" w:fill="auto"/>
            <w:noWrap/>
          </w:tcPr>
          <w:p w14:paraId="66874333" w14:textId="77777777" w:rsidR="00D668F4" w:rsidRPr="004A792A" w:rsidRDefault="00D668F4" w:rsidP="004F2BFD">
            <w:pPr>
              <w:spacing w:before="0"/>
              <w:rPr>
                <w:rFonts w:ascii="Calibri" w:hAnsi="Calibri" w:cs="Calibri"/>
                <w:color w:val="000000"/>
                <w:sz w:val="20"/>
                <w:szCs w:val="20"/>
                <w:lang w:val="en-US"/>
              </w:rPr>
            </w:pPr>
            <w:r w:rsidRPr="004A792A">
              <w:rPr>
                <w:rFonts w:ascii="Calibri" w:hAnsi="Calibri" w:cs="Calibri"/>
                <w:color w:val="000000"/>
                <w:sz w:val="20"/>
                <w:szCs w:val="20"/>
                <w:lang w:val="en-US"/>
              </w:rPr>
              <w:t>Share of all job seekers (%)</w:t>
            </w:r>
          </w:p>
        </w:tc>
        <w:tc>
          <w:tcPr>
            <w:tcW w:w="977" w:type="dxa"/>
            <w:tcBorders>
              <w:bottom w:val="single" w:sz="4" w:space="0" w:color="auto"/>
            </w:tcBorders>
            <w:shd w:val="clear" w:color="auto" w:fill="auto"/>
            <w:noWrap/>
          </w:tcPr>
          <w:p w14:paraId="6E29E5FF"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29.1</w:t>
            </w:r>
            <w:r w:rsidR="00A9189B">
              <w:rPr>
                <w:rFonts w:ascii="Calibri" w:hAnsi="Calibri" w:cs="Calibri"/>
                <w:color w:val="000000"/>
                <w:sz w:val="20"/>
                <w:szCs w:val="20"/>
                <w:lang w:val="en-US"/>
              </w:rPr>
              <w:t>***</w:t>
            </w:r>
          </w:p>
        </w:tc>
        <w:tc>
          <w:tcPr>
            <w:tcW w:w="978" w:type="dxa"/>
            <w:tcBorders>
              <w:bottom w:val="single" w:sz="4" w:space="0" w:color="auto"/>
            </w:tcBorders>
            <w:shd w:val="clear" w:color="auto" w:fill="auto"/>
            <w:noWrap/>
          </w:tcPr>
          <w:p w14:paraId="58696C1C"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20.7</w:t>
            </w:r>
          </w:p>
        </w:tc>
        <w:tc>
          <w:tcPr>
            <w:tcW w:w="978" w:type="dxa"/>
            <w:tcBorders>
              <w:bottom w:val="single" w:sz="4" w:space="0" w:color="auto"/>
            </w:tcBorders>
            <w:shd w:val="clear" w:color="auto" w:fill="auto"/>
            <w:noWrap/>
          </w:tcPr>
          <w:p w14:paraId="5F654D67" w14:textId="77777777" w:rsidR="00D668F4" w:rsidRPr="004A792A" w:rsidRDefault="00D668F4" w:rsidP="004F2BFD">
            <w:pPr>
              <w:spacing w:before="0"/>
              <w:jc w:val="center"/>
              <w:rPr>
                <w:rFonts w:ascii="Calibri" w:hAnsi="Calibri" w:cs="Calibri"/>
                <w:color w:val="000000"/>
                <w:sz w:val="20"/>
                <w:szCs w:val="20"/>
                <w:lang w:val="en-US"/>
              </w:rPr>
            </w:pPr>
            <w:r w:rsidRPr="004A792A">
              <w:rPr>
                <w:rFonts w:ascii="Calibri" w:hAnsi="Calibri" w:cs="Calibri"/>
                <w:color w:val="000000"/>
                <w:sz w:val="20"/>
                <w:szCs w:val="20"/>
                <w:lang w:val="en-US"/>
              </w:rPr>
              <w:t>24.1</w:t>
            </w:r>
          </w:p>
        </w:tc>
      </w:tr>
      <w:tr w:rsidR="00545212" w:rsidRPr="004A792A" w14:paraId="0760A51F" w14:textId="77777777" w:rsidTr="00545212">
        <w:tc>
          <w:tcPr>
            <w:tcW w:w="2127" w:type="dxa"/>
            <w:vMerge w:val="restart"/>
            <w:tcBorders>
              <w:top w:val="single" w:sz="4" w:space="0" w:color="auto"/>
            </w:tcBorders>
            <w:shd w:val="clear" w:color="auto" w:fill="auto"/>
            <w:noWrap/>
          </w:tcPr>
          <w:p w14:paraId="4F8F165B" w14:textId="77777777" w:rsidR="00545212" w:rsidRPr="004A792A" w:rsidRDefault="00545212" w:rsidP="00545212">
            <w:pPr>
              <w:spacing w:before="0"/>
              <w:rPr>
                <w:rFonts w:eastAsia="Times New Roman" w:cstheme="minorHAnsi"/>
                <w:b/>
                <w:bCs/>
                <w:color w:val="000000"/>
                <w:sz w:val="20"/>
                <w:szCs w:val="20"/>
                <w:lang w:val="en-US"/>
              </w:rPr>
            </w:pPr>
            <w:r>
              <w:rPr>
                <w:rFonts w:eastAsia="Times New Roman" w:cstheme="minorHAnsi"/>
                <w:bCs/>
                <w:color w:val="000000"/>
                <w:sz w:val="20"/>
                <w:szCs w:val="20"/>
                <w:lang w:val="en-US"/>
              </w:rPr>
              <w:t>Number of languages repo</w:t>
            </w:r>
            <w:r w:rsidRPr="00397520">
              <w:rPr>
                <w:rFonts w:eastAsia="Times New Roman" w:cstheme="minorHAnsi"/>
                <w:bCs/>
                <w:color w:val="000000"/>
                <w:sz w:val="20"/>
                <w:szCs w:val="20"/>
                <w:lang w:val="en-US"/>
              </w:rPr>
              <w:t>rted in CV</w:t>
            </w:r>
          </w:p>
        </w:tc>
        <w:tc>
          <w:tcPr>
            <w:tcW w:w="3969" w:type="dxa"/>
            <w:tcBorders>
              <w:top w:val="single" w:sz="4" w:space="0" w:color="auto"/>
            </w:tcBorders>
            <w:shd w:val="clear" w:color="auto" w:fill="auto"/>
            <w:noWrap/>
          </w:tcPr>
          <w:p w14:paraId="3F598A42" w14:textId="77777777" w:rsidR="00545212" w:rsidRPr="004A792A" w:rsidRDefault="00545212" w:rsidP="00545212">
            <w:pPr>
              <w:spacing w:before="0"/>
              <w:rPr>
                <w:rFonts w:ascii="Calibri" w:hAnsi="Calibri" w:cs="Calibri"/>
                <w:color w:val="000000"/>
                <w:sz w:val="20"/>
                <w:szCs w:val="20"/>
                <w:lang w:val="en-US"/>
              </w:rPr>
            </w:pPr>
            <w:r>
              <w:rPr>
                <w:rFonts w:ascii="Calibri" w:hAnsi="Calibri" w:cs="Calibri"/>
                <w:color w:val="000000"/>
                <w:sz w:val="20"/>
                <w:szCs w:val="20"/>
                <w:lang w:val="en-US"/>
              </w:rPr>
              <w:t>1</w:t>
            </w:r>
            <w:r w:rsidRPr="00397520">
              <w:rPr>
                <w:rFonts w:ascii="Calibri" w:hAnsi="Calibri" w:cs="Calibri"/>
                <w:color w:val="000000"/>
                <w:sz w:val="20"/>
                <w:szCs w:val="20"/>
                <w:lang w:val="en-US"/>
              </w:rPr>
              <w:t xml:space="preserve"> (%)</w:t>
            </w:r>
          </w:p>
        </w:tc>
        <w:tc>
          <w:tcPr>
            <w:tcW w:w="977" w:type="dxa"/>
            <w:tcBorders>
              <w:top w:val="single" w:sz="4" w:space="0" w:color="auto"/>
            </w:tcBorders>
            <w:shd w:val="clear" w:color="auto" w:fill="auto"/>
            <w:noWrap/>
            <w:vAlign w:val="bottom"/>
          </w:tcPr>
          <w:p w14:paraId="6919E0B6"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1.7</w:t>
            </w:r>
          </w:p>
        </w:tc>
        <w:tc>
          <w:tcPr>
            <w:tcW w:w="978" w:type="dxa"/>
            <w:tcBorders>
              <w:top w:val="single" w:sz="4" w:space="0" w:color="auto"/>
            </w:tcBorders>
            <w:shd w:val="clear" w:color="auto" w:fill="auto"/>
            <w:noWrap/>
            <w:vAlign w:val="bottom"/>
          </w:tcPr>
          <w:p w14:paraId="20CEA50C"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2.5</w:t>
            </w:r>
          </w:p>
        </w:tc>
        <w:tc>
          <w:tcPr>
            <w:tcW w:w="978" w:type="dxa"/>
            <w:tcBorders>
              <w:top w:val="single" w:sz="4" w:space="0" w:color="auto"/>
            </w:tcBorders>
            <w:shd w:val="clear" w:color="auto" w:fill="auto"/>
            <w:noWrap/>
            <w:vAlign w:val="bottom"/>
          </w:tcPr>
          <w:p w14:paraId="329E8BA9"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2.2</w:t>
            </w:r>
          </w:p>
        </w:tc>
      </w:tr>
      <w:tr w:rsidR="00545212" w:rsidRPr="004A792A" w14:paraId="0EAD4B6F" w14:textId="77777777" w:rsidTr="00545212">
        <w:tc>
          <w:tcPr>
            <w:tcW w:w="2127" w:type="dxa"/>
            <w:vMerge/>
            <w:shd w:val="clear" w:color="auto" w:fill="auto"/>
            <w:noWrap/>
          </w:tcPr>
          <w:p w14:paraId="21AB37C2" w14:textId="77777777" w:rsidR="00545212" w:rsidRPr="004A792A" w:rsidRDefault="00545212" w:rsidP="00545212">
            <w:pPr>
              <w:spacing w:before="0"/>
              <w:rPr>
                <w:rFonts w:eastAsia="Times New Roman" w:cstheme="minorHAnsi"/>
                <w:b/>
                <w:bCs/>
                <w:color w:val="000000"/>
                <w:sz w:val="20"/>
                <w:szCs w:val="20"/>
                <w:lang w:val="en-US"/>
              </w:rPr>
            </w:pPr>
          </w:p>
        </w:tc>
        <w:tc>
          <w:tcPr>
            <w:tcW w:w="3969" w:type="dxa"/>
            <w:shd w:val="clear" w:color="auto" w:fill="auto"/>
            <w:noWrap/>
          </w:tcPr>
          <w:p w14:paraId="4086C85F" w14:textId="77777777" w:rsidR="00545212" w:rsidRPr="004A792A" w:rsidRDefault="00545212" w:rsidP="00545212">
            <w:pPr>
              <w:spacing w:before="0"/>
              <w:rPr>
                <w:rFonts w:ascii="Calibri" w:hAnsi="Calibri" w:cs="Calibri"/>
                <w:color w:val="000000"/>
                <w:sz w:val="20"/>
                <w:szCs w:val="20"/>
                <w:lang w:val="en-US"/>
              </w:rPr>
            </w:pPr>
            <w:r>
              <w:rPr>
                <w:rFonts w:ascii="Calibri" w:hAnsi="Calibri" w:cs="Calibri"/>
                <w:color w:val="000000"/>
                <w:sz w:val="20"/>
                <w:szCs w:val="20"/>
                <w:lang w:val="en-US"/>
              </w:rPr>
              <w:t>2</w:t>
            </w:r>
            <w:r w:rsidRPr="00397520">
              <w:rPr>
                <w:rFonts w:ascii="Calibri" w:hAnsi="Calibri" w:cs="Calibri"/>
                <w:color w:val="000000"/>
                <w:sz w:val="20"/>
                <w:szCs w:val="20"/>
                <w:lang w:val="en-US"/>
              </w:rPr>
              <w:t xml:space="preserve"> (%)</w:t>
            </w:r>
          </w:p>
        </w:tc>
        <w:tc>
          <w:tcPr>
            <w:tcW w:w="977" w:type="dxa"/>
            <w:shd w:val="clear" w:color="auto" w:fill="auto"/>
            <w:noWrap/>
            <w:vAlign w:val="bottom"/>
          </w:tcPr>
          <w:p w14:paraId="0DC1B583"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31.8</w:t>
            </w:r>
            <w:r w:rsidR="00054853">
              <w:rPr>
                <w:rFonts w:ascii="Calibri" w:hAnsi="Calibri" w:cs="Calibri"/>
                <w:color w:val="000000"/>
                <w:sz w:val="20"/>
                <w:szCs w:val="20"/>
              </w:rPr>
              <w:t>***</w:t>
            </w:r>
          </w:p>
        </w:tc>
        <w:tc>
          <w:tcPr>
            <w:tcW w:w="978" w:type="dxa"/>
            <w:shd w:val="clear" w:color="auto" w:fill="auto"/>
            <w:noWrap/>
            <w:vAlign w:val="bottom"/>
          </w:tcPr>
          <w:p w14:paraId="5B5D23A0"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39.1</w:t>
            </w:r>
          </w:p>
        </w:tc>
        <w:tc>
          <w:tcPr>
            <w:tcW w:w="978" w:type="dxa"/>
            <w:shd w:val="clear" w:color="auto" w:fill="auto"/>
            <w:noWrap/>
            <w:vAlign w:val="bottom"/>
          </w:tcPr>
          <w:p w14:paraId="1F2CA471"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36.1</w:t>
            </w:r>
          </w:p>
        </w:tc>
      </w:tr>
      <w:tr w:rsidR="00545212" w:rsidRPr="004A792A" w14:paraId="62CB7685" w14:textId="77777777" w:rsidTr="00545212">
        <w:tc>
          <w:tcPr>
            <w:tcW w:w="2127" w:type="dxa"/>
            <w:vMerge/>
            <w:shd w:val="clear" w:color="auto" w:fill="auto"/>
            <w:noWrap/>
          </w:tcPr>
          <w:p w14:paraId="2933A6A2" w14:textId="77777777" w:rsidR="00545212" w:rsidRPr="004A792A" w:rsidRDefault="00545212" w:rsidP="00545212">
            <w:pPr>
              <w:spacing w:before="0"/>
              <w:rPr>
                <w:rFonts w:eastAsia="Times New Roman" w:cstheme="minorHAnsi"/>
                <w:b/>
                <w:bCs/>
                <w:color w:val="000000"/>
                <w:sz w:val="20"/>
                <w:szCs w:val="20"/>
                <w:lang w:val="en-US"/>
              </w:rPr>
            </w:pPr>
          </w:p>
        </w:tc>
        <w:tc>
          <w:tcPr>
            <w:tcW w:w="3969" w:type="dxa"/>
            <w:shd w:val="clear" w:color="auto" w:fill="auto"/>
            <w:noWrap/>
          </w:tcPr>
          <w:p w14:paraId="3D8C6F5E" w14:textId="77777777" w:rsidR="00545212" w:rsidRPr="004A792A" w:rsidRDefault="00545212" w:rsidP="00545212">
            <w:pPr>
              <w:spacing w:before="0"/>
              <w:rPr>
                <w:rFonts w:ascii="Calibri" w:hAnsi="Calibri" w:cs="Calibri"/>
                <w:color w:val="000000"/>
                <w:sz w:val="20"/>
                <w:szCs w:val="20"/>
                <w:lang w:val="en-US"/>
              </w:rPr>
            </w:pPr>
            <w:r>
              <w:rPr>
                <w:rFonts w:ascii="Calibri" w:hAnsi="Calibri" w:cs="Calibri"/>
                <w:color w:val="000000"/>
                <w:sz w:val="20"/>
                <w:szCs w:val="20"/>
                <w:lang w:val="en-US"/>
              </w:rPr>
              <w:t>3</w:t>
            </w:r>
            <w:r w:rsidRPr="00397520">
              <w:rPr>
                <w:rFonts w:ascii="Calibri" w:hAnsi="Calibri" w:cs="Calibri"/>
                <w:color w:val="000000"/>
                <w:sz w:val="20"/>
                <w:szCs w:val="20"/>
                <w:lang w:val="en-US"/>
              </w:rPr>
              <w:t xml:space="preserve"> (%)</w:t>
            </w:r>
          </w:p>
        </w:tc>
        <w:tc>
          <w:tcPr>
            <w:tcW w:w="977" w:type="dxa"/>
            <w:shd w:val="clear" w:color="auto" w:fill="auto"/>
            <w:noWrap/>
            <w:vAlign w:val="bottom"/>
          </w:tcPr>
          <w:p w14:paraId="4F992CCF"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45.4</w:t>
            </w:r>
          </w:p>
        </w:tc>
        <w:tc>
          <w:tcPr>
            <w:tcW w:w="978" w:type="dxa"/>
            <w:shd w:val="clear" w:color="auto" w:fill="auto"/>
            <w:noWrap/>
            <w:vAlign w:val="bottom"/>
          </w:tcPr>
          <w:p w14:paraId="4258DBDD"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46.0</w:t>
            </w:r>
          </w:p>
        </w:tc>
        <w:tc>
          <w:tcPr>
            <w:tcW w:w="978" w:type="dxa"/>
            <w:shd w:val="clear" w:color="auto" w:fill="auto"/>
            <w:noWrap/>
            <w:vAlign w:val="bottom"/>
          </w:tcPr>
          <w:p w14:paraId="65F77EE1"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45.8</w:t>
            </w:r>
          </w:p>
        </w:tc>
      </w:tr>
      <w:tr w:rsidR="00545212" w:rsidRPr="004A792A" w14:paraId="0934D57E" w14:textId="77777777" w:rsidTr="00545212">
        <w:tc>
          <w:tcPr>
            <w:tcW w:w="2127" w:type="dxa"/>
            <w:shd w:val="clear" w:color="auto" w:fill="auto"/>
            <w:noWrap/>
          </w:tcPr>
          <w:p w14:paraId="328EC507" w14:textId="77777777" w:rsidR="00545212" w:rsidRPr="004A792A" w:rsidRDefault="00545212" w:rsidP="00545212">
            <w:pPr>
              <w:spacing w:before="0"/>
              <w:rPr>
                <w:rFonts w:eastAsia="Times New Roman" w:cstheme="minorHAnsi"/>
                <w:b/>
                <w:bCs/>
                <w:color w:val="000000"/>
                <w:sz w:val="20"/>
                <w:szCs w:val="20"/>
                <w:lang w:val="en-US"/>
              </w:rPr>
            </w:pPr>
          </w:p>
        </w:tc>
        <w:tc>
          <w:tcPr>
            <w:tcW w:w="3969" w:type="dxa"/>
            <w:shd w:val="clear" w:color="auto" w:fill="auto"/>
            <w:noWrap/>
          </w:tcPr>
          <w:p w14:paraId="2A2968EC" w14:textId="77777777" w:rsidR="00545212" w:rsidRDefault="00545212" w:rsidP="00545212">
            <w:pPr>
              <w:spacing w:before="0"/>
              <w:rPr>
                <w:rFonts w:ascii="Calibri" w:hAnsi="Calibri" w:cs="Calibri"/>
                <w:color w:val="000000"/>
                <w:sz w:val="20"/>
                <w:szCs w:val="20"/>
                <w:lang w:val="en-US"/>
              </w:rPr>
            </w:pPr>
            <w:r>
              <w:rPr>
                <w:rFonts w:ascii="Calibri" w:hAnsi="Calibri" w:cs="Calibri"/>
                <w:color w:val="000000"/>
                <w:sz w:val="20"/>
                <w:szCs w:val="20"/>
                <w:lang w:val="en-US"/>
              </w:rPr>
              <w:t xml:space="preserve">4 (%) </w:t>
            </w:r>
          </w:p>
        </w:tc>
        <w:tc>
          <w:tcPr>
            <w:tcW w:w="977" w:type="dxa"/>
            <w:shd w:val="clear" w:color="auto" w:fill="auto"/>
            <w:noWrap/>
            <w:vAlign w:val="bottom"/>
          </w:tcPr>
          <w:p w14:paraId="11AAF53D"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16.3</w:t>
            </w:r>
            <w:r w:rsidR="00054853">
              <w:rPr>
                <w:rFonts w:ascii="Calibri" w:hAnsi="Calibri" w:cs="Calibri"/>
                <w:color w:val="000000"/>
                <w:sz w:val="20"/>
                <w:szCs w:val="20"/>
              </w:rPr>
              <w:t>***</w:t>
            </w:r>
          </w:p>
        </w:tc>
        <w:tc>
          <w:tcPr>
            <w:tcW w:w="978" w:type="dxa"/>
            <w:shd w:val="clear" w:color="auto" w:fill="auto"/>
            <w:noWrap/>
            <w:vAlign w:val="bottom"/>
          </w:tcPr>
          <w:p w14:paraId="668ECDEB"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10.1</w:t>
            </w:r>
          </w:p>
        </w:tc>
        <w:tc>
          <w:tcPr>
            <w:tcW w:w="978" w:type="dxa"/>
            <w:shd w:val="clear" w:color="auto" w:fill="auto"/>
            <w:noWrap/>
            <w:vAlign w:val="bottom"/>
          </w:tcPr>
          <w:p w14:paraId="0F7EA962"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12.6</w:t>
            </w:r>
          </w:p>
        </w:tc>
      </w:tr>
      <w:tr w:rsidR="00545212" w:rsidRPr="004A792A" w14:paraId="66712DEB" w14:textId="77777777" w:rsidTr="00B245ED">
        <w:tc>
          <w:tcPr>
            <w:tcW w:w="2127" w:type="dxa"/>
            <w:tcBorders>
              <w:bottom w:val="single" w:sz="4" w:space="0" w:color="auto"/>
            </w:tcBorders>
            <w:shd w:val="clear" w:color="auto" w:fill="auto"/>
            <w:noWrap/>
          </w:tcPr>
          <w:p w14:paraId="4AEF01CA" w14:textId="77777777" w:rsidR="00545212" w:rsidRPr="004A792A" w:rsidRDefault="00545212" w:rsidP="00545212">
            <w:pPr>
              <w:spacing w:before="0"/>
              <w:rPr>
                <w:rFonts w:eastAsia="Times New Roman" w:cstheme="minorHAnsi"/>
                <w:b/>
                <w:bCs/>
                <w:color w:val="000000"/>
                <w:sz w:val="20"/>
                <w:szCs w:val="20"/>
                <w:lang w:val="en-US"/>
              </w:rPr>
            </w:pPr>
          </w:p>
        </w:tc>
        <w:tc>
          <w:tcPr>
            <w:tcW w:w="3969" w:type="dxa"/>
            <w:tcBorders>
              <w:bottom w:val="single" w:sz="4" w:space="0" w:color="auto"/>
            </w:tcBorders>
            <w:shd w:val="clear" w:color="auto" w:fill="auto"/>
            <w:noWrap/>
          </w:tcPr>
          <w:p w14:paraId="4E247301" w14:textId="77777777" w:rsidR="00545212" w:rsidRDefault="00545212" w:rsidP="00545212">
            <w:pPr>
              <w:spacing w:before="0"/>
              <w:rPr>
                <w:rFonts w:ascii="Calibri" w:hAnsi="Calibri" w:cs="Calibri"/>
                <w:color w:val="000000"/>
                <w:sz w:val="20"/>
                <w:szCs w:val="20"/>
                <w:lang w:val="en-US"/>
              </w:rPr>
            </w:pPr>
            <w:r>
              <w:rPr>
                <w:rFonts w:ascii="Calibri" w:hAnsi="Calibri" w:cs="Calibri"/>
                <w:color w:val="000000"/>
                <w:sz w:val="20"/>
                <w:szCs w:val="20"/>
                <w:lang w:val="en-US"/>
              </w:rPr>
              <w:t>5 and more (%)</w:t>
            </w:r>
          </w:p>
        </w:tc>
        <w:tc>
          <w:tcPr>
            <w:tcW w:w="977" w:type="dxa"/>
            <w:tcBorders>
              <w:bottom w:val="single" w:sz="4" w:space="0" w:color="auto"/>
            </w:tcBorders>
            <w:shd w:val="clear" w:color="auto" w:fill="auto"/>
            <w:noWrap/>
            <w:vAlign w:val="bottom"/>
          </w:tcPr>
          <w:p w14:paraId="675CD849"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4.8</w:t>
            </w:r>
            <w:r w:rsidR="00054853">
              <w:rPr>
                <w:rFonts w:ascii="Calibri" w:hAnsi="Calibri" w:cs="Calibri"/>
                <w:color w:val="000000"/>
                <w:sz w:val="20"/>
                <w:szCs w:val="20"/>
              </w:rPr>
              <w:t>***</w:t>
            </w:r>
          </w:p>
        </w:tc>
        <w:tc>
          <w:tcPr>
            <w:tcW w:w="978" w:type="dxa"/>
            <w:tcBorders>
              <w:bottom w:val="single" w:sz="4" w:space="0" w:color="auto"/>
            </w:tcBorders>
            <w:shd w:val="clear" w:color="auto" w:fill="auto"/>
            <w:noWrap/>
            <w:vAlign w:val="bottom"/>
          </w:tcPr>
          <w:p w14:paraId="6FE24A13"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2.4</w:t>
            </w:r>
          </w:p>
        </w:tc>
        <w:tc>
          <w:tcPr>
            <w:tcW w:w="978" w:type="dxa"/>
            <w:tcBorders>
              <w:bottom w:val="single" w:sz="4" w:space="0" w:color="auto"/>
            </w:tcBorders>
            <w:shd w:val="clear" w:color="auto" w:fill="auto"/>
            <w:noWrap/>
            <w:vAlign w:val="bottom"/>
          </w:tcPr>
          <w:p w14:paraId="5740A7C6" w14:textId="77777777" w:rsidR="00545212" w:rsidRPr="00545212" w:rsidRDefault="00545212" w:rsidP="00545212">
            <w:pPr>
              <w:spacing w:before="0"/>
              <w:jc w:val="center"/>
              <w:rPr>
                <w:rFonts w:ascii="Calibri" w:hAnsi="Calibri" w:cs="Calibri"/>
                <w:color w:val="000000"/>
                <w:sz w:val="20"/>
                <w:szCs w:val="20"/>
                <w:lang w:val="en-US"/>
              </w:rPr>
            </w:pPr>
            <w:r w:rsidRPr="00545212">
              <w:rPr>
                <w:rFonts w:ascii="Calibri" w:hAnsi="Calibri" w:cs="Calibri"/>
                <w:color w:val="000000"/>
                <w:sz w:val="20"/>
                <w:szCs w:val="20"/>
              </w:rPr>
              <w:t>3.3</w:t>
            </w:r>
          </w:p>
        </w:tc>
      </w:tr>
      <w:tr w:rsidR="009A4F8E" w:rsidRPr="004A792A" w14:paraId="3FAED8F0" w14:textId="77777777" w:rsidTr="00545212">
        <w:tc>
          <w:tcPr>
            <w:tcW w:w="6096" w:type="dxa"/>
            <w:gridSpan w:val="2"/>
            <w:tcBorders>
              <w:top w:val="single" w:sz="4" w:space="0" w:color="auto"/>
              <w:bottom w:val="single" w:sz="4" w:space="0" w:color="auto"/>
            </w:tcBorders>
            <w:shd w:val="clear" w:color="auto" w:fill="auto"/>
            <w:noWrap/>
          </w:tcPr>
          <w:p w14:paraId="1EFB8C28" w14:textId="77777777" w:rsidR="009A4F8E" w:rsidRDefault="009A4F8E" w:rsidP="009A4F8E">
            <w:pPr>
              <w:spacing w:before="0"/>
              <w:rPr>
                <w:rFonts w:ascii="Calibri" w:hAnsi="Calibri" w:cs="Calibri"/>
                <w:color w:val="000000"/>
                <w:sz w:val="20"/>
                <w:szCs w:val="20"/>
                <w:lang w:val="en-US"/>
              </w:rPr>
            </w:pPr>
            <w:r>
              <w:rPr>
                <w:rFonts w:eastAsia="Times New Roman" w:cstheme="minorHAnsi"/>
                <w:bCs/>
                <w:color w:val="000000"/>
                <w:sz w:val="20"/>
                <w:szCs w:val="20"/>
                <w:lang w:val="en-US"/>
              </w:rPr>
              <w:t>Job seekers having driving license (</w:t>
            </w:r>
            <w:r w:rsidRPr="004A792A">
              <w:rPr>
                <w:rFonts w:ascii="Calibri" w:hAnsi="Calibri" w:cs="Calibri"/>
                <w:color w:val="000000"/>
                <w:sz w:val="20"/>
                <w:szCs w:val="20"/>
                <w:lang w:val="en-US"/>
              </w:rPr>
              <w:t>% of all job seekers)</w:t>
            </w:r>
          </w:p>
        </w:tc>
        <w:tc>
          <w:tcPr>
            <w:tcW w:w="977" w:type="dxa"/>
            <w:tcBorders>
              <w:top w:val="single" w:sz="4" w:space="0" w:color="auto"/>
              <w:bottom w:val="single" w:sz="4" w:space="0" w:color="auto"/>
            </w:tcBorders>
            <w:shd w:val="clear" w:color="auto" w:fill="auto"/>
            <w:noWrap/>
          </w:tcPr>
          <w:p w14:paraId="333C90B5" w14:textId="77777777" w:rsidR="009A4F8E" w:rsidRPr="004A792A" w:rsidRDefault="009A4F8E" w:rsidP="009A4F8E">
            <w:pPr>
              <w:spacing w:before="0"/>
              <w:jc w:val="center"/>
              <w:rPr>
                <w:rFonts w:ascii="Calibri" w:hAnsi="Calibri" w:cs="Calibri"/>
                <w:color w:val="000000"/>
                <w:sz w:val="20"/>
                <w:szCs w:val="20"/>
                <w:lang w:val="en-US"/>
              </w:rPr>
            </w:pPr>
            <w:r>
              <w:rPr>
                <w:rFonts w:ascii="Calibri" w:hAnsi="Calibri" w:cs="Calibri"/>
                <w:color w:val="000000"/>
                <w:sz w:val="20"/>
                <w:szCs w:val="20"/>
              </w:rPr>
              <w:t>24.2</w:t>
            </w:r>
            <w:r w:rsidR="002E4074">
              <w:rPr>
                <w:rFonts w:ascii="Calibri" w:hAnsi="Calibri" w:cs="Calibri"/>
                <w:color w:val="000000"/>
                <w:sz w:val="20"/>
                <w:szCs w:val="20"/>
              </w:rPr>
              <w:t>***</w:t>
            </w:r>
          </w:p>
        </w:tc>
        <w:tc>
          <w:tcPr>
            <w:tcW w:w="978" w:type="dxa"/>
            <w:tcBorders>
              <w:top w:val="single" w:sz="4" w:space="0" w:color="auto"/>
              <w:bottom w:val="single" w:sz="4" w:space="0" w:color="auto"/>
            </w:tcBorders>
            <w:shd w:val="clear" w:color="auto" w:fill="auto"/>
            <w:noWrap/>
          </w:tcPr>
          <w:p w14:paraId="35882FBE" w14:textId="77777777" w:rsidR="009A4F8E" w:rsidRPr="004A792A" w:rsidRDefault="009A4F8E" w:rsidP="009A4F8E">
            <w:pPr>
              <w:spacing w:before="0"/>
              <w:jc w:val="center"/>
              <w:rPr>
                <w:rFonts w:ascii="Calibri" w:hAnsi="Calibri" w:cs="Calibri"/>
                <w:color w:val="000000"/>
                <w:sz w:val="20"/>
                <w:szCs w:val="20"/>
                <w:lang w:val="en-US"/>
              </w:rPr>
            </w:pPr>
            <w:r>
              <w:rPr>
                <w:rFonts w:ascii="Calibri" w:hAnsi="Calibri" w:cs="Calibri"/>
                <w:color w:val="000000"/>
                <w:sz w:val="20"/>
                <w:szCs w:val="20"/>
              </w:rPr>
              <w:t>56.6</w:t>
            </w:r>
          </w:p>
        </w:tc>
        <w:tc>
          <w:tcPr>
            <w:tcW w:w="978" w:type="dxa"/>
            <w:tcBorders>
              <w:top w:val="single" w:sz="4" w:space="0" w:color="auto"/>
              <w:bottom w:val="single" w:sz="4" w:space="0" w:color="auto"/>
            </w:tcBorders>
            <w:shd w:val="clear" w:color="auto" w:fill="auto"/>
            <w:noWrap/>
          </w:tcPr>
          <w:p w14:paraId="449C6A82" w14:textId="77777777" w:rsidR="009A4F8E" w:rsidRPr="004A792A" w:rsidRDefault="009A4F8E" w:rsidP="009A4F8E">
            <w:pPr>
              <w:spacing w:before="0"/>
              <w:jc w:val="center"/>
              <w:rPr>
                <w:rFonts w:ascii="Calibri" w:hAnsi="Calibri" w:cs="Calibri"/>
                <w:color w:val="000000"/>
                <w:sz w:val="20"/>
                <w:szCs w:val="20"/>
                <w:lang w:val="en-US"/>
              </w:rPr>
            </w:pPr>
            <w:r>
              <w:rPr>
                <w:rFonts w:ascii="Calibri" w:hAnsi="Calibri" w:cs="Calibri"/>
                <w:color w:val="000000"/>
                <w:sz w:val="20"/>
                <w:szCs w:val="20"/>
              </w:rPr>
              <w:t>43.5</w:t>
            </w:r>
          </w:p>
        </w:tc>
      </w:tr>
    </w:tbl>
    <w:p w14:paraId="31C5559E" w14:textId="77777777" w:rsidR="00D668F4" w:rsidRPr="000D5EE0" w:rsidRDefault="00716A09" w:rsidP="00D668F4">
      <w:pPr>
        <w:spacing w:before="0" w:after="120"/>
        <w:jc w:val="both"/>
        <w:rPr>
          <w:rFonts w:cstheme="minorHAnsi"/>
          <w:lang w:val="en-US"/>
        </w:rPr>
      </w:pPr>
      <w:r w:rsidRPr="000D5EE0">
        <w:rPr>
          <w:rFonts w:cstheme="minorHAnsi"/>
          <w:i/>
          <w:sz w:val="20"/>
          <w:szCs w:val="20"/>
          <w:lang w:val="en-US"/>
        </w:rPr>
        <w:t>Note:</w:t>
      </w:r>
      <w:r w:rsidRPr="000D5EE0">
        <w:rPr>
          <w:rFonts w:cstheme="minorHAnsi"/>
          <w:lang w:val="en-US"/>
        </w:rPr>
        <w:t xml:space="preserve"> </w:t>
      </w:r>
      <w:r w:rsidRPr="000D5EE0">
        <w:rPr>
          <w:i/>
          <w:sz w:val="20"/>
          <w:szCs w:val="20"/>
          <w:lang w:val="en-US"/>
        </w:rPr>
        <w:t>***</w:t>
      </w:r>
      <w:r w:rsidR="00CD2422" w:rsidRPr="000D5EE0">
        <w:rPr>
          <w:i/>
          <w:sz w:val="20"/>
          <w:szCs w:val="20"/>
          <w:lang w:val="en-US"/>
        </w:rPr>
        <w:t>/**</w:t>
      </w:r>
      <w:r w:rsidRPr="000D5EE0">
        <w:rPr>
          <w:i/>
          <w:sz w:val="20"/>
          <w:szCs w:val="20"/>
          <w:lang w:val="en-US"/>
        </w:rPr>
        <w:t xml:space="preserve"> denotes statistically significant difference between women and men </w:t>
      </w:r>
      <w:r w:rsidR="00CD2422" w:rsidRPr="000D5EE0">
        <w:rPr>
          <w:i/>
          <w:sz w:val="20"/>
          <w:szCs w:val="20"/>
          <w:lang w:val="en-US"/>
        </w:rPr>
        <w:t xml:space="preserve">at </w:t>
      </w:r>
      <w:r w:rsidRPr="000D5EE0">
        <w:rPr>
          <w:i/>
          <w:sz w:val="20"/>
          <w:szCs w:val="20"/>
          <w:lang w:val="en-US"/>
        </w:rPr>
        <w:t>1%</w:t>
      </w:r>
      <w:r w:rsidR="00CD2422" w:rsidRPr="000D5EE0">
        <w:rPr>
          <w:i/>
          <w:sz w:val="20"/>
          <w:szCs w:val="20"/>
          <w:lang w:val="en-US"/>
        </w:rPr>
        <w:t>/5%</w:t>
      </w:r>
      <w:r w:rsidRPr="000D5EE0">
        <w:rPr>
          <w:i/>
          <w:sz w:val="20"/>
          <w:szCs w:val="20"/>
          <w:lang w:val="en-US"/>
        </w:rPr>
        <w:t>.</w:t>
      </w:r>
    </w:p>
    <w:p w14:paraId="7A724D7C" w14:textId="77777777" w:rsidR="00A40005" w:rsidRDefault="00A40005" w:rsidP="00A40005">
      <w:pPr>
        <w:spacing w:before="0" w:after="120"/>
        <w:jc w:val="both"/>
        <w:rPr>
          <w:lang w:val="en-US"/>
        </w:rPr>
      </w:pPr>
      <w:r w:rsidRPr="006A7639">
        <w:rPr>
          <w:rFonts w:cstheme="minorHAnsi"/>
          <w:b/>
          <w:lang w:val="en-US"/>
        </w:rPr>
        <w:t>There are also relatively more students among women posting their resume</w:t>
      </w:r>
      <w:r w:rsidR="00314643" w:rsidRPr="006A7639">
        <w:rPr>
          <w:rFonts w:cstheme="minorHAnsi"/>
          <w:b/>
          <w:lang w:val="en-US"/>
        </w:rPr>
        <w:t>s</w:t>
      </w:r>
      <w:r w:rsidRPr="006A7639">
        <w:rPr>
          <w:rFonts w:cstheme="minorHAnsi"/>
          <w:b/>
          <w:lang w:val="en-US"/>
        </w:rPr>
        <w:t xml:space="preserve"> online</w:t>
      </w:r>
      <w:r w:rsidRPr="000D5EE0">
        <w:rPr>
          <w:rFonts w:cstheme="minorHAnsi"/>
          <w:lang w:val="en-US"/>
        </w:rPr>
        <w:t>. Based on information about the level of education, 6.6 percent of female job seekers and 4.8 percent of male job seekers reported themselves as students at the time of creating their profiles. If information about the end year of the last education episode is used instead, the share of job seekers who reported continuing studies at the time of posting resume increases to 29.1 percent among women and to 20.7 percent among men (</w:t>
      </w:r>
      <w:r w:rsidRPr="000D5EE0">
        <w:rPr>
          <w:rFonts w:cstheme="minorHAnsi"/>
          <w:lang w:val="en-US"/>
        </w:rPr>
        <w:fldChar w:fldCharType="begin"/>
      </w:r>
      <w:r w:rsidRPr="000D5EE0">
        <w:rPr>
          <w:rFonts w:cstheme="minorHAnsi"/>
          <w:lang w:val="en-US"/>
        </w:rPr>
        <w:instrText xml:space="preserve"> REF _Ref520467719 \h </w:instrText>
      </w:r>
      <w:r w:rsidR="000D5EE0">
        <w:rPr>
          <w:rFonts w:cstheme="minorHAnsi"/>
          <w:lang w:val="en-US"/>
        </w:rPr>
        <w:instrText xml:space="preserve"> \* MERGEFORMAT </w:instrText>
      </w:r>
      <w:r w:rsidRPr="000D5EE0">
        <w:rPr>
          <w:rFonts w:cstheme="minorHAnsi"/>
          <w:lang w:val="en-US"/>
        </w:rPr>
      </w:r>
      <w:r w:rsidRPr="000D5EE0">
        <w:rPr>
          <w:rFonts w:cstheme="minorHAnsi"/>
          <w:lang w:val="en-US"/>
        </w:rPr>
        <w:fldChar w:fldCharType="separate"/>
      </w:r>
      <w:r w:rsidR="00206AA9" w:rsidRPr="004A792A">
        <w:rPr>
          <w:lang w:val="en-US"/>
        </w:rPr>
        <w:t xml:space="preserve">Table </w:t>
      </w:r>
      <w:r w:rsidR="00206AA9">
        <w:rPr>
          <w:noProof/>
          <w:lang w:val="en-US"/>
        </w:rPr>
        <w:t>9</w:t>
      </w:r>
      <w:r w:rsidRPr="000D5EE0">
        <w:rPr>
          <w:rFonts w:cstheme="minorHAnsi"/>
          <w:lang w:val="en-US"/>
        </w:rPr>
        <w:fldChar w:fldCharType="end"/>
      </w:r>
      <w:r w:rsidRPr="000D5EE0">
        <w:rPr>
          <w:rFonts w:cstheme="minorHAnsi"/>
          <w:lang w:val="en-US"/>
        </w:rPr>
        <w:t>).</w:t>
      </w:r>
      <w:r w:rsidR="00F020FF" w:rsidRPr="000D5EE0">
        <w:rPr>
          <w:rStyle w:val="af9"/>
          <w:rFonts w:cstheme="minorHAnsi"/>
          <w:lang w:val="en-US"/>
        </w:rPr>
        <w:footnoteReference w:id="34"/>
      </w:r>
      <w:r w:rsidRPr="000D5EE0">
        <w:rPr>
          <w:rFonts w:cstheme="minorHAnsi"/>
          <w:lang w:val="en-US"/>
        </w:rPr>
        <w:t xml:space="preserve"> Besides, 6.7 and 5.9 percent of female and male job seekers, respectively, reported that their education finished in 2018</w:t>
      </w:r>
      <w:r w:rsidRPr="000D5EE0">
        <w:rPr>
          <w:lang w:val="en-US"/>
        </w:rPr>
        <w:t xml:space="preserve">. Thus, roughly one in three job seekers posting their resumes </w:t>
      </w:r>
      <w:r w:rsidR="00FD4D93">
        <w:rPr>
          <w:lang w:val="en-US"/>
        </w:rPr>
        <w:t>on</w:t>
      </w:r>
      <w:r w:rsidR="00FD4D93" w:rsidRPr="000D5EE0">
        <w:rPr>
          <w:lang w:val="en-US"/>
        </w:rPr>
        <w:t xml:space="preserve"> </w:t>
      </w:r>
      <w:r w:rsidR="000D5EE0">
        <w:rPr>
          <w:lang w:val="en-US"/>
        </w:rPr>
        <w:t xml:space="preserve">the online job portal </w:t>
      </w:r>
      <w:r w:rsidRPr="000D5EE0">
        <w:rPr>
          <w:lang w:val="en-US"/>
        </w:rPr>
        <w:t xml:space="preserve">in 2018 is either a current student or a recent graduate. </w:t>
      </w:r>
      <w:r w:rsidR="00075599" w:rsidRPr="000D5EE0">
        <w:rPr>
          <w:lang w:val="en-US"/>
        </w:rPr>
        <w:t>However</w:t>
      </w:r>
      <w:r w:rsidRPr="000D5EE0">
        <w:rPr>
          <w:lang w:val="en-US"/>
        </w:rPr>
        <w:t>, there are also individuals who acquired</w:t>
      </w:r>
      <w:r w:rsidRPr="004A792A">
        <w:rPr>
          <w:lang w:val="en-US"/>
        </w:rPr>
        <w:t xml:space="preserve"> their education before the collapse of the USSR (4.6 percent of all job seekers finished education in 1991 and earlier) or during the early years of Moldova’s independence (4.7 percent of job seekers finished education in 1992-1999).</w:t>
      </w:r>
    </w:p>
    <w:p w14:paraId="2F20030F" w14:textId="180F66BC" w:rsidR="0082128C" w:rsidRDefault="006A7639" w:rsidP="0041001C">
      <w:pPr>
        <w:spacing w:before="0" w:after="120"/>
        <w:jc w:val="both"/>
      </w:pPr>
      <w:r w:rsidRPr="006A7639">
        <w:rPr>
          <w:b/>
        </w:rPr>
        <w:t xml:space="preserve">Young Moldovans show a remarkable preference towards degrees in social sciences, business, and law </w:t>
      </w:r>
      <w:r w:rsidRPr="006A7639">
        <w:rPr>
          <w:b/>
          <w:lang w:val="en-US"/>
        </w:rPr>
        <w:t xml:space="preserve">(both </w:t>
      </w:r>
      <w:r w:rsidRPr="006A7639">
        <w:rPr>
          <w:b/>
        </w:rPr>
        <w:t xml:space="preserve">for women and men), and a large gender bias in </w:t>
      </w:r>
      <w:r w:rsidRPr="006A7639">
        <w:rPr>
          <w:rFonts w:ascii="Calibri" w:hAnsi="Calibri" w:cs="Calibri"/>
          <w:b/>
          <w:lang w:val="en-US"/>
        </w:rPr>
        <w:t xml:space="preserve">the most popular STEM fields </w:t>
      </w:r>
      <w:r>
        <w:rPr>
          <w:rFonts w:ascii="Calibri" w:hAnsi="Calibri" w:cs="Calibri"/>
          <w:b/>
          <w:lang w:val="en-US"/>
        </w:rPr>
        <w:t xml:space="preserve">such as </w:t>
      </w:r>
      <w:r w:rsidRPr="006A7639">
        <w:rPr>
          <w:rFonts w:ascii="Calibri" w:hAnsi="Calibri" w:cs="Calibri"/>
          <w:b/>
          <w:lang w:val="en-US"/>
        </w:rPr>
        <w:t>engineering and ICT</w:t>
      </w:r>
      <w:r>
        <w:rPr>
          <w:rFonts w:ascii="Calibri" w:hAnsi="Calibri" w:cs="Calibri"/>
          <w:b/>
          <w:lang w:val="en-US"/>
        </w:rPr>
        <w:t xml:space="preserve"> </w:t>
      </w:r>
      <w:r w:rsidRPr="006A7639">
        <w:rPr>
          <w:rFonts w:ascii="Calibri" w:hAnsi="Calibri" w:cs="Calibri"/>
          <w:lang w:val="en-US"/>
        </w:rPr>
        <w:t>(</w:t>
      </w:r>
      <w:r>
        <w:rPr>
          <w:lang w:val="en-US"/>
        </w:rPr>
        <w:fldChar w:fldCharType="begin"/>
      </w:r>
      <w:r>
        <w:rPr>
          <w:lang w:val="en-US"/>
        </w:rPr>
        <w:instrText xml:space="preserve"> REF _Ref521055201 \h </w:instrText>
      </w:r>
      <w:r>
        <w:rPr>
          <w:lang w:val="en-US"/>
        </w:rPr>
      </w:r>
      <w:r>
        <w:rPr>
          <w:lang w:val="en-US"/>
        </w:rPr>
        <w:fldChar w:fldCharType="separate"/>
      </w:r>
      <w:r>
        <w:t xml:space="preserve">Figure </w:t>
      </w:r>
      <w:r>
        <w:rPr>
          <w:noProof/>
        </w:rPr>
        <w:t>24</w:t>
      </w:r>
      <w:r>
        <w:rPr>
          <w:lang w:val="en-US"/>
        </w:rPr>
        <w:fldChar w:fldCharType="end"/>
      </w:r>
      <w:r>
        <w:rPr>
          <w:lang w:val="en-US"/>
        </w:rPr>
        <w:t>)</w:t>
      </w:r>
      <w:r>
        <w:rPr>
          <w:rFonts w:ascii="Calibri" w:hAnsi="Calibri" w:cs="Calibri"/>
          <w:lang w:val="en-US"/>
        </w:rPr>
        <w:t xml:space="preserve">. </w:t>
      </w:r>
      <w:r w:rsidR="005E3A79">
        <w:t xml:space="preserve">The most popular fields </w:t>
      </w:r>
      <w:r>
        <w:t xml:space="preserve">among job seekers with incomplete or complete tertiary education </w:t>
      </w:r>
      <w:r w:rsidR="005E3A79">
        <w:t>are: (</w:t>
      </w:r>
      <w:proofErr w:type="spellStart"/>
      <w:r w:rsidR="005E3A79">
        <w:t>i</w:t>
      </w:r>
      <w:proofErr w:type="spellEnd"/>
      <w:r w:rsidR="005E3A79">
        <w:t xml:space="preserve">) Engineering and engineering trades including technologists, (ii) Management and administration, (iii) Law, and (iv) ICT. </w:t>
      </w:r>
      <w:r w:rsidR="0082128C">
        <w:t>But t</w:t>
      </w:r>
      <w:r>
        <w:t xml:space="preserve">he share of job seekers in </w:t>
      </w:r>
      <w:r w:rsidR="005E3A79">
        <w:t>Accounting and taxation, Finance, banking and insurance</w:t>
      </w:r>
      <w:r w:rsidR="00DC5413">
        <w:t xml:space="preserve">, </w:t>
      </w:r>
      <w:r w:rsidR="005E3A79">
        <w:t xml:space="preserve">and Economics </w:t>
      </w:r>
      <w:r>
        <w:t xml:space="preserve">is </w:t>
      </w:r>
      <w:r w:rsidR="005E3A79">
        <w:t xml:space="preserve">higher than </w:t>
      </w:r>
      <w:r>
        <w:t xml:space="preserve">in </w:t>
      </w:r>
      <w:r w:rsidR="005E3A79">
        <w:t>Engineering.</w:t>
      </w:r>
      <w:r w:rsidR="002503E3">
        <w:t xml:space="preserve"> </w:t>
      </w:r>
    </w:p>
    <w:p w14:paraId="1EEEC2E1" w14:textId="21E4EDDA" w:rsidR="00D668F4" w:rsidRDefault="00314643" w:rsidP="008B1EFE">
      <w:pPr>
        <w:pStyle w:val="ad"/>
        <w:spacing w:before="240"/>
        <w:jc w:val="both"/>
        <w:rPr>
          <w:rFonts w:cstheme="minorHAnsi"/>
          <w:lang w:val="en-US"/>
        </w:rPr>
      </w:pPr>
      <w:bookmarkStart w:id="101" w:name="_Ref521055201"/>
      <w:bookmarkStart w:id="102" w:name="_Toc533211780"/>
      <w:r>
        <w:lastRenderedPageBreak/>
        <w:t xml:space="preserve">Figure </w:t>
      </w:r>
      <w:r>
        <w:fldChar w:fldCharType="begin"/>
      </w:r>
      <w:r>
        <w:instrText xml:space="preserve"> SEQ Figure \* ARABIC </w:instrText>
      </w:r>
      <w:r>
        <w:fldChar w:fldCharType="separate"/>
      </w:r>
      <w:r w:rsidR="007F56F7">
        <w:rPr>
          <w:noProof/>
        </w:rPr>
        <w:t>24</w:t>
      </w:r>
      <w:r>
        <w:fldChar w:fldCharType="end"/>
      </w:r>
      <w:bookmarkEnd w:id="101"/>
      <w:r>
        <w:t xml:space="preserve">: Recent field of studies among job seekers with incomplete or complete </w:t>
      </w:r>
      <w:r w:rsidR="00075599">
        <w:t>tertiary</w:t>
      </w:r>
      <w:r>
        <w:t xml:space="preserve"> education by gender</w:t>
      </w:r>
      <w:r w:rsidR="008B1EFE">
        <w:t xml:space="preserve"> (number of job </w:t>
      </w:r>
      <w:r w:rsidR="00A40375">
        <w:t>seekers</w:t>
      </w:r>
      <w:r w:rsidR="008B1EFE">
        <w:t>)</w:t>
      </w:r>
      <w:r>
        <w:t>, 2018</w:t>
      </w:r>
      <w:bookmarkEnd w:id="102"/>
    </w:p>
    <w:p w14:paraId="48B6F446" w14:textId="77777777" w:rsidR="00314643" w:rsidRDefault="004A18E5" w:rsidP="00314643">
      <w:pPr>
        <w:spacing w:before="0" w:after="120"/>
        <w:jc w:val="center"/>
        <w:rPr>
          <w:rFonts w:cstheme="minorHAnsi"/>
          <w:lang w:val="en-US"/>
        </w:rPr>
      </w:pPr>
      <w:r w:rsidRPr="004A18E5">
        <w:rPr>
          <w:noProof/>
          <w:lang w:val="ru-RU" w:eastAsia="ru-RU"/>
        </w:rPr>
        <w:drawing>
          <wp:inline distT="0" distB="0" distL="0" distR="0" wp14:anchorId="56B6E42F" wp14:editId="415CB012">
            <wp:extent cx="4785360" cy="281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85360" cy="2819400"/>
                    </a:xfrm>
                    <a:prstGeom prst="rect">
                      <a:avLst/>
                    </a:prstGeom>
                    <a:noFill/>
                    <a:ln>
                      <a:noFill/>
                    </a:ln>
                  </pic:spPr>
                </pic:pic>
              </a:graphicData>
            </a:graphic>
          </wp:inline>
        </w:drawing>
      </w:r>
    </w:p>
    <w:p w14:paraId="2DC606A9" w14:textId="77777777" w:rsidR="00314643" w:rsidRDefault="00314643" w:rsidP="00314643">
      <w:pPr>
        <w:spacing w:before="0" w:after="120"/>
        <w:rPr>
          <w:rFonts w:cstheme="minorHAnsi"/>
          <w:i/>
          <w:sz w:val="20"/>
          <w:szCs w:val="20"/>
          <w:lang w:val="en-US"/>
        </w:rPr>
      </w:pPr>
      <w:r w:rsidRPr="00314643">
        <w:rPr>
          <w:rFonts w:cstheme="minorHAnsi"/>
          <w:i/>
          <w:sz w:val="20"/>
          <w:szCs w:val="20"/>
          <w:lang w:val="en-US"/>
        </w:rPr>
        <w:t xml:space="preserve">Note: </w:t>
      </w:r>
      <w:r>
        <w:rPr>
          <w:rFonts w:cstheme="minorHAnsi"/>
          <w:i/>
          <w:sz w:val="20"/>
          <w:szCs w:val="20"/>
          <w:lang w:val="en-US"/>
        </w:rPr>
        <w:t>Fields are coded in accordance with ISCED-F 2013. They are ordered by the female share in the field.</w:t>
      </w:r>
      <w:r w:rsidR="008955EB">
        <w:rPr>
          <w:rFonts w:cstheme="minorHAnsi"/>
          <w:i/>
          <w:sz w:val="20"/>
          <w:szCs w:val="20"/>
          <w:lang w:val="en-US"/>
        </w:rPr>
        <w:t xml:space="preserve"> Fields of studies with less than 10 observations are not shown.</w:t>
      </w:r>
    </w:p>
    <w:p w14:paraId="3C0C8158" w14:textId="1E0BB3F3" w:rsidR="0082128C" w:rsidRDefault="0082128C" w:rsidP="0082128C">
      <w:pPr>
        <w:spacing w:before="0" w:after="120"/>
        <w:jc w:val="both"/>
        <w:rPr>
          <w:rFonts w:ascii="Calibri" w:hAnsi="Calibri" w:cs="Calibri"/>
          <w:lang w:val="en-US"/>
        </w:rPr>
      </w:pPr>
      <w:r w:rsidRPr="0082128C">
        <w:rPr>
          <w:rFonts w:ascii="Calibri" w:hAnsi="Calibri" w:cs="Calibri"/>
          <w:b/>
          <w:lang w:val="en-US"/>
        </w:rPr>
        <w:t>There is a distinct gender segregation in education among online job seekers, with a high proportion of men having degrees in engineering and ICT, architecture and construction, law and its enforcement (protection of persons and property), and relatively many more women majoring in accounting and marketing, health and welfare, arts and languages, education and psychology, journalism and tourism</w:t>
      </w:r>
      <w:r>
        <w:rPr>
          <w:rFonts w:ascii="Calibri" w:hAnsi="Calibri" w:cs="Calibri"/>
          <w:lang w:val="en-US"/>
        </w:rPr>
        <w:t xml:space="preserve">. Female share increases from zero percent in Protection of persons and property and 14 percent in Engineering to 51.2 percent in </w:t>
      </w:r>
      <w:r w:rsidRPr="00FB4563">
        <w:rPr>
          <w:rFonts w:ascii="Calibri" w:hAnsi="Calibri" w:cs="Calibri"/>
          <w:lang w:val="en-US"/>
        </w:rPr>
        <w:t xml:space="preserve">Management and administration </w:t>
      </w:r>
      <w:r>
        <w:rPr>
          <w:rFonts w:ascii="Calibri" w:hAnsi="Calibri" w:cs="Calibri"/>
          <w:lang w:val="en-US"/>
        </w:rPr>
        <w:t>and then to 84.6 percent in Languages (</w:t>
      </w:r>
      <w:r>
        <w:rPr>
          <w:lang w:val="en-US"/>
        </w:rPr>
        <w:fldChar w:fldCharType="begin"/>
      </w:r>
      <w:r>
        <w:rPr>
          <w:lang w:val="en-US"/>
        </w:rPr>
        <w:instrText xml:space="preserve"> REF _Ref521055201 \h </w:instrText>
      </w:r>
      <w:r>
        <w:rPr>
          <w:lang w:val="en-US"/>
        </w:rPr>
      </w:r>
      <w:r>
        <w:rPr>
          <w:lang w:val="en-US"/>
        </w:rPr>
        <w:fldChar w:fldCharType="separate"/>
      </w:r>
      <w:r>
        <w:t xml:space="preserve">Figure </w:t>
      </w:r>
      <w:r>
        <w:rPr>
          <w:noProof/>
        </w:rPr>
        <w:t>24</w:t>
      </w:r>
      <w:r>
        <w:rPr>
          <w:lang w:val="en-US"/>
        </w:rPr>
        <w:fldChar w:fldCharType="end"/>
      </w:r>
      <w:r>
        <w:rPr>
          <w:lang w:val="en-US"/>
        </w:rPr>
        <w:t>)</w:t>
      </w:r>
      <w:r>
        <w:rPr>
          <w:rFonts w:ascii="Calibri" w:hAnsi="Calibri" w:cs="Calibri"/>
          <w:lang w:val="en-US"/>
        </w:rPr>
        <w:t>.</w:t>
      </w:r>
    </w:p>
    <w:p w14:paraId="20FA4415" w14:textId="2241C257" w:rsidR="00545212" w:rsidRPr="00545212" w:rsidRDefault="00545212" w:rsidP="00545212">
      <w:pPr>
        <w:spacing w:before="0" w:after="120"/>
        <w:jc w:val="both"/>
      </w:pPr>
      <w:r w:rsidRPr="0082128C">
        <w:rPr>
          <w:b/>
        </w:rPr>
        <w:t xml:space="preserve">It is not surprising that </w:t>
      </w:r>
      <w:r w:rsidR="00BE79CF" w:rsidRPr="0082128C">
        <w:rPr>
          <w:b/>
        </w:rPr>
        <w:t>women who are on average better educated than men report superior linguistic abilities</w:t>
      </w:r>
      <w:r w:rsidR="00BE79CF">
        <w:t xml:space="preserve">: the proportion of women with some fluency in </w:t>
      </w:r>
      <w:r w:rsidR="0087457E">
        <w:t>four</w:t>
      </w:r>
      <w:r w:rsidR="00BE79CF">
        <w:t xml:space="preserve"> and more languages is substantially larger compared to men (</w:t>
      </w:r>
      <w:r w:rsidR="00BE79CF">
        <w:fldChar w:fldCharType="begin"/>
      </w:r>
      <w:r w:rsidR="00BE79CF">
        <w:instrText xml:space="preserve"> REF _Ref520467719 \h </w:instrText>
      </w:r>
      <w:r w:rsidR="00BE79CF">
        <w:fldChar w:fldCharType="separate"/>
      </w:r>
      <w:r w:rsidR="00206AA9" w:rsidRPr="004A792A">
        <w:rPr>
          <w:lang w:val="en-US"/>
        </w:rPr>
        <w:t xml:space="preserve">Table </w:t>
      </w:r>
      <w:r w:rsidR="00206AA9">
        <w:rPr>
          <w:noProof/>
          <w:lang w:val="en-US"/>
        </w:rPr>
        <w:t>9</w:t>
      </w:r>
      <w:r w:rsidR="00BE79CF">
        <w:fldChar w:fldCharType="end"/>
      </w:r>
      <w:r w:rsidR="00BE79CF">
        <w:t>)</w:t>
      </w:r>
      <w:r w:rsidR="005565AC">
        <w:t>, and the share of women reporting some level of competence in European languages (French, German, Italian</w:t>
      </w:r>
      <w:r w:rsidR="00FD4D93">
        <w:t>,</w:t>
      </w:r>
      <w:r w:rsidR="005565AC">
        <w:t xml:space="preserve"> and Spanish) is almost twice higher compared to men</w:t>
      </w:r>
      <w:r w:rsidR="00D93182">
        <w:t xml:space="preserve"> (</w:t>
      </w:r>
      <w:r w:rsidR="00D93182">
        <w:fldChar w:fldCharType="begin"/>
      </w:r>
      <w:r w:rsidR="00D93182">
        <w:instrText xml:space="preserve"> REF _Ref521514675 \h </w:instrText>
      </w:r>
      <w:r w:rsidR="00D93182">
        <w:fldChar w:fldCharType="separate"/>
      </w:r>
      <w:r w:rsidR="0082128C">
        <w:t xml:space="preserve">Figure </w:t>
      </w:r>
      <w:r w:rsidR="0082128C">
        <w:rPr>
          <w:noProof/>
        </w:rPr>
        <w:t>25</w:t>
      </w:r>
      <w:r w:rsidR="00D93182">
        <w:fldChar w:fldCharType="end"/>
      </w:r>
      <w:r w:rsidR="00D93182">
        <w:t>)</w:t>
      </w:r>
      <w:r w:rsidR="005565AC">
        <w:t>.</w:t>
      </w:r>
      <w:r w:rsidR="0087457E">
        <w:t xml:space="preserve"> </w:t>
      </w:r>
      <w:r w:rsidR="00854C6E">
        <w:t>On the other hand, 2.5 percent of men versus 1.7 percent of women do not speak any other language than their mother tongue, predominantly Russian.</w:t>
      </w:r>
    </w:p>
    <w:p w14:paraId="3C12A66E" w14:textId="4FC953C7" w:rsidR="0023012B" w:rsidRDefault="0023012B" w:rsidP="0023012B">
      <w:pPr>
        <w:pStyle w:val="ad"/>
        <w:spacing w:before="240" w:after="0"/>
        <w:jc w:val="left"/>
        <w:rPr>
          <w:rFonts w:cstheme="minorHAnsi"/>
          <w:lang w:val="en-US"/>
        </w:rPr>
      </w:pPr>
      <w:bookmarkStart w:id="103" w:name="_Ref521514675"/>
      <w:bookmarkStart w:id="104" w:name="_Ref521514643"/>
      <w:bookmarkStart w:id="105" w:name="_Toc533211781"/>
      <w:r>
        <w:t xml:space="preserve">Figure </w:t>
      </w:r>
      <w:r>
        <w:fldChar w:fldCharType="begin"/>
      </w:r>
      <w:r>
        <w:instrText xml:space="preserve"> SEQ Figure \* ARABIC </w:instrText>
      </w:r>
      <w:r>
        <w:fldChar w:fldCharType="separate"/>
      </w:r>
      <w:r w:rsidR="007F56F7">
        <w:rPr>
          <w:noProof/>
        </w:rPr>
        <w:t>25</w:t>
      </w:r>
      <w:r>
        <w:fldChar w:fldCharType="end"/>
      </w:r>
      <w:bookmarkEnd w:id="103"/>
      <w:r>
        <w:t xml:space="preserve">: Proportion of job seekers reporting some </w:t>
      </w:r>
      <w:r w:rsidR="00D93182">
        <w:t xml:space="preserve">level of competence in </w:t>
      </w:r>
      <w:r>
        <w:t>languages by gender</w:t>
      </w:r>
      <w:r w:rsidR="008B1EFE">
        <w:t xml:space="preserve"> (%)</w:t>
      </w:r>
      <w:r>
        <w:t>, 2018</w:t>
      </w:r>
      <w:bookmarkEnd w:id="104"/>
      <w:bookmarkEnd w:id="105"/>
    </w:p>
    <w:p w14:paraId="3287AAC5" w14:textId="77777777" w:rsidR="009A4F8E" w:rsidRDefault="00357A8F" w:rsidP="009A4F8E">
      <w:pPr>
        <w:spacing w:before="0" w:after="120"/>
        <w:jc w:val="center"/>
      </w:pPr>
      <w:r w:rsidRPr="00357A8F">
        <w:rPr>
          <w:noProof/>
          <w:lang w:val="ru-RU" w:eastAsia="ru-RU"/>
        </w:rPr>
        <w:drawing>
          <wp:inline distT="0" distB="0" distL="0" distR="0" wp14:anchorId="1BDB89F1" wp14:editId="5047AF80">
            <wp:extent cx="4578350" cy="22669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8350" cy="2266950"/>
                    </a:xfrm>
                    <a:prstGeom prst="rect">
                      <a:avLst/>
                    </a:prstGeom>
                    <a:noFill/>
                    <a:ln>
                      <a:noFill/>
                    </a:ln>
                  </pic:spPr>
                </pic:pic>
              </a:graphicData>
            </a:graphic>
          </wp:inline>
        </w:drawing>
      </w:r>
    </w:p>
    <w:p w14:paraId="19AF151F" w14:textId="77777777" w:rsidR="0023012B" w:rsidRDefault="0023012B" w:rsidP="009A4F8E">
      <w:pPr>
        <w:spacing w:before="0" w:after="120"/>
        <w:jc w:val="center"/>
      </w:pPr>
    </w:p>
    <w:p w14:paraId="6CC9F9A9" w14:textId="1F186199" w:rsidR="000A7C45" w:rsidRDefault="0082128C" w:rsidP="006666B3">
      <w:pPr>
        <w:spacing w:before="0" w:after="120"/>
        <w:jc w:val="both"/>
      </w:pPr>
      <w:r>
        <w:rPr>
          <w:b/>
        </w:rPr>
        <w:t>F</w:t>
      </w:r>
      <w:r w:rsidR="00235A92" w:rsidRPr="0082128C">
        <w:rPr>
          <w:b/>
        </w:rPr>
        <w:t xml:space="preserve">emale job seekers reported on average shorter </w:t>
      </w:r>
      <w:r>
        <w:rPr>
          <w:b/>
        </w:rPr>
        <w:t xml:space="preserve">work </w:t>
      </w:r>
      <w:r w:rsidR="00235A92" w:rsidRPr="0082128C">
        <w:rPr>
          <w:b/>
        </w:rPr>
        <w:t xml:space="preserve">experience </w:t>
      </w:r>
      <w:r>
        <w:rPr>
          <w:b/>
        </w:rPr>
        <w:t>than men</w:t>
      </w:r>
      <w:r w:rsidR="00CA6CBF" w:rsidRPr="0082128C">
        <w:rPr>
          <w:b/>
        </w:rPr>
        <w:t>–</w:t>
      </w:r>
      <w:r w:rsidR="00056C6D" w:rsidRPr="0082128C">
        <w:rPr>
          <w:b/>
        </w:rPr>
        <w:t xml:space="preserve"> </w:t>
      </w:r>
      <w:r w:rsidR="00235A92" w:rsidRPr="0082128C">
        <w:rPr>
          <w:b/>
        </w:rPr>
        <w:t>4.9 versus 5.9 years</w:t>
      </w:r>
      <w:r w:rsidR="00235A92" w:rsidRPr="00CA6CBF">
        <w:t xml:space="preserve"> (</w:t>
      </w:r>
      <w:r w:rsidR="00567C02" w:rsidRPr="00CA6CBF">
        <w:fldChar w:fldCharType="begin"/>
      </w:r>
      <w:r w:rsidR="00567C02" w:rsidRPr="00CA6CBF">
        <w:instrText xml:space="preserve"> REF _Ref521504800 \h </w:instrText>
      </w:r>
      <w:r w:rsidR="00CA6CBF">
        <w:instrText xml:space="preserve"> \* MERGEFORMAT </w:instrText>
      </w:r>
      <w:r w:rsidR="00567C02" w:rsidRPr="00CA6CBF">
        <w:fldChar w:fldCharType="separate"/>
      </w:r>
      <w:r w:rsidR="00206AA9" w:rsidRPr="004A792A">
        <w:rPr>
          <w:lang w:val="en-US"/>
        </w:rPr>
        <w:t xml:space="preserve">Table </w:t>
      </w:r>
      <w:r w:rsidR="00206AA9">
        <w:rPr>
          <w:noProof/>
          <w:lang w:val="en-US"/>
        </w:rPr>
        <w:t>10</w:t>
      </w:r>
      <w:r w:rsidR="00567C02" w:rsidRPr="00CA6CBF">
        <w:fldChar w:fldCharType="end"/>
      </w:r>
      <w:r w:rsidR="00235A92" w:rsidRPr="00CA6CBF">
        <w:t xml:space="preserve">). </w:t>
      </w:r>
      <w:r w:rsidR="002B4C19">
        <w:t xml:space="preserve">The gender difference in terms of the other characteristics of </w:t>
      </w:r>
      <w:r w:rsidR="00F721F4">
        <w:t>employment history</w:t>
      </w:r>
      <w:r w:rsidR="002B4C19">
        <w:t xml:space="preserve">, including </w:t>
      </w:r>
      <w:r w:rsidR="00F721F4">
        <w:t xml:space="preserve">reported </w:t>
      </w:r>
      <w:r w:rsidR="00056C6D" w:rsidRPr="00CA6CBF">
        <w:t>number of employment episodes</w:t>
      </w:r>
      <w:r w:rsidR="002B4C19">
        <w:t xml:space="preserve">, time since the last employment episode, and the share of job seekers </w:t>
      </w:r>
      <w:r w:rsidR="00F721F4">
        <w:t>that can be classified either as currently employed or unemployed</w:t>
      </w:r>
      <w:r w:rsidR="00056C6D" w:rsidRPr="00CA6CBF">
        <w:t xml:space="preserve">, is </w:t>
      </w:r>
      <w:r w:rsidR="002B4C19">
        <w:t xml:space="preserve">not </w:t>
      </w:r>
      <w:r w:rsidR="00056C6D" w:rsidRPr="00CA6CBF">
        <w:t>statistically significant</w:t>
      </w:r>
      <w:r w:rsidR="002B4C19">
        <w:t xml:space="preserve"> </w:t>
      </w:r>
      <w:r w:rsidR="002B4C19" w:rsidRPr="00CA6CBF">
        <w:t>(</w:t>
      </w:r>
      <w:r w:rsidR="002B4C19" w:rsidRPr="00CA6CBF">
        <w:fldChar w:fldCharType="begin"/>
      </w:r>
      <w:r w:rsidR="002B4C19" w:rsidRPr="00CA6CBF">
        <w:instrText xml:space="preserve"> REF _Ref521504800 \h </w:instrText>
      </w:r>
      <w:r w:rsidR="002B4C19">
        <w:instrText xml:space="preserve"> \* MERGEFORMAT </w:instrText>
      </w:r>
      <w:r w:rsidR="002B4C19" w:rsidRPr="00CA6CBF">
        <w:fldChar w:fldCharType="separate"/>
      </w:r>
      <w:r w:rsidR="002B4C19" w:rsidRPr="004A792A">
        <w:rPr>
          <w:lang w:val="en-US"/>
        </w:rPr>
        <w:t xml:space="preserve">Table </w:t>
      </w:r>
      <w:r w:rsidR="002B4C19">
        <w:rPr>
          <w:noProof/>
          <w:lang w:val="en-US"/>
        </w:rPr>
        <w:t>10</w:t>
      </w:r>
      <w:r w:rsidR="002B4C19" w:rsidRPr="00CA6CBF">
        <w:fldChar w:fldCharType="end"/>
      </w:r>
      <w:r w:rsidR="002B4C19" w:rsidRPr="00CA6CBF">
        <w:t>)</w:t>
      </w:r>
      <w:r w:rsidR="005C4199" w:rsidRPr="00CA6CBF">
        <w:t>.</w:t>
      </w:r>
    </w:p>
    <w:p w14:paraId="1B7BB977" w14:textId="6D1ED937" w:rsidR="006207EB" w:rsidRPr="004A792A" w:rsidRDefault="006207EB" w:rsidP="006207EB">
      <w:pPr>
        <w:pStyle w:val="ad"/>
        <w:spacing w:before="240"/>
        <w:jc w:val="left"/>
        <w:rPr>
          <w:lang w:val="en-US"/>
        </w:rPr>
      </w:pPr>
      <w:bookmarkStart w:id="106" w:name="_Ref521504800"/>
      <w:bookmarkStart w:id="107" w:name="_Toc533211800"/>
      <w:r w:rsidRPr="004A792A">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10</w:t>
      </w:r>
      <w:r w:rsidR="007B7CCA">
        <w:rPr>
          <w:lang w:val="en-US"/>
        </w:rPr>
        <w:fldChar w:fldCharType="end"/>
      </w:r>
      <w:bookmarkEnd w:id="106"/>
      <w:r w:rsidRPr="004A792A">
        <w:rPr>
          <w:lang w:val="en-US"/>
        </w:rPr>
        <w:t xml:space="preserve">: </w:t>
      </w:r>
      <w:r w:rsidR="00063B16">
        <w:rPr>
          <w:lang w:val="en-US"/>
        </w:rPr>
        <w:t>Work e</w:t>
      </w:r>
      <w:r>
        <w:rPr>
          <w:lang w:val="en-US"/>
        </w:rPr>
        <w:t xml:space="preserve">xperience </w:t>
      </w:r>
      <w:r w:rsidRPr="004A792A">
        <w:rPr>
          <w:lang w:val="en-US"/>
        </w:rPr>
        <w:t xml:space="preserve">of </w:t>
      </w:r>
      <w:r w:rsidR="00063B16">
        <w:rPr>
          <w:lang w:val="en-US"/>
        </w:rPr>
        <w:t>female and male job seekers</w:t>
      </w:r>
      <w:r w:rsidRPr="004A792A">
        <w:rPr>
          <w:lang w:val="en-US"/>
        </w:rPr>
        <w:t>, 2018</w:t>
      </w:r>
      <w:bookmarkEnd w:id="107"/>
    </w:p>
    <w:tbl>
      <w:tblPr>
        <w:tblW w:w="9161" w:type="dxa"/>
        <w:tblLayout w:type="fixed"/>
        <w:tblLook w:val="04A0" w:firstRow="1" w:lastRow="0" w:firstColumn="1" w:lastColumn="0" w:noHBand="0" w:noVBand="1"/>
      </w:tblPr>
      <w:tblGrid>
        <w:gridCol w:w="2127"/>
        <w:gridCol w:w="4536"/>
        <w:gridCol w:w="920"/>
        <w:gridCol w:w="789"/>
        <w:gridCol w:w="789"/>
      </w:tblGrid>
      <w:tr w:rsidR="006207EB" w:rsidRPr="004A792A" w14:paraId="29AFFCC9" w14:textId="77777777" w:rsidTr="00545212">
        <w:tc>
          <w:tcPr>
            <w:tcW w:w="2127" w:type="dxa"/>
            <w:tcBorders>
              <w:top w:val="single" w:sz="4" w:space="0" w:color="auto"/>
              <w:bottom w:val="single" w:sz="4" w:space="0" w:color="auto"/>
            </w:tcBorders>
            <w:shd w:val="clear" w:color="auto" w:fill="auto"/>
            <w:noWrap/>
            <w:vAlign w:val="bottom"/>
            <w:hideMark/>
          </w:tcPr>
          <w:p w14:paraId="7486C173" w14:textId="77777777" w:rsidR="006207EB" w:rsidRPr="004A792A" w:rsidRDefault="006207EB" w:rsidP="00B245ED">
            <w:pPr>
              <w:spacing w:before="0"/>
              <w:rPr>
                <w:rFonts w:eastAsia="Times New Roman" w:cstheme="minorHAnsi"/>
                <w:b/>
                <w:sz w:val="20"/>
                <w:szCs w:val="20"/>
                <w:lang w:val="en-US"/>
              </w:rPr>
            </w:pPr>
            <w:r w:rsidRPr="004A792A">
              <w:rPr>
                <w:rFonts w:eastAsia="Times New Roman" w:cstheme="minorHAnsi"/>
                <w:b/>
                <w:sz w:val="20"/>
                <w:szCs w:val="20"/>
                <w:lang w:val="en-US"/>
              </w:rPr>
              <w:t>Characteristic</w:t>
            </w:r>
          </w:p>
        </w:tc>
        <w:tc>
          <w:tcPr>
            <w:tcW w:w="4536" w:type="dxa"/>
            <w:tcBorders>
              <w:top w:val="single" w:sz="4" w:space="0" w:color="auto"/>
              <w:bottom w:val="single" w:sz="4" w:space="0" w:color="auto"/>
            </w:tcBorders>
            <w:shd w:val="clear" w:color="auto" w:fill="auto"/>
            <w:noWrap/>
            <w:vAlign w:val="bottom"/>
            <w:hideMark/>
          </w:tcPr>
          <w:p w14:paraId="70B853F5" w14:textId="77777777" w:rsidR="006207EB" w:rsidRPr="004A792A" w:rsidRDefault="006207EB" w:rsidP="00B245ED">
            <w:pPr>
              <w:spacing w:before="0"/>
              <w:rPr>
                <w:rFonts w:eastAsia="Times New Roman" w:cstheme="minorHAnsi"/>
                <w:b/>
                <w:sz w:val="20"/>
                <w:szCs w:val="20"/>
                <w:lang w:val="en-US"/>
              </w:rPr>
            </w:pPr>
            <w:r w:rsidRPr="004A792A">
              <w:rPr>
                <w:rFonts w:eastAsia="Times New Roman" w:cstheme="minorHAnsi"/>
                <w:b/>
                <w:sz w:val="20"/>
                <w:szCs w:val="20"/>
                <w:lang w:val="en-US"/>
              </w:rPr>
              <w:t>Statistics</w:t>
            </w:r>
          </w:p>
        </w:tc>
        <w:tc>
          <w:tcPr>
            <w:tcW w:w="920" w:type="dxa"/>
            <w:tcBorders>
              <w:top w:val="single" w:sz="4" w:space="0" w:color="auto"/>
              <w:bottom w:val="single" w:sz="4" w:space="0" w:color="auto"/>
            </w:tcBorders>
            <w:shd w:val="clear" w:color="auto" w:fill="auto"/>
            <w:noWrap/>
            <w:vAlign w:val="bottom"/>
            <w:hideMark/>
          </w:tcPr>
          <w:p w14:paraId="6A79CF85" w14:textId="77777777" w:rsidR="006207EB" w:rsidRPr="004A792A" w:rsidRDefault="006207EB" w:rsidP="00B245ED">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Female</w:t>
            </w:r>
          </w:p>
        </w:tc>
        <w:tc>
          <w:tcPr>
            <w:tcW w:w="789" w:type="dxa"/>
            <w:tcBorders>
              <w:top w:val="single" w:sz="4" w:space="0" w:color="auto"/>
              <w:bottom w:val="single" w:sz="4" w:space="0" w:color="auto"/>
            </w:tcBorders>
            <w:shd w:val="clear" w:color="auto" w:fill="auto"/>
            <w:noWrap/>
            <w:vAlign w:val="bottom"/>
            <w:hideMark/>
          </w:tcPr>
          <w:p w14:paraId="5E1B0259" w14:textId="77777777" w:rsidR="006207EB" w:rsidRPr="004A792A" w:rsidRDefault="006207EB" w:rsidP="00B245ED">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Male</w:t>
            </w:r>
          </w:p>
        </w:tc>
        <w:tc>
          <w:tcPr>
            <w:tcW w:w="789" w:type="dxa"/>
            <w:tcBorders>
              <w:top w:val="single" w:sz="4" w:space="0" w:color="auto"/>
              <w:bottom w:val="single" w:sz="4" w:space="0" w:color="auto"/>
            </w:tcBorders>
            <w:shd w:val="clear" w:color="auto" w:fill="auto"/>
            <w:noWrap/>
            <w:vAlign w:val="bottom"/>
            <w:hideMark/>
          </w:tcPr>
          <w:p w14:paraId="4D35F2CA" w14:textId="77777777" w:rsidR="006207EB" w:rsidRPr="004A792A" w:rsidRDefault="006207EB" w:rsidP="00B245ED">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Total</w:t>
            </w:r>
          </w:p>
        </w:tc>
      </w:tr>
      <w:tr w:rsidR="006207EB" w:rsidRPr="004A792A" w14:paraId="2CAAA52C" w14:textId="77777777" w:rsidTr="00545212">
        <w:tc>
          <w:tcPr>
            <w:tcW w:w="2127" w:type="dxa"/>
            <w:vMerge w:val="restart"/>
            <w:tcBorders>
              <w:top w:val="single" w:sz="4" w:space="0" w:color="auto"/>
            </w:tcBorders>
            <w:shd w:val="clear" w:color="auto" w:fill="auto"/>
            <w:noWrap/>
          </w:tcPr>
          <w:p w14:paraId="5F8176D8" w14:textId="77777777" w:rsidR="006207EB" w:rsidRPr="004F2BFD" w:rsidRDefault="006207EB" w:rsidP="00B245ED">
            <w:pPr>
              <w:spacing w:before="0"/>
              <w:rPr>
                <w:rFonts w:eastAsia="Times New Roman" w:cstheme="minorHAnsi"/>
                <w:bCs/>
                <w:color w:val="000000"/>
                <w:sz w:val="20"/>
                <w:szCs w:val="20"/>
                <w:lang w:val="en-US"/>
              </w:rPr>
            </w:pPr>
            <w:r w:rsidRPr="004F2BFD">
              <w:rPr>
                <w:rFonts w:eastAsia="Times New Roman" w:cstheme="minorHAnsi"/>
                <w:bCs/>
                <w:color w:val="000000"/>
                <w:sz w:val="20"/>
                <w:szCs w:val="20"/>
                <w:lang w:val="en-US"/>
              </w:rPr>
              <w:t>Work experience</w:t>
            </w:r>
          </w:p>
        </w:tc>
        <w:tc>
          <w:tcPr>
            <w:tcW w:w="4536" w:type="dxa"/>
            <w:tcBorders>
              <w:top w:val="single" w:sz="4" w:space="0" w:color="auto"/>
            </w:tcBorders>
            <w:shd w:val="clear" w:color="auto" w:fill="auto"/>
            <w:noWrap/>
          </w:tcPr>
          <w:p w14:paraId="04B935C8" w14:textId="77777777" w:rsidR="006207EB" w:rsidRPr="004A792A"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Mean (years)</w:t>
            </w:r>
          </w:p>
        </w:tc>
        <w:tc>
          <w:tcPr>
            <w:tcW w:w="920" w:type="dxa"/>
            <w:tcBorders>
              <w:top w:val="single" w:sz="4" w:space="0" w:color="auto"/>
            </w:tcBorders>
            <w:shd w:val="clear" w:color="auto" w:fill="auto"/>
            <w:noWrap/>
          </w:tcPr>
          <w:p w14:paraId="5050F00E"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4.9</w:t>
            </w:r>
            <w:r w:rsidR="00F16E9C">
              <w:rPr>
                <w:rFonts w:ascii="Calibri" w:hAnsi="Calibri" w:cs="Calibri"/>
                <w:color w:val="000000"/>
                <w:sz w:val="20"/>
                <w:szCs w:val="20"/>
                <w:lang w:val="en-US"/>
              </w:rPr>
              <w:t>***</w:t>
            </w:r>
          </w:p>
        </w:tc>
        <w:tc>
          <w:tcPr>
            <w:tcW w:w="789" w:type="dxa"/>
            <w:tcBorders>
              <w:top w:val="single" w:sz="4" w:space="0" w:color="auto"/>
            </w:tcBorders>
            <w:shd w:val="clear" w:color="auto" w:fill="auto"/>
            <w:noWrap/>
          </w:tcPr>
          <w:p w14:paraId="4C161DFB"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5.9</w:t>
            </w:r>
          </w:p>
        </w:tc>
        <w:tc>
          <w:tcPr>
            <w:tcW w:w="789" w:type="dxa"/>
            <w:tcBorders>
              <w:top w:val="single" w:sz="4" w:space="0" w:color="auto"/>
            </w:tcBorders>
            <w:shd w:val="clear" w:color="auto" w:fill="auto"/>
            <w:noWrap/>
          </w:tcPr>
          <w:p w14:paraId="0788F84F"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5.5</w:t>
            </w:r>
          </w:p>
        </w:tc>
      </w:tr>
      <w:tr w:rsidR="006207EB" w:rsidRPr="004A792A" w14:paraId="04E074D3" w14:textId="77777777" w:rsidTr="00545212">
        <w:tc>
          <w:tcPr>
            <w:tcW w:w="2127" w:type="dxa"/>
            <w:vMerge/>
            <w:shd w:val="clear" w:color="auto" w:fill="auto"/>
            <w:noWrap/>
          </w:tcPr>
          <w:p w14:paraId="298F64D9"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7D1CA6D4" w14:textId="77777777" w:rsidR="006207EB" w:rsidRPr="004A792A"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SD (years)</w:t>
            </w:r>
          </w:p>
        </w:tc>
        <w:tc>
          <w:tcPr>
            <w:tcW w:w="920" w:type="dxa"/>
            <w:shd w:val="clear" w:color="auto" w:fill="auto"/>
            <w:noWrap/>
          </w:tcPr>
          <w:p w14:paraId="4F391697"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6.1</w:t>
            </w:r>
          </w:p>
        </w:tc>
        <w:tc>
          <w:tcPr>
            <w:tcW w:w="789" w:type="dxa"/>
            <w:shd w:val="clear" w:color="auto" w:fill="auto"/>
            <w:noWrap/>
          </w:tcPr>
          <w:p w14:paraId="5C247732"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6.8</w:t>
            </w:r>
          </w:p>
        </w:tc>
        <w:tc>
          <w:tcPr>
            <w:tcW w:w="789" w:type="dxa"/>
            <w:shd w:val="clear" w:color="auto" w:fill="auto"/>
            <w:noWrap/>
          </w:tcPr>
          <w:p w14:paraId="7DFD98EB"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6.5</w:t>
            </w:r>
          </w:p>
        </w:tc>
      </w:tr>
      <w:tr w:rsidR="006207EB" w:rsidRPr="004A792A" w14:paraId="0BDCEB10" w14:textId="77777777" w:rsidTr="00545212">
        <w:tc>
          <w:tcPr>
            <w:tcW w:w="2127" w:type="dxa"/>
            <w:vMerge/>
            <w:shd w:val="clear" w:color="auto" w:fill="auto"/>
            <w:noWrap/>
          </w:tcPr>
          <w:p w14:paraId="31EE6319"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215C8283" w14:textId="77777777" w:rsidR="006207EB" w:rsidRPr="004A792A"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Median (years)</w:t>
            </w:r>
          </w:p>
        </w:tc>
        <w:tc>
          <w:tcPr>
            <w:tcW w:w="920" w:type="dxa"/>
            <w:shd w:val="clear" w:color="auto" w:fill="auto"/>
            <w:noWrap/>
          </w:tcPr>
          <w:p w14:paraId="7507998D"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2.6</w:t>
            </w:r>
          </w:p>
        </w:tc>
        <w:tc>
          <w:tcPr>
            <w:tcW w:w="789" w:type="dxa"/>
            <w:shd w:val="clear" w:color="auto" w:fill="auto"/>
            <w:noWrap/>
          </w:tcPr>
          <w:p w14:paraId="3F9ABEBE"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3.3</w:t>
            </w:r>
          </w:p>
        </w:tc>
        <w:tc>
          <w:tcPr>
            <w:tcW w:w="789" w:type="dxa"/>
            <w:shd w:val="clear" w:color="auto" w:fill="auto"/>
            <w:noWrap/>
          </w:tcPr>
          <w:p w14:paraId="2E945711"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3.0</w:t>
            </w:r>
          </w:p>
        </w:tc>
      </w:tr>
      <w:tr w:rsidR="006207EB" w:rsidRPr="004A792A" w14:paraId="2BD8BE25" w14:textId="77777777" w:rsidTr="00545212">
        <w:tc>
          <w:tcPr>
            <w:tcW w:w="2127" w:type="dxa"/>
            <w:vMerge/>
            <w:shd w:val="clear" w:color="auto" w:fill="auto"/>
            <w:noWrap/>
          </w:tcPr>
          <w:p w14:paraId="35328E05"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6F7F1B0C" w14:textId="77777777" w:rsidR="006207EB" w:rsidRPr="004A792A"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Min (years)</w:t>
            </w:r>
          </w:p>
        </w:tc>
        <w:tc>
          <w:tcPr>
            <w:tcW w:w="920" w:type="dxa"/>
            <w:shd w:val="clear" w:color="auto" w:fill="auto"/>
            <w:noWrap/>
          </w:tcPr>
          <w:p w14:paraId="7A3D9544"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0.1</w:t>
            </w:r>
          </w:p>
        </w:tc>
        <w:tc>
          <w:tcPr>
            <w:tcW w:w="789" w:type="dxa"/>
            <w:shd w:val="clear" w:color="auto" w:fill="auto"/>
            <w:noWrap/>
          </w:tcPr>
          <w:p w14:paraId="27943FED"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0.1</w:t>
            </w:r>
          </w:p>
        </w:tc>
        <w:tc>
          <w:tcPr>
            <w:tcW w:w="789" w:type="dxa"/>
            <w:shd w:val="clear" w:color="auto" w:fill="auto"/>
            <w:noWrap/>
          </w:tcPr>
          <w:p w14:paraId="7D652210"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0.1</w:t>
            </w:r>
          </w:p>
        </w:tc>
      </w:tr>
      <w:tr w:rsidR="006207EB" w:rsidRPr="004A792A" w14:paraId="0DDACA97" w14:textId="77777777" w:rsidTr="00545212">
        <w:tc>
          <w:tcPr>
            <w:tcW w:w="2127" w:type="dxa"/>
            <w:vMerge/>
            <w:shd w:val="clear" w:color="auto" w:fill="auto"/>
            <w:noWrap/>
          </w:tcPr>
          <w:p w14:paraId="35034E82"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5AE7AC7D" w14:textId="77777777" w:rsidR="006207EB" w:rsidRPr="004A792A"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Max (years)</w:t>
            </w:r>
          </w:p>
        </w:tc>
        <w:tc>
          <w:tcPr>
            <w:tcW w:w="920" w:type="dxa"/>
            <w:shd w:val="clear" w:color="auto" w:fill="auto"/>
            <w:noWrap/>
          </w:tcPr>
          <w:p w14:paraId="04D11A65"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42.2</w:t>
            </w:r>
          </w:p>
        </w:tc>
        <w:tc>
          <w:tcPr>
            <w:tcW w:w="789" w:type="dxa"/>
            <w:shd w:val="clear" w:color="auto" w:fill="auto"/>
            <w:noWrap/>
          </w:tcPr>
          <w:p w14:paraId="64EE4624"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46.8</w:t>
            </w:r>
          </w:p>
        </w:tc>
        <w:tc>
          <w:tcPr>
            <w:tcW w:w="789" w:type="dxa"/>
            <w:shd w:val="clear" w:color="auto" w:fill="auto"/>
            <w:noWrap/>
          </w:tcPr>
          <w:p w14:paraId="2405CEC9"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46.8</w:t>
            </w:r>
          </w:p>
        </w:tc>
      </w:tr>
      <w:tr w:rsidR="006207EB" w:rsidRPr="004A792A" w14:paraId="2EF132ED" w14:textId="77777777" w:rsidTr="00545212">
        <w:tc>
          <w:tcPr>
            <w:tcW w:w="2127" w:type="dxa"/>
            <w:vMerge/>
            <w:tcBorders>
              <w:bottom w:val="single" w:sz="4" w:space="0" w:color="auto"/>
            </w:tcBorders>
            <w:shd w:val="clear" w:color="auto" w:fill="auto"/>
            <w:noWrap/>
          </w:tcPr>
          <w:p w14:paraId="1D9AC6F8" w14:textId="77777777" w:rsidR="006207EB" w:rsidRPr="004F2BFD" w:rsidRDefault="006207EB" w:rsidP="00B245ED">
            <w:pPr>
              <w:spacing w:before="0"/>
              <w:rPr>
                <w:rFonts w:eastAsia="Times New Roman" w:cstheme="minorHAnsi"/>
                <w:bCs/>
                <w:color w:val="000000"/>
                <w:sz w:val="20"/>
                <w:szCs w:val="20"/>
                <w:lang w:val="en-US"/>
              </w:rPr>
            </w:pPr>
          </w:p>
        </w:tc>
        <w:tc>
          <w:tcPr>
            <w:tcW w:w="4536" w:type="dxa"/>
            <w:tcBorders>
              <w:bottom w:val="single" w:sz="4" w:space="0" w:color="auto"/>
            </w:tcBorders>
            <w:shd w:val="clear" w:color="auto" w:fill="auto"/>
            <w:noWrap/>
          </w:tcPr>
          <w:p w14:paraId="55CFCFD7" w14:textId="77777777" w:rsidR="006207EB" w:rsidRPr="004A792A" w:rsidRDefault="006207EB" w:rsidP="00B245ED">
            <w:pPr>
              <w:spacing w:before="0"/>
              <w:rPr>
                <w:rFonts w:ascii="Calibri" w:hAnsi="Calibri" w:cs="Calibri"/>
                <w:color w:val="000000"/>
                <w:sz w:val="20"/>
                <w:szCs w:val="20"/>
                <w:lang w:val="en-US"/>
              </w:rPr>
            </w:pPr>
            <w:r>
              <w:rPr>
                <w:rFonts w:eastAsia="Times New Roman" w:cstheme="minorHAnsi"/>
                <w:color w:val="000000"/>
                <w:sz w:val="20"/>
                <w:szCs w:val="20"/>
                <w:lang w:val="en-US"/>
              </w:rPr>
              <w:t xml:space="preserve">Share of job seekers </w:t>
            </w:r>
            <w:r w:rsidRPr="004A792A">
              <w:rPr>
                <w:rFonts w:eastAsia="Times New Roman" w:cstheme="minorHAnsi"/>
                <w:color w:val="000000"/>
                <w:sz w:val="20"/>
                <w:szCs w:val="20"/>
                <w:lang w:val="en-US"/>
              </w:rPr>
              <w:t>reporting</w:t>
            </w:r>
            <w:r w:rsidRPr="004F2BFD">
              <w:rPr>
                <w:rFonts w:eastAsia="Times New Roman" w:cstheme="minorHAnsi"/>
                <w:color w:val="000000"/>
                <w:sz w:val="20"/>
                <w:szCs w:val="20"/>
                <w:lang w:val="en-US"/>
              </w:rPr>
              <w:t xml:space="preserve"> </w:t>
            </w:r>
            <w:r w:rsidR="00086947">
              <w:rPr>
                <w:rFonts w:eastAsia="Times New Roman" w:cstheme="minorHAnsi"/>
                <w:color w:val="000000"/>
                <w:sz w:val="20"/>
                <w:szCs w:val="20"/>
                <w:lang w:val="en-US"/>
              </w:rPr>
              <w:t xml:space="preserve">some </w:t>
            </w:r>
            <w:r w:rsidRPr="004F2BFD">
              <w:rPr>
                <w:rFonts w:eastAsia="Times New Roman" w:cstheme="minorHAnsi"/>
                <w:color w:val="000000"/>
                <w:sz w:val="20"/>
                <w:szCs w:val="20"/>
                <w:lang w:val="en-US"/>
              </w:rPr>
              <w:t>experience (%)</w:t>
            </w:r>
          </w:p>
        </w:tc>
        <w:tc>
          <w:tcPr>
            <w:tcW w:w="920" w:type="dxa"/>
            <w:tcBorders>
              <w:bottom w:val="single" w:sz="4" w:space="0" w:color="auto"/>
            </w:tcBorders>
            <w:shd w:val="clear" w:color="auto" w:fill="auto"/>
            <w:noWrap/>
          </w:tcPr>
          <w:p w14:paraId="20654A57"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67.9</w:t>
            </w:r>
          </w:p>
        </w:tc>
        <w:tc>
          <w:tcPr>
            <w:tcW w:w="789" w:type="dxa"/>
            <w:tcBorders>
              <w:bottom w:val="single" w:sz="4" w:space="0" w:color="auto"/>
            </w:tcBorders>
            <w:shd w:val="clear" w:color="auto" w:fill="auto"/>
            <w:noWrap/>
          </w:tcPr>
          <w:p w14:paraId="68E1C046"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70.4</w:t>
            </w:r>
          </w:p>
        </w:tc>
        <w:tc>
          <w:tcPr>
            <w:tcW w:w="789" w:type="dxa"/>
            <w:tcBorders>
              <w:bottom w:val="single" w:sz="4" w:space="0" w:color="auto"/>
            </w:tcBorders>
            <w:shd w:val="clear" w:color="auto" w:fill="auto"/>
            <w:noWrap/>
          </w:tcPr>
          <w:p w14:paraId="379A2103" w14:textId="77777777" w:rsidR="006207EB" w:rsidRPr="004A792A" w:rsidRDefault="006207EB" w:rsidP="00B245ED">
            <w:pPr>
              <w:spacing w:before="0"/>
              <w:jc w:val="center"/>
              <w:rPr>
                <w:rFonts w:ascii="Calibri" w:hAnsi="Calibri" w:cs="Calibri"/>
                <w:color w:val="000000"/>
                <w:sz w:val="20"/>
                <w:szCs w:val="20"/>
                <w:lang w:val="en-US"/>
              </w:rPr>
            </w:pPr>
            <w:r w:rsidRPr="004F2BFD">
              <w:rPr>
                <w:rFonts w:ascii="Calibri" w:hAnsi="Calibri" w:cs="Calibri"/>
                <w:color w:val="000000"/>
                <w:sz w:val="20"/>
                <w:szCs w:val="20"/>
                <w:lang w:val="en-US"/>
              </w:rPr>
              <w:t>69.4</w:t>
            </w:r>
          </w:p>
        </w:tc>
      </w:tr>
      <w:tr w:rsidR="006207EB" w:rsidRPr="004A792A" w14:paraId="4AD0D17A" w14:textId="77777777" w:rsidTr="00545212">
        <w:tc>
          <w:tcPr>
            <w:tcW w:w="2127" w:type="dxa"/>
            <w:vMerge w:val="restart"/>
            <w:tcBorders>
              <w:top w:val="single" w:sz="4" w:space="0" w:color="auto"/>
            </w:tcBorders>
            <w:shd w:val="clear" w:color="auto" w:fill="auto"/>
            <w:noWrap/>
          </w:tcPr>
          <w:p w14:paraId="763B88D5" w14:textId="77777777" w:rsidR="006207EB" w:rsidRPr="004F2BFD" w:rsidRDefault="006207EB" w:rsidP="00B245ED">
            <w:pPr>
              <w:spacing w:before="0"/>
              <w:rPr>
                <w:rFonts w:eastAsia="Times New Roman" w:cstheme="minorHAnsi"/>
                <w:bCs/>
                <w:color w:val="000000"/>
                <w:sz w:val="20"/>
                <w:szCs w:val="20"/>
                <w:lang w:val="en-US"/>
              </w:rPr>
            </w:pPr>
            <w:r w:rsidRPr="00397520">
              <w:rPr>
                <w:rFonts w:eastAsia="Times New Roman" w:cstheme="minorHAnsi"/>
                <w:bCs/>
                <w:color w:val="000000"/>
                <w:sz w:val="20"/>
                <w:szCs w:val="20"/>
                <w:lang w:val="en-US"/>
              </w:rPr>
              <w:t>Number of e</w:t>
            </w:r>
            <w:r>
              <w:rPr>
                <w:rFonts w:eastAsia="Times New Roman" w:cstheme="minorHAnsi"/>
                <w:bCs/>
                <w:color w:val="000000"/>
                <w:sz w:val="20"/>
                <w:szCs w:val="20"/>
                <w:lang w:val="en-US"/>
              </w:rPr>
              <w:t>mployment</w:t>
            </w:r>
            <w:r w:rsidRPr="00397520">
              <w:rPr>
                <w:rFonts w:eastAsia="Times New Roman" w:cstheme="minorHAnsi"/>
                <w:bCs/>
                <w:color w:val="000000"/>
                <w:sz w:val="20"/>
                <w:szCs w:val="20"/>
                <w:lang w:val="en-US"/>
              </w:rPr>
              <w:t xml:space="preserve"> episodes reported in CV</w:t>
            </w:r>
          </w:p>
        </w:tc>
        <w:tc>
          <w:tcPr>
            <w:tcW w:w="4536" w:type="dxa"/>
            <w:tcBorders>
              <w:top w:val="single" w:sz="4" w:space="0" w:color="auto"/>
            </w:tcBorders>
            <w:shd w:val="clear" w:color="auto" w:fill="auto"/>
            <w:noWrap/>
          </w:tcPr>
          <w:p w14:paraId="64FD524E" w14:textId="77777777" w:rsidR="006207EB" w:rsidRDefault="006207EB" w:rsidP="00B245ED">
            <w:pPr>
              <w:spacing w:before="0"/>
              <w:rPr>
                <w:rFonts w:ascii="Calibri" w:hAnsi="Calibri" w:cs="Calibri"/>
                <w:color w:val="000000"/>
              </w:rPr>
            </w:pPr>
            <w:r w:rsidRPr="00397520">
              <w:rPr>
                <w:rFonts w:ascii="Calibri" w:hAnsi="Calibri" w:cs="Calibri"/>
                <w:color w:val="000000"/>
                <w:sz w:val="20"/>
                <w:szCs w:val="20"/>
                <w:lang w:val="en-US"/>
              </w:rPr>
              <w:t>0 (%)</w:t>
            </w:r>
          </w:p>
        </w:tc>
        <w:tc>
          <w:tcPr>
            <w:tcW w:w="920" w:type="dxa"/>
            <w:tcBorders>
              <w:top w:val="single" w:sz="4" w:space="0" w:color="auto"/>
            </w:tcBorders>
            <w:shd w:val="clear" w:color="auto" w:fill="auto"/>
            <w:noWrap/>
          </w:tcPr>
          <w:p w14:paraId="654B6F26"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26.9</w:t>
            </w:r>
          </w:p>
        </w:tc>
        <w:tc>
          <w:tcPr>
            <w:tcW w:w="789" w:type="dxa"/>
            <w:tcBorders>
              <w:top w:val="single" w:sz="4" w:space="0" w:color="auto"/>
            </w:tcBorders>
            <w:shd w:val="clear" w:color="auto" w:fill="auto"/>
            <w:noWrap/>
          </w:tcPr>
          <w:p w14:paraId="19F3E577"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25.3</w:t>
            </w:r>
          </w:p>
        </w:tc>
        <w:tc>
          <w:tcPr>
            <w:tcW w:w="789" w:type="dxa"/>
            <w:tcBorders>
              <w:top w:val="single" w:sz="4" w:space="0" w:color="auto"/>
            </w:tcBorders>
            <w:shd w:val="clear" w:color="auto" w:fill="auto"/>
            <w:noWrap/>
          </w:tcPr>
          <w:p w14:paraId="3CB6C5D8"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26.0</w:t>
            </w:r>
          </w:p>
        </w:tc>
      </w:tr>
      <w:tr w:rsidR="006207EB" w:rsidRPr="004A792A" w14:paraId="0FA7B1CD" w14:textId="77777777" w:rsidTr="00545212">
        <w:tc>
          <w:tcPr>
            <w:tcW w:w="2127" w:type="dxa"/>
            <w:vMerge/>
            <w:shd w:val="clear" w:color="auto" w:fill="auto"/>
            <w:noWrap/>
          </w:tcPr>
          <w:p w14:paraId="4800FF46"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694E04FB" w14:textId="77777777" w:rsidR="006207EB" w:rsidRDefault="006207EB" w:rsidP="00B245ED">
            <w:pPr>
              <w:spacing w:before="0"/>
              <w:rPr>
                <w:rFonts w:ascii="Calibri" w:hAnsi="Calibri" w:cs="Calibri"/>
                <w:color w:val="000000"/>
              </w:rPr>
            </w:pPr>
            <w:r w:rsidRPr="00397520">
              <w:rPr>
                <w:rFonts w:ascii="Calibri" w:hAnsi="Calibri" w:cs="Calibri"/>
                <w:color w:val="000000"/>
                <w:sz w:val="20"/>
                <w:szCs w:val="20"/>
                <w:lang w:val="en-US"/>
              </w:rPr>
              <w:t>1 (%)</w:t>
            </w:r>
          </w:p>
        </w:tc>
        <w:tc>
          <w:tcPr>
            <w:tcW w:w="920" w:type="dxa"/>
            <w:shd w:val="clear" w:color="auto" w:fill="auto"/>
            <w:noWrap/>
          </w:tcPr>
          <w:p w14:paraId="7122083E"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43.6</w:t>
            </w:r>
          </w:p>
        </w:tc>
        <w:tc>
          <w:tcPr>
            <w:tcW w:w="789" w:type="dxa"/>
            <w:shd w:val="clear" w:color="auto" w:fill="auto"/>
            <w:noWrap/>
          </w:tcPr>
          <w:p w14:paraId="41A3246A"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44.1</w:t>
            </w:r>
          </w:p>
        </w:tc>
        <w:tc>
          <w:tcPr>
            <w:tcW w:w="789" w:type="dxa"/>
            <w:shd w:val="clear" w:color="auto" w:fill="auto"/>
            <w:noWrap/>
          </w:tcPr>
          <w:p w14:paraId="2AB8D3F2"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43.9</w:t>
            </w:r>
          </w:p>
        </w:tc>
      </w:tr>
      <w:tr w:rsidR="006207EB" w:rsidRPr="004A792A" w14:paraId="63D52817" w14:textId="77777777" w:rsidTr="00545212">
        <w:tc>
          <w:tcPr>
            <w:tcW w:w="2127" w:type="dxa"/>
            <w:vMerge/>
            <w:tcBorders>
              <w:bottom w:val="single" w:sz="4" w:space="0" w:color="auto"/>
            </w:tcBorders>
            <w:shd w:val="clear" w:color="auto" w:fill="auto"/>
            <w:noWrap/>
          </w:tcPr>
          <w:p w14:paraId="2F5CB282" w14:textId="77777777" w:rsidR="006207EB" w:rsidRPr="004F2BFD" w:rsidRDefault="006207EB" w:rsidP="00B245ED">
            <w:pPr>
              <w:spacing w:before="0"/>
              <w:rPr>
                <w:rFonts w:eastAsia="Times New Roman" w:cstheme="minorHAnsi"/>
                <w:bCs/>
                <w:color w:val="000000"/>
                <w:sz w:val="20"/>
                <w:szCs w:val="20"/>
                <w:lang w:val="en-US"/>
              </w:rPr>
            </w:pPr>
          </w:p>
        </w:tc>
        <w:tc>
          <w:tcPr>
            <w:tcW w:w="4536" w:type="dxa"/>
            <w:tcBorders>
              <w:bottom w:val="single" w:sz="4" w:space="0" w:color="auto"/>
            </w:tcBorders>
            <w:shd w:val="clear" w:color="auto" w:fill="auto"/>
            <w:noWrap/>
          </w:tcPr>
          <w:p w14:paraId="1238DF13" w14:textId="77777777" w:rsidR="006207EB" w:rsidRDefault="006207EB" w:rsidP="00B245ED">
            <w:pPr>
              <w:spacing w:before="0"/>
              <w:rPr>
                <w:rFonts w:ascii="Calibri" w:hAnsi="Calibri" w:cs="Calibri"/>
                <w:color w:val="000000"/>
              </w:rPr>
            </w:pPr>
            <w:r w:rsidRPr="00397520">
              <w:rPr>
                <w:rFonts w:ascii="Calibri" w:hAnsi="Calibri" w:cs="Calibri"/>
                <w:color w:val="000000"/>
                <w:sz w:val="20"/>
                <w:szCs w:val="20"/>
                <w:lang w:val="en-US"/>
              </w:rPr>
              <w:t>2 and more (%)</w:t>
            </w:r>
          </w:p>
        </w:tc>
        <w:tc>
          <w:tcPr>
            <w:tcW w:w="920" w:type="dxa"/>
            <w:tcBorders>
              <w:bottom w:val="single" w:sz="4" w:space="0" w:color="auto"/>
            </w:tcBorders>
            <w:shd w:val="clear" w:color="auto" w:fill="auto"/>
            <w:noWrap/>
          </w:tcPr>
          <w:p w14:paraId="2AD29812"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29.5</w:t>
            </w:r>
          </w:p>
        </w:tc>
        <w:tc>
          <w:tcPr>
            <w:tcW w:w="789" w:type="dxa"/>
            <w:tcBorders>
              <w:bottom w:val="single" w:sz="4" w:space="0" w:color="auto"/>
            </w:tcBorders>
            <w:shd w:val="clear" w:color="auto" w:fill="auto"/>
            <w:noWrap/>
          </w:tcPr>
          <w:p w14:paraId="6C20BEE8"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30.6</w:t>
            </w:r>
          </w:p>
        </w:tc>
        <w:tc>
          <w:tcPr>
            <w:tcW w:w="789" w:type="dxa"/>
            <w:tcBorders>
              <w:bottom w:val="single" w:sz="4" w:space="0" w:color="auto"/>
            </w:tcBorders>
            <w:shd w:val="clear" w:color="auto" w:fill="auto"/>
            <w:noWrap/>
          </w:tcPr>
          <w:p w14:paraId="3F48B85A" w14:textId="77777777" w:rsidR="006207EB" w:rsidRPr="004F2BFD" w:rsidRDefault="006207EB" w:rsidP="00B245ED">
            <w:pPr>
              <w:spacing w:before="0"/>
              <w:jc w:val="center"/>
              <w:rPr>
                <w:rFonts w:ascii="Calibri" w:hAnsi="Calibri" w:cs="Calibri"/>
                <w:color w:val="000000"/>
                <w:sz w:val="20"/>
                <w:szCs w:val="20"/>
              </w:rPr>
            </w:pPr>
            <w:r w:rsidRPr="004F2BFD">
              <w:rPr>
                <w:rFonts w:ascii="Calibri" w:hAnsi="Calibri" w:cs="Calibri"/>
                <w:color w:val="000000"/>
                <w:sz w:val="20"/>
                <w:szCs w:val="20"/>
              </w:rPr>
              <w:t>30.1</w:t>
            </w:r>
          </w:p>
        </w:tc>
      </w:tr>
      <w:tr w:rsidR="006207EB" w:rsidRPr="004A792A" w14:paraId="7E35359F" w14:textId="77777777" w:rsidTr="00545212">
        <w:tc>
          <w:tcPr>
            <w:tcW w:w="2127" w:type="dxa"/>
            <w:vMerge w:val="restart"/>
            <w:tcBorders>
              <w:top w:val="single" w:sz="4" w:space="0" w:color="auto"/>
            </w:tcBorders>
            <w:shd w:val="clear" w:color="auto" w:fill="auto"/>
            <w:noWrap/>
          </w:tcPr>
          <w:p w14:paraId="036FDA91" w14:textId="77777777" w:rsidR="006207EB" w:rsidRPr="004F2BFD" w:rsidRDefault="006207EB" w:rsidP="00B245ED">
            <w:pPr>
              <w:spacing w:before="0"/>
              <w:rPr>
                <w:rFonts w:eastAsia="Times New Roman" w:cstheme="minorHAnsi"/>
                <w:bCs/>
                <w:color w:val="000000"/>
                <w:sz w:val="20"/>
                <w:szCs w:val="20"/>
                <w:lang w:val="en-US"/>
              </w:rPr>
            </w:pPr>
            <w:r w:rsidRPr="004A792A">
              <w:rPr>
                <w:rFonts w:eastAsia="Times New Roman" w:cstheme="minorHAnsi"/>
                <w:bCs/>
                <w:color w:val="000000"/>
                <w:sz w:val="20"/>
                <w:szCs w:val="20"/>
                <w:lang w:val="en-US"/>
              </w:rPr>
              <w:t>Time since the last e</w:t>
            </w:r>
            <w:r>
              <w:rPr>
                <w:rFonts w:eastAsia="Times New Roman" w:cstheme="minorHAnsi"/>
                <w:bCs/>
                <w:color w:val="000000"/>
                <w:sz w:val="20"/>
                <w:szCs w:val="20"/>
                <w:lang w:val="en-US"/>
              </w:rPr>
              <w:t>mployment</w:t>
            </w:r>
            <w:r w:rsidRPr="004A792A">
              <w:rPr>
                <w:rFonts w:eastAsia="Times New Roman" w:cstheme="minorHAnsi"/>
                <w:bCs/>
                <w:color w:val="000000"/>
                <w:sz w:val="20"/>
                <w:szCs w:val="20"/>
                <w:lang w:val="en-US"/>
              </w:rPr>
              <w:t xml:space="preserve"> episode</w:t>
            </w:r>
            <w:r>
              <w:rPr>
                <w:rFonts w:eastAsia="Times New Roman" w:cstheme="minorHAnsi"/>
                <w:bCs/>
                <w:color w:val="000000"/>
                <w:sz w:val="20"/>
                <w:szCs w:val="20"/>
                <w:lang w:val="en-US"/>
              </w:rPr>
              <w:t xml:space="preserve"> (</w:t>
            </w:r>
            <w:proofErr w:type="spellStart"/>
            <w:r>
              <w:rPr>
                <w:rFonts w:eastAsia="Times New Roman" w:cstheme="minorHAnsi"/>
                <w:bCs/>
                <w:color w:val="000000"/>
                <w:sz w:val="20"/>
                <w:szCs w:val="20"/>
                <w:lang w:val="en-US"/>
              </w:rPr>
              <w:t>zeros</w:t>
            </w:r>
            <w:proofErr w:type="spellEnd"/>
            <w:r>
              <w:rPr>
                <w:rFonts w:eastAsia="Times New Roman" w:cstheme="minorHAnsi"/>
                <w:bCs/>
                <w:color w:val="000000"/>
                <w:sz w:val="20"/>
                <w:szCs w:val="20"/>
                <w:lang w:val="en-US"/>
              </w:rPr>
              <w:t xml:space="preserve"> are excluded)</w:t>
            </w:r>
          </w:p>
        </w:tc>
        <w:tc>
          <w:tcPr>
            <w:tcW w:w="4536" w:type="dxa"/>
            <w:tcBorders>
              <w:top w:val="single" w:sz="4" w:space="0" w:color="auto"/>
            </w:tcBorders>
            <w:shd w:val="clear" w:color="auto" w:fill="auto"/>
            <w:noWrap/>
          </w:tcPr>
          <w:p w14:paraId="7520A8D7" w14:textId="77777777" w:rsidR="006207EB" w:rsidRPr="00397520"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Mean (</w:t>
            </w:r>
            <w:r>
              <w:rPr>
                <w:rFonts w:eastAsia="Times New Roman" w:cstheme="minorHAnsi"/>
                <w:color w:val="000000"/>
                <w:sz w:val="20"/>
                <w:szCs w:val="20"/>
                <w:lang w:val="en-US"/>
              </w:rPr>
              <w:t>months</w:t>
            </w:r>
            <w:r w:rsidRPr="004A792A">
              <w:rPr>
                <w:rFonts w:eastAsia="Times New Roman" w:cstheme="minorHAnsi"/>
                <w:color w:val="000000"/>
                <w:sz w:val="20"/>
                <w:szCs w:val="20"/>
                <w:lang w:val="en-US"/>
              </w:rPr>
              <w:t>)</w:t>
            </w:r>
          </w:p>
        </w:tc>
        <w:tc>
          <w:tcPr>
            <w:tcW w:w="920" w:type="dxa"/>
            <w:tcBorders>
              <w:top w:val="single" w:sz="4" w:space="0" w:color="auto"/>
            </w:tcBorders>
            <w:shd w:val="clear" w:color="auto" w:fill="auto"/>
            <w:noWrap/>
          </w:tcPr>
          <w:p w14:paraId="00FA3AD8"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1.3</w:t>
            </w:r>
          </w:p>
        </w:tc>
        <w:tc>
          <w:tcPr>
            <w:tcW w:w="789" w:type="dxa"/>
            <w:tcBorders>
              <w:top w:val="single" w:sz="4" w:space="0" w:color="auto"/>
            </w:tcBorders>
            <w:shd w:val="clear" w:color="auto" w:fill="auto"/>
            <w:noWrap/>
          </w:tcPr>
          <w:p w14:paraId="1AB011F7"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1.5</w:t>
            </w:r>
          </w:p>
        </w:tc>
        <w:tc>
          <w:tcPr>
            <w:tcW w:w="789" w:type="dxa"/>
            <w:tcBorders>
              <w:top w:val="single" w:sz="4" w:space="0" w:color="auto"/>
            </w:tcBorders>
            <w:shd w:val="clear" w:color="auto" w:fill="auto"/>
            <w:noWrap/>
          </w:tcPr>
          <w:p w14:paraId="6FADEB9F"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1.4</w:t>
            </w:r>
          </w:p>
        </w:tc>
      </w:tr>
      <w:tr w:rsidR="006207EB" w:rsidRPr="004A792A" w14:paraId="0B5B9395" w14:textId="77777777" w:rsidTr="00545212">
        <w:tc>
          <w:tcPr>
            <w:tcW w:w="2127" w:type="dxa"/>
            <w:vMerge/>
            <w:shd w:val="clear" w:color="auto" w:fill="auto"/>
            <w:noWrap/>
          </w:tcPr>
          <w:p w14:paraId="5A570AEC"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584AEACE" w14:textId="77777777" w:rsidR="006207EB" w:rsidRPr="00397520" w:rsidRDefault="006207EB" w:rsidP="00B245ED">
            <w:pPr>
              <w:spacing w:before="0"/>
              <w:rPr>
                <w:rFonts w:ascii="Calibri" w:hAnsi="Calibri" w:cs="Calibri"/>
                <w:color w:val="000000"/>
                <w:sz w:val="20"/>
                <w:szCs w:val="20"/>
                <w:lang w:val="en-US"/>
              </w:rPr>
            </w:pPr>
            <w:r w:rsidRPr="004A792A">
              <w:rPr>
                <w:rFonts w:eastAsia="Times New Roman" w:cstheme="minorHAnsi"/>
                <w:color w:val="000000"/>
                <w:sz w:val="20"/>
                <w:szCs w:val="20"/>
                <w:lang w:val="en-US"/>
              </w:rPr>
              <w:t>SD (</w:t>
            </w:r>
            <w:r>
              <w:rPr>
                <w:rFonts w:eastAsia="Times New Roman" w:cstheme="minorHAnsi"/>
                <w:color w:val="000000"/>
                <w:sz w:val="20"/>
                <w:szCs w:val="20"/>
                <w:lang w:val="en-US"/>
              </w:rPr>
              <w:t>months</w:t>
            </w:r>
            <w:r w:rsidRPr="004A792A">
              <w:rPr>
                <w:rFonts w:eastAsia="Times New Roman" w:cstheme="minorHAnsi"/>
                <w:color w:val="000000"/>
                <w:sz w:val="20"/>
                <w:szCs w:val="20"/>
                <w:lang w:val="en-US"/>
              </w:rPr>
              <w:t>)</w:t>
            </w:r>
          </w:p>
        </w:tc>
        <w:tc>
          <w:tcPr>
            <w:tcW w:w="920" w:type="dxa"/>
            <w:shd w:val="clear" w:color="auto" w:fill="auto"/>
            <w:noWrap/>
          </w:tcPr>
          <w:p w14:paraId="4D1ED054"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2.1</w:t>
            </w:r>
          </w:p>
        </w:tc>
        <w:tc>
          <w:tcPr>
            <w:tcW w:w="789" w:type="dxa"/>
            <w:shd w:val="clear" w:color="auto" w:fill="auto"/>
            <w:noWrap/>
          </w:tcPr>
          <w:p w14:paraId="322B0B25"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2.5</w:t>
            </w:r>
          </w:p>
        </w:tc>
        <w:tc>
          <w:tcPr>
            <w:tcW w:w="789" w:type="dxa"/>
            <w:shd w:val="clear" w:color="auto" w:fill="auto"/>
            <w:noWrap/>
          </w:tcPr>
          <w:p w14:paraId="3857621C"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2.4</w:t>
            </w:r>
          </w:p>
        </w:tc>
      </w:tr>
      <w:tr w:rsidR="006207EB" w:rsidRPr="004A792A" w14:paraId="1C49E87D" w14:textId="77777777" w:rsidTr="00545212">
        <w:tc>
          <w:tcPr>
            <w:tcW w:w="2127" w:type="dxa"/>
            <w:vMerge/>
            <w:shd w:val="clear" w:color="auto" w:fill="auto"/>
            <w:noWrap/>
          </w:tcPr>
          <w:p w14:paraId="53397293"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5DED5B20" w14:textId="77777777" w:rsidR="006207EB" w:rsidRDefault="006207EB" w:rsidP="00B245ED">
            <w:pPr>
              <w:spacing w:before="0"/>
              <w:rPr>
                <w:rFonts w:ascii="Calibri" w:hAnsi="Calibri" w:cs="Calibri"/>
                <w:color w:val="000000"/>
              </w:rPr>
            </w:pPr>
            <w:r w:rsidRPr="004A792A">
              <w:rPr>
                <w:rFonts w:eastAsia="Times New Roman" w:cstheme="minorHAnsi"/>
                <w:color w:val="000000"/>
                <w:sz w:val="20"/>
                <w:szCs w:val="20"/>
                <w:lang w:val="en-US"/>
              </w:rPr>
              <w:t>Median (</w:t>
            </w:r>
            <w:r>
              <w:rPr>
                <w:rFonts w:eastAsia="Times New Roman" w:cstheme="minorHAnsi"/>
                <w:color w:val="000000"/>
                <w:sz w:val="20"/>
                <w:szCs w:val="20"/>
                <w:lang w:val="en-US"/>
              </w:rPr>
              <w:t>months)</w:t>
            </w:r>
          </w:p>
        </w:tc>
        <w:tc>
          <w:tcPr>
            <w:tcW w:w="920" w:type="dxa"/>
            <w:shd w:val="clear" w:color="auto" w:fill="auto"/>
            <w:noWrap/>
          </w:tcPr>
          <w:p w14:paraId="75CDBFC6"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0.7</w:t>
            </w:r>
          </w:p>
        </w:tc>
        <w:tc>
          <w:tcPr>
            <w:tcW w:w="789" w:type="dxa"/>
            <w:shd w:val="clear" w:color="auto" w:fill="auto"/>
            <w:noWrap/>
          </w:tcPr>
          <w:p w14:paraId="7143175F"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0.6</w:t>
            </w:r>
          </w:p>
        </w:tc>
        <w:tc>
          <w:tcPr>
            <w:tcW w:w="789" w:type="dxa"/>
            <w:shd w:val="clear" w:color="auto" w:fill="auto"/>
            <w:noWrap/>
          </w:tcPr>
          <w:p w14:paraId="35E48EE0"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0.6</w:t>
            </w:r>
          </w:p>
        </w:tc>
      </w:tr>
      <w:tr w:rsidR="006207EB" w:rsidRPr="004A792A" w14:paraId="604F3FEE" w14:textId="77777777" w:rsidTr="00545212">
        <w:tc>
          <w:tcPr>
            <w:tcW w:w="2127" w:type="dxa"/>
            <w:vMerge/>
            <w:shd w:val="clear" w:color="auto" w:fill="auto"/>
            <w:noWrap/>
          </w:tcPr>
          <w:p w14:paraId="5A68D754" w14:textId="77777777" w:rsidR="006207EB" w:rsidRPr="004F2BFD" w:rsidRDefault="006207EB" w:rsidP="00B245ED">
            <w:pPr>
              <w:spacing w:before="0"/>
              <w:rPr>
                <w:rFonts w:eastAsia="Times New Roman" w:cstheme="minorHAnsi"/>
                <w:bCs/>
                <w:color w:val="000000"/>
                <w:sz w:val="20"/>
                <w:szCs w:val="20"/>
                <w:lang w:val="en-US"/>
              </w:rPr>
            </w:pPr>
          </w:p>
        </w:tc>
        <w:tc>
          <w:tcPr>
            <w:tcW w:w="4536" w:type="dxa"/>
            <w:shd w:val="clear" w:color="auto" w:fill="auto"/>
            <w:noWrap/>
          </w:tcPr>
          <w:p w14:paraId="03199C25" w14:textId="77777777" w:rsidR="006207EB" w:rsidRPr="004A792A" w:rsidRDefault="006207EB" w:rsidP="00B245ED">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Min (</w:t>
            </w:r>
            <w:r>
              <w:rPr>
                <w:rFonts w:eastAsia="Times New Roman" w:cstheme="minorHAnsi"/>
                <w:color w:val="000000"/>
                <w:sz w:val="20"/>
                <w:szCs w:val="20"/>
                <w:lang w:val="en-US"/>
              </w:rPr>
              <w:t>months</w:t>
            </w:r>
            <w:r w:rsidRPr="004A792A">
              <w:rPr>
                <w:rFonts w:eastAsia="Times New Roman" w:cstheme="minorHAnsi"/>
                <w:color w:val="000000"/>
                <w:sz w:val="20"/>
                <w:szCs w:val="20"/>
                <w:lang w:val="en-US"/>
              </w:rPr>
              <w:t>)</w:t>
            </w:r>
          </w:p>
        </w:tc>
        <w:tc>
          <w:tcPr>
            <w:tcW w:w="920" w:type="dxa"/>
            <w:shd w:val="clear" w:color="auto" w:fill="auto"/>
            <w:noWrap/>
          </w:tcPr>
          <w:p w14:paraId="0887D6C4"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0.1</w:t>
            </w:r>
          </w:p>
        </w:tc>
        <w:tc>
          <w:tcPr>
            <w:tcW w:w="789" w:type="dxa"/>
            <w:shd w:val="clear" w:color="auto" w:fill="auto"/>
            <w:noWrap/>
          </w:tcPr>
          <w:p w14:paraId="5E46CDD5"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0.1</w:t>
            </w:r>
          </w:p>
        </w:tc>
        <w:tc>
          <w:tcPr>
            <w:tcW w:w="789" w:type="dxa"/>
            <w:shd w:val="clear" w:color="auto" w:fill="auto"/>
            <w:noWrap/>
          </w:tcPr>
          <w:p w14:paraId="5D5350CA"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0.1</w:t>
            </w:r>
          </w:p>
        </w:tc>
      </w:tr>
      <w:tr w:rsidR="006207EB" w:rsidRPr="004A792A" w14:paraId="159D5742" w14:textId="77777777" w:rsidTr="00545212">
        <w:tc>
          <w:tcPr>
            <w:tcW w:w="2127" w:type="dxa"/>
            <w:vMerge/>
            <w:tcBorders>
              <w:bottom w:val="single" w:sz="4" w:space="0" w:color="auto"/>
            </w:tcBorders>
            <w:shd w:val="clear" w:color="auto" w:fill="auto"/>
            <w:noWrap/>
          </w:tcPr>
          <w:p w14:paraId="5B54728A" w14:textId="77777777" w:rsidR="006207EB" w:rsidRPr="004F2BFD" w:rsidRDefault="006207EB" w:rsidP="00B245ED">
            <w:pPr>
              <w:spacing w:before="0"/>
              <w:rPr>
                <w:rFonts w:eastAsia="Times New Roman" w:cstheme="minorHAnsi"/>
                <w:bCs/>
                <w:color w:val="000000"/>
                <w:sz w:val="20"/>
                <w:szCs w:val="20"/>
                <w:lang w:val="en-US"/>
              </w:rPr>
            </w:pPr>
          </w:p>
        </w:tc>
        <w:tc>
          <w:tcPr>
            <w:tcW w:w="4536" w:type="dxa"/>
            <w:tcBorders>
              <w:bottom w:val="single" w:sz="4" w:space="0" w:color="auto"/>
            </w:tcBorders>
            <w:shd w:val="clear" w:color="auto" w:fill="auto"/>
            <w:noWrap/>
          </w:tcPr>
          <w:p w14:paraId="51BAF33F" w14:textId="77777777" w:rsidR="006207EB" w:rsidRPr="004A792A" w:rsidRDefault="006207EB" w:rsidP="00B245ED">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Max (</w:t>
            </w:r>
            <w:r>
              <w:rPr>
                <w:rFonts w:eastAsia="Times New Roman" w:cstheme="minorHAnsi"/>
                <w:color w:val="000000"/>
                <w:sz w:val="20"/>
                <w:szCs w:val="20"/>
                <w:lang w:val="en-US"/>
              </w:rPr>
              <w:t>months</w:t>
            </w:r>
            <w:r w:rsidRPr="004A792A">
              <w:rPr>
                <w:rFonts w:eastAsia="Times New Roman" w:cstheme="minorHAnsi"/>
                <w:color w:val="000000"/>
                <w:sz w:val="20"/>
                <w:szCs w:val="20"/>
                <w:lang w:val="en-US"/>
              </w:rPr>
              <w:t>)</w:t>
            </w:r>
          </w:p>
        </w:tc>
        <w:tc>
          <w:tcPr>
            <w:tcW w:w="920" w:type="dxa"/>
            <w:tcBorders>
              <w:bottom w:val="single" w:sz="4" w:space="0" w:color="auto"/>
            </w:tcBorders>
            <w:shd w:val="clear" w:color="auto" w:fill="auto"/>
            <w:noWrap/>
          </w:tcPr>
          <w:p w14:paraId="0C128CEF"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23.0</w:t>
            </w:r>
          </w:p>
        </w:tc>
        <w:tc>
          <w:tcPr>
            <w:tcW w:w="789" w:type="dxa"/>
            <w:tcBorders>
              <w:bottom w:val="single" w:sz="4" w:space="0" w:color="auto"/>
            </w:tcBorders>
            <w:shd w:val="clear" w:color="auto" w:fill="auto"/>
            <w:noWrap/>
          </w:tcPr>
          <w:p w14:paraId="3EB56685"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22.4</w:t>
            </w:r>
          </w:p>
        </w:tc>
        <w:tc>
          <w:tcPr>
            <w:tcW w:w="789" w:type="dxa"/>
            <w:tcBorders>
              <w:bottom w:val="single" w:sz="4" w:space="0" w:color="auto"/>
            </w:tcBorders>
            <w:shd w:val="clear" w:color="auto" w:fill="auto"/>
            <w:noWrap/>
          </w:tcPr>
          <w:p w14:paraId="502AD0E9" w14:textId="77777777" w:rsidR="006207EB" w:rsidRPr="001549BA" w:rsidRDefault="006207EB" w:rsidP="00B245ED">
            <w:pPr>
              <w:spacing w:before="0"/>
              <w:jc w:val="center"/>
              <w:rPr>
                <w:rFonts w:ascii="Calibri" w:hAnsi="Calibri" w:cs="Calibri"/>
                <w:color w:val="000000"/>
                <w:sz w:val="20"/>
                <w:szCs w:val="20"/>
              </w:rPr>
            </w:pPr>
            <w:r w:rsidRPr="001549BA">
              <w:rPr>
                <w:rFonts w:ascii="Calibri" w:hAnsi="Calibri" w:cs="Calibri"/>
                <w:color w:val="000000"/>
                <w:sz w:val="20"/>
                <w:szCs w:val="20"/>
              </w:rPr>
              <w:t>23.0</w:t>
            </w:r>
          </w:p>
        </w:tc>
      </w:tr>
      <w:tr w:rsidR="006207EB" w:rsidRPr="00662B30" w14:paraId="491DE757" w14:textId="77777777" w:rsidTr="00545212">
        <w:tc>
          <w:tcPr>
            <w:tcW w:w="6663" w:type="dxa"/>
            <w:gridSpan w:val="2"/>
            <w:shd w:val="clear" w:color="auto" w:fill="auto"/>
            <w:noWrap/>
          </w:tcPr>
          <w:p w14:paraId="502945EF" w14:textId="77777777" w:rsidR="006207EB" w:rsidRPr="00662B30" w:rsidRDefault="006207EB" w:rsidP="007215BF">
            <w:pPr>
              <w:spacing w:before="0"/>
              <w:rPr>
                <w:rFonts w:eastAsia="Times New Roman" w:cstheme="minorHAnsi"/>
                <w:color w:val="000000"/>
                <w:sz w:val="20"/>
                <w:szCs w:val="20"/>
                <w:lang w:val="en-US"/>
              </w:rPr>
            </w:pPr>
            <w:r w:rsidRPr="00662B30">
              <w:rPr>
                <w:rFonts w:eastAsia="Times New Roman" w:cstheme="minorHAnsi"/>
                <w:bCs/>
                <w:color w:val="000000"/>
                <w:sz w:val="20"/>
                <w:szCs w:val="20"/>
                <w:lang w:val="en-US"/>
              </w:rPr>
              <w:t>Job seekers continuing employment</w:t>
            </w:r>
            <w:r w:rsidR="007215BF" w:rsidRPr="00662B30">
              <w:rPr>
                <w:rFonts w:eastAsia="Times New Roman" w:cstheme="minorHAnsi"/>
                <w:bCs/>
                <w:color w:val="000000"/>
                <w:sz w:val="20"/>
                <w:szCs w:val="20"/>
                <w:lang w:val="en-US"/>
              </w:rPr>
              <w:t xml:space="preserve">, i.e. reporting “present” as the end of the last employment episode </w:t>
            </w:r>
            <w:r w:rsidRPr="00662B30">
              <w:rPr>
                <w:rFonts w:eastAsia="Times New Roman" w:cstheme="minorHAnsi"/>
                <w:bCs/>
                <w:color w:val="000000"/>
                <w:sz w:val="20"/>
                <w:szCs w:val="20"/>
                <w:lang w:val="en-US"/>
              </w:rPr>
              <w:t>(</w:t>
            </w:r>
            <w:r w:rsidRPr="00662B30">
              <w:rPr>
                <w:rFonts w:ascii="Calibri" w:hAnsi="Calibri" w:cs="Calibri"/>
                <w:color w:val="000000"/>
                <w:sz w:val="20"/>
                <w:szCs w:val="20"/>
                <w:lang w:val="en-US"/>
              </w:rPr>
              <w:t>% of all job seekers)</w:t>
            </w:r>
          </w:p>
        </w:tc>
        <w:tc>
          <w:tcPr>
            <w:tcW w:w="920" w:type="dxa"/>
            <w:shd w:val="clear" w:color="auto" w:fill="auto"/>
            <w:noWrap/>
          </w:tcPr>
          <w:p w14:paraId="5A6CBC30" w14:textId="77777777" w:rsidR="006207EB" w:rsidRPr="00662B30" w:rsidRDefault="006207EB" w:rsidP="00B245ED">
            <w:pPr>
              <w:spacing w:before="0"/>
              <w:jc w:val="center"/>
              <w:rPr>
                <w:rFonts w:ascii="Calibri" w:hAnsi="Calibri" w:cs="Calibri"/>
                <w:color w:val="000000"/>
                <w:sz w:val="20"/>
                <w:szCs w:val="20"/>
              </w:rPr>
            </w:pPr>
            <w:r w:rsidRPr="00662B30">
              <w:rPr>
                <w:rFonts w:ascii="Calibri" w:hAnsi="Calibri" w:cs="Calibri"/>
                <w:color w:val="000000"/>
                <w:sz w:val="20"/>
                <w:szCs w:val="20"/>
              </w:rPr>
              <w:t>28.2</w:t>
            </w:r>
          </w:p>
        </w:tc>
        <w:tc>
          <w:tcPr>
            <w:tcW w:w="789" w:type="dxa"/>
            <w:shd w:val="clear" w:color="auto" w:fill="auto"/>
            <w:noWrap/>
          </w:tcPr>
          <w:p w14:paraId="187C5987" w14:textId="77777777" w:rsidR="006207EB" w:rsidRPr="00662B30" w:rsidRDefault="006207EB" w:rsidP="00B245ED">
            <w:pPr>
              <w:spacing w:before="0"/>
              <w:jc w:val="center"/>
              <w:rPr>
                <w:rFonts w:ascii="Calibri" w:hAnsi="Calibri" w:cs="Calibri"/>
                <w:color w:val="000000"/>
                <w:sz w:val="20"/>
                <w:szCs w:val="20"/>
              </w:rPr>
            </w:pPr>
            <w:r w:rsidRPr="00662B30">
              <w:rPr>
                <w:rFonts w:ascii="Calibri" w:hAnsi="Calibri" w:cs="Calibri"/>
                <w:color w:val="000000"/>
                <w:sz w:val="20"/>
                <w:szCs w:val="20"/>
              </w:rPr>
              <w:t>29.4</w:t>
            </w:r>
          </w:p>
        </w:tc>
        <w:tc>
          <w:tcPr>
            <w:tcW w:w="789" w:type="dxa"/>
            <w:shd w:val="clear" w:color="auto" w:fill="auto"/>
            <w:noWrap/>
          </w:tcPr>
          <w:p w14:paraId="75834C95" w14:textId="77777777" w:rsidR="006207EB" w:rsidRPr="00662B30" w:rsidRDefault="006207EB" w:rsidP="00B245ED">
            <w:pPr>
              <w:spacing w:before="0"/>
              <w:jc w:val="center"/>
              <w:rPr>
                <w:rFonts w:ascii="Calibri" w:hAnsi="Calibri" w:cs="Calibri"/>
                <w:color w:val="000000"/>
                <w:sz w:val="20"/>
                <w:szCs w:val="20"/>
              </w:rPr>
            </w:pPr>
            <w:r w:rsidRPr="00662B30">
              <w:rPr>
                <w:rFonts w:ascii="Calibri" w:hAnsi="Calibri" w:cs="Calibri"/>
                <w:color w:val="000000"/>
                <w:sz w:val="20"/>
                <w:szCs w:val="20"/>
              </w:rPr>
              <w:t>28.9</w:t>
            </w:r>
          </w:p>
        </w:tc>
      </w:tr>
      <w:tr w:rsidR="006207EB" w:rsidRPr="00662B30" w14:paraId="10095A4C" w14:textId="77777777" w:rsidTr="007215BF">
        <w:tc>
          <w:tcPr>
            <w:tcW w:w="6663" w:type="dxa"/>
            <w:gridSpan w:val="2"/>
            <w:shd w:val="clear" w:color="auto" w:fill="auto"/>
            <w:noWrap/>
          </w:tcPr>
          <w:p w14:paraId="1B40CE26" w14:textId="77777777" w:rsidR="006207EB" w:rsidRPr="00662B30" w:rsidRDefault="006207EB" w:rsidP="00B245ED">
            <w:pPr>
              <w:spacing w:before="0"/>
              <w:rPr>
                <w:rFonts w:ascii="Calibri" w:hAnsi="Calibri" w:cs="Calibri"/>
                <w:color w:val="000000"/>
                <w:sz w:val="20"/>
                <w:szCs w:val="20"/>
                <w:lang w:val="en-US"/>
              </w:rPr>
            </w:pPr>
            <w:r w:rsidRPr="00662B30">
              <w:rPr>
                <w:rFonts w:eastAsia="Times New Roman" w:cstheme="minorHAnsi"/>
                <w:bCs/>
                <w:color w:val="000000"/>
                <w:sz w:val="20"/>
                <w:szCs w:val="20"/>
                <w:lang w:val="en-US"/>
              </w:rPr>
              <w:t xml:space="preserve">Job seekers with missing info about the </w:t>
            </w:r>
            <w:r w:rsidR="007215BF" w:rsidRPr="00662B30">
              <w:rPr>
                <w:rFonts w:eastAsia="Times New Roman" w:cstheme="minorHAnsi"/>
                <w:bCs/>
                <w:color w:val="000000"/>
                <w:sz w:val="20"/>
                <w:szCs w:val="20"/>
                <w:lang w:val="en-US"/>
              </w:rPr>
              <w:t xml:space="preserve">end of the </w:t>
            </w:r>
            <w:r w:rsidRPr="00662B30">
              <w:rPr>
                <w:rFonts w:eastAsia="Times New Roman" w:cstheme="minorHAnsi"/>
                <w:bCs/>
                <w:color w:val="000000"/>
                <w:sz w:val="20"/>
                <w:szCs w:val="20"/>
                <w:lang w:val="en-US"/>
              </w:rPr>
              <w:t>last employment episode (</w:t>
            </w:r>
            <w:r w:rsidRPr="00662B30">
              <w:rPr>
                <w:rFonts w:ascii="Calibri" w:hAnsi="Calibri" w:cs="Calibri"/>
                <w:color w:val="000000"/>
                <w:sz w:val="20"/>
                <w:szCs w:val="20"/>
                <w:lang w:val="en-US"/>
              </w:rPr>
              <w:t>% of all job seekers)</w:t>
            </w:r>
          </w:p>
        </w:tc>
        <w:tc>
          <w:tcPr>
            <w:tcW w:w="920" w:type="dxa"/>
            <w:shd w:val="clear" w:color="auto" w:fill="auto"/>
            <w:noWrap/>
          </w:tcPr>
          <w:p w14:paraId="20313D9B" w14:textId="77777777" w:rsidR="006207EB" w:rsidRPr="00662B30" w:rsidRDefault="006207EB" w:rsidP="00B245ED">
            <w:pPr>
              <w:spacing w:before="0"/>
              <w:jc w:val="center"/>
              <w:rPr>
                <w:rFonts w:ascii="Calibri" w:hAnsi="Calibri" w:cs="Calibri"/>
                <w:color w:val="000000"/>
                <w:sz w:val="20"/>
                <w:szCs w:val="20"/>
              </w:rPr>
            </w:pPr>
            <w:r w:rsidRPr="00662B30">
              <w:rPr>
                <w:rFonts w:ascii="Calibri" w:hAnsi="Calibri" w:cs="Calibri"/>
                <w:color w:val="000000"/>
                <w:sz w:val="20"/>
                <w:szCs w:val="20"/>
              </w:rPr>
              <w:t>30.1</w:t>
            </w:r>
          </w:p>
        </w:tc>
        <w:tc>
          <w:tcPr>
            <w:tcW w:w="789" w:type="dxa"/>
            <w:shd w:val="clear" w:color="auto" w:fill="auto"/>
            <w:noWrap/>
          </w:tcPr>
          <w:p w14:paraId="1C1526D2" w14:textId="77777777" w:rsidR="006207EB" w:rsidRPr="00662B30" w:rsidRDefault="006207EB" w:rsidP="00B245ED">
            <w:pPr>
              <w:spacing w:before="0"/>
              <w:jc w:val="center"/>
              <w:rPr>
                <w:rFonts w:ascii="Calibri" w:hAnsi="Calibri" w:cs="Calibri"/>
                <w:color w:val="000000"/>
                <w:sz w:val="20"/>
                <w:szCs w:val="20"/>
              </w:rPr>
            </w:pPr>
            <w:r w:rsidRPr="00662B30">
              <w:rPr>
                <w:rFonts w:ascii="Calibri" w:hAnsi="Calibri" w:cs="Calibri"/>
                <w:color w:val="000000"/>
                <w:sz w:val="20"/>
                <w:szCs w:val="20"/>
              </w:rPr>
              <w:t>27.8</w:t>
            </w:r>
          </w:p>
        </w:tc>
        <w:tc>
          <w:tcPr>
            <w:tcW w:w="789" w:type="dxa"/>
            <w:shd w:val="clear" w:color="auto" w:fill="auto"/>
            <w:noWrap/>
          </w:tcPr>
          <w:p w14:paraId="727F1303" w14:textId="77777777" w:rsidR="006207EB" w:rsidRPr="00662B30" w:rsidRDefault="006207EB" w:rsidP="00B245ED">
            <w:pPr>
              <w:spacing w:before="0"/>
              <w:jc w:val="center"/>
              <w:rPr>
                <w:rFonts w:ascii="Calibri" w:hAnsi="Calibri" w:cs="Calibri"/>
                <w:color w:val="000000"/>
                <w:sz w:val="20"/>
                <w:szCs w:val="20"/>
              </w:rPr>
            </w:pPr>
            <w:r w:rsidRPr="00662B30">
              <w:rPr>
                <w:rFonts w:ascii="Calibri" w:hAnsi="Calibri" w:cs="Calibri"/>
                <w:color w:val="000000"/>
                <w:sz w:val="20"/>
                <w:szCs w:val="20"/>
              </w:rPr>
              <w:t>28.7</w:t>
            </w:r>
          </w:p>
        </w:tc>
      </w:tr>
      <w:tr w:rsidR="007215BF" w:rsidRPr="00662B30" w14:paraId="04EE77D0" w14:textId="77777777" w:rsidTr="00545212">
        <w:tc>
          <w:tcPr>
            <w:tcW w:w="6663" w:type="dxa"/>
            <w:gridSpan w:val="2"/>
            <w:tcBorders>
              <w:bottom w:val="single" w:sz="4" w:space="0" w:color="auto"/>
            </w:tcBorders>
            <w:shd w:val="clear" w:color="auto" w:fill="auto"/>
            <w:noWrap/>
          </w:tcPr>
          <w:p w14:paraId="51D9C0FE" w14:textId="77777777" w:rsidR="007215BF" w:rsidRPr="00662B30" w:rsidRDefault="007215BF" w:rsidP="00B245ED">
            <w:pPr>
              <w:spacing w:before="0"/>
              <w:rPr>
                <w:rFonts w:eastAsia="Times New Roman" w:cstheme="minorHAnsi"/>
                <w:bCs/>
                <w:color w:val="000000"/>
                <w:sz w:val="20"/>
                <w:szCs w:val="20"/>
                <w:lang w:val="en-US"/>
              </w:rPr>
            </w:pPr>
            <w:r w:rsidRPr="00662B30">
              <w:rPr>
                <w:rFonts w:eastAsia="Times New Roman" w:cstheme="minorHAnsi"/>
                <w:bCs/>
                <w:color w:val="000000"/>
                <w:sz w:val="20"/>
                <w:szCs w:val="20"/>
                <w:lang w:val="en-US"/>
              </w:rPr>
              <w:t>Job seekers that can be defined as unemployed based on information about the end of the last employment episode (</w:t>
            </w:r>
            <w:r w:rsidRPr="00662B30">
              <w:rPr>
                <w:rFonts w:ascii="Calibri" w:hAnsi="Calibri" w:cs="Calibri"/>
                <w:color w:val="000000"/>
                <w:sz w:val="20"/>
                <w:szCs w:val="20"/>
                <w:lang w:val="en-US"/>
              </w:rPr>
              <w:t>% of all job seekers)</w:t>
            </w:r>
          </w:p>
        </w:tc>
        <w:tc>
          <w:tcPr>
            <w:tcW w:w="920" w:type="dxa"/>
            <w:tcBorders>
              <w:bottom w:val="single" w:sz="4" w:space="0" w:color="auto"/>
            </w:tcBorders>
            <w:shd w:val="clear" w:color="auto" w:fill="auto"/>
            <w:noWrap/>
          </w:tcPr>
          <w:p w14:paraId="29CDB0A2" w14:textId="77777777" w:rsidR="007215BF" w:rsidRPr="00662B30" w:rsidRDefault="007215BF" w:rsidP="00B245ED">
            <w:pPr>
              <w:spacing w:before="0"/>
              <w:jc w:val="center"/>
              <w:rPr>
                <w:rFonts w:ascii="Calibri" w:hAnsi="Calibri" w:cs="Calibri"/>
                <w:color w:val="000000"/>
                <w:sz w:val="20"/>
                <w:szCs w:val="20"/>
              </w:rPr>
            </w:pPr>
            <w:r w:rsidRPr="00662B30">
              <w:rPr>
                <w:rFonts w:ascii="Calibri" w:hAnsi="Calibri" w:cs="Calibri"/>
                <w:color w:val="000000"/>
                <w:sz w:val="20"/>
                <w:szCs w:val="20"/>
              </w:rPr>
              <w:t>41.8</w:t>
            </w:r>
          </w:p>
        </w:tc>
        <w:tc>
          <w:tcPr>
            <w:tcW w:w="789" w:type="dxa"/>
            <w:tcBorders>
              <w:bottom w:val="single" w:sz="4" w:space="0" w:color="auto"/>
            </w:tcBorders>
            <w:shd w:val="clear" w:color="auto" w:fill="auto"/>
            <w:noWrap/>
          </w:tcPr>
          <w:p w14:paraId="52FE00F4" w14:textId="77777777" w:rsidR="007215BF" w:rsidRPr="00662B30" w:rsidRDefault="007215BF" w:rsidP="00B245ED">
            <w:pPr>
              <w:spacing w:before="0"/>
              <w:jc w:val="center"/>
              <w:rPr>
                <w:rFonts w:ascii="Calibri" w:hAnsi="Calibri" w:cs="Calibri"/>
                <w:color w:val="000000"/>
                <w:sz w:val="20"/>
                <w:szCs w:val="20"/>
              </w:rPr>
            </w:pPr>
            <w:r w:rsidRPr="00662B30">
              <w:rPr>
                <w:rFonts w:ascii="Calibri" w:hAnsi="Calibri" w:cs="Calibri"/>
                <w:color w:val="000000"/>
                <w:sz w:val="20"/>
                <w:szCs w:val="20"/>
              </w:rPr>
              <w:t>42.9</w:t>
            </w:r>
          </w:p>
        </w:tc>
        <w:tc>
          <w:tcPr>
            <w:tcW w:w="789" w:type="dxa"/>
            <w:tcBorders>
              <w:bottom w:val="single" w:sz="4" w:space="0" w:color="auto"/>
            </w:tcBorders>
            <w:shd w:val="clear" w:color="auto" w:fill="auto"/>
            <w:noWrap/>
          </w:tcPr>
          <w:p w14:paraId="75778321" w14:textId="77777777" w:rsidR="007215BF" w:rsidRPr="00662B30" w:rsidRDefault="007215BF" w:rsidP="00B245ED">
            <w:pPr>
              <w:spacing w:before="0"/>
              <w:jc w:val="center"/>
              <w:rPr>
                <w:rFonts w:ascii="Calibri" w:hAnsi="Calibri" w:cs="Calibri"/>
                <w:color w:val="000000"/>
                <w:sz w:val="20"/>
                <w:szCs w:val="20"/>
              </w:rPr>
            </w:pPr>
            <w:r w:rsidRPr="00662B30">
              <w:rPr>
                <w:rFonts w:ascii="Calibri" w:hAnsi="Calibri" w:cs="Calibri"/>
                <w:color w:val="000000"/>
                <w:sz w:val="20"/>
                <w:szCs w:val="20"/>
              </w:rPr>
              <w:t>42.4</w:t>
            </w:r>
          </w:p>
        </w:tc>
      </w:tr>
    </w:tbl>
    <w:p w14:paraId="4B770C8D" w14:textId="77777777" w:rsidR="006207EB" w:rsidRPr="007215BF" w:rsidRDefault="00F16E9C" w:rsidP="006207EB">
      <w:pPr>
        <w:spacing w:before="0" w:after="120"/>
        <w:jc w:val="both"/>
        <w:rPr>
          <w:rFonts w:cstheme="minorHAnsi"/>
          <w:lang w:val="uk-UA"/>
        </w:rPr>
      </w:pPr>
      <w:r w:rsidRPr="00662B30">
        <w:rPr>
          <w:rFonts w:cstheme="minorHAnsi"/>
          <w:i/>
          <w:sz w:val="20"/>
          <w:szCs w:val="20"/>
          <w:lang w:val="en-US"/>
        </w:rPr>
        <w:t>Note:</w:t>
      </w:r>
      <w:r w:rsidRPr="00662B30">
        <w:rPr>
          <w:rFonts w:cstheme="minorHAnsi"/>
          <w:lang w:val="en-US"/>
        </w:rPr>
        <w:t xml:space="preserve"> </w:t>
      </w:r>
      <w:r w:rsidRPr="00662B30">
        <w:rPr>
          <w:i/>
          <w:sz w:val="20"/>
          <w:szCs w:val="20"/>
          <w:lang w:val="en-US"/>
        </w:rPr>
        <w:t>*** denotes statistically significant difference between women and men at 1%.</w:t>
      </w:r>
    </w:p>
    <w:p w14:paraId="31295A96" w14:textId="19973BF4" w:rsidR="00E6211C" w:rsidRDefault="0082128C" w:rsidP="006666B3">
      <w:pPr>
        <w:spacing w:before="0" w:after="120"/>
        <w:jc w:val="both"/>
      </w:pPr>
      <w:r w:rsidRPr="0082128C">
        <w:rPr>
          <w:b/>
        </w:rPr>
        <w:t xml:space="preserve">The most likely explanation of unspecified experience among a large share of job seekers (32.1 percent for women and 29.6 percent for men) is </w:t>
      </w:r>
      <w:r>
        <w:rPr>
          <w:b/>
        </w:rPr>
        <w:t xml:space="preserve">lack of prior </w:t>
      </w:r>
      <w:r w:rsidRPr="0082128C">
        <w:rPr>
          <w:b/>
        </w:rPr>
        <w:t>work experience because of young age (over 80 percent of job seekers are under 25 years) and either continuing education or recent graduation</w:t>
      </w:r>
      <w:r>
        <w:t xml:space="preserve">. </w:t>
      </w:r>
      <w:r w:rsidR="001D2092">
        <w:t xml:space="preserve">A closer look at socio-demographic characteristics of women and men with unspecified </w:t>
      </w:r>
      <w:proofErr w:type="gramStart"/>
      <w:r w:rsidR="001D2092">
        <w:t xml:space="preserve">experience </w:t>
      </w:r>
      <w:r w:rsidR="00A8540D">
        <w:t xml:space="preserve"> </w:t>
      </w:r>
      <w:r w:rsidR="001D2092">
        <w:t>shows</w:t>
      </w:r>
      <w:proofErr w:type="gramEnd"/>
      <w:r w:rsidR="001D2092">
        <w:t xml:space="preserve"> that the share of </w:t>
      </w:r>
      <w:r w:rsidR="00B81A01">
        <w:t xml:space="preserve">married </w:t>
      </w:r>
      <w:r w:rsidR="001D2092">
        <w:t xml:space="preserve">individuals </w:t>
      </w:r>
      <w:r w:rsidR="00A8540D">
        <w:t xml:space="preserve">(16.3 </w:t>
      </w:r>
      <w:r>
        <w:t>percent</w:t>
      </w:r>
      <w:r w:rsidR="006D4290">
        <w:t xml:space="preserve"> of women and </w:t>
      </w:r>
      <w:r w:rsidR="00A8540D">
        <w:t xml:space="preserve">10.8 percent </w:t>
      </w:r>
      <w:r w:rsidR="006D4290">
        <w:t>of men</w:t>
      </w:r>
      <w:r w:rsidR="00A8540D">
        <w:t xml:space="preserve">) </w:t>
      </w:r>
      <w:r w:rsidR="001D2092">
        <w:t xml:space="preserve">and those having children </w:t>
      </w:r>
      <w:r w:rsidR="00A8540D">
        <w:t>(13.9</w:t>
      </w:r>
      <w:r w:rsidR="00A8540D" w:rsidRPr="00A8540D">
        <w:t xml:space="preserve"> </w:t>
      </w:r>
      <w:r w:rsidR="00A8540D">
        <w:t xml:space="preserve">percent of women vs. 8.7 percent of men) is relatively small </w:t>
      </w:r>
      <w:r w:rsidR="00EB6197">
        <w:t xml:space="preserve">to explain why nearly one in three job jobseekers did not specify work experience in </w:t>
      </w:r>
      <w:r w:rsidR="00A8540D">
        <w:t>their</w:t>
      </w:r>
      <w:r w:rsidR="00EB6197">
        <w:t xml:space="preserve"> profile</w:t>
      </w:r>
      <w:r w:rsidR="00A8540D">
        <w:t>s</w:t>
      </w:r>
      <w:r w:rsidR="00023B67">
        <w:t xml:space="preserve">. </w:t>
      </w:r>
      <w:r w:rsidR="00E6211C">
        <w:t>Whether posting resume online is an effective method of job search for young people with no prior formal work experience remains an open question for future research.</w:t>
      </w:r>
    </w:p>
    <w:p w14:paraId="1A84EC69" w14:textId="77777777" w:rsidR="004D0166" w:rsidRDefault="004D0166" w:rsidP="004D0166">
      <w:pPr>
        <w:spacing w:before="0" w:after="120"/>
        <w:jc w:val="center"/>
      </w:pPr>
    </w:p>
    <w:p w14:paraId="786E294B" w14:textId="77777777" w:rsidR="00D668F4" w:rsidRPr="00F42BAA" w:rsidRDefault="00D668F4" w:rsidP="00D668F4">
      <w:pPr>
        <w:pStyle w:val="2"/>
        <w:numPr>
          <w:ilvl w:val="0"/>
          <w:numId w:val="0"/>
        </w:numPr>
        <w:spacing w:before="360"/>
        <w:rPr>
          <w:color w:val="0070C0"/>
          <w:sz w:val="32"/>
          <w:szCs w:val="32"/>
        </w:rPr>
      </w:pPr>
      <w:bookmarkStart w:id="108" w:name="_Toc520810651"/>
      <w:bookmarkStart w:id="109" w:name="_Toc533211746"/>
      <w:r w:rsidRPr="00F42BAA">
        <w:rPr>
          <w:color w:val="0070C0"/>
          <w:sz w:val="32"/>
          <w:szCs w:val="32"/>
        </w:rPr>
        <w:t>5.</w:t>
      </w:r>
      <w:r w:rsidR="00071262" w:rsidRPr="00F42BAA">
        <w:rPr>
          <w:color w:val="0070C0"/>
          <w:sz w:val="32"/>
          <w:szCs w:val="32"/>
        </w:rPr>
        <w:t>3</w:t>
      </w:r>
      <w:r w:rsidRPr="00F42BAA">
        <w:rPr>
          <w:color w:val="0070C0"/>
          <w:sz w:val="32"/>
          <w:szCs w:val="32"/>
        </w:rPr>
        <w:t xml:space="preserve">. </w:t>
      </w:r>
      <w:r w:rsidR="00B46CAB" w:rsidRPr="00F42BAA">
        <w:rPr>
          <w:color w:val="0070C0"/>
          <w:sz w:val="32"/>
          <w:szCs w:val="32"/>
        </w:rPr>
        <w:t>Desired s</w:t>
      </w:r>
      <w:r w:rsidRPr="00F42BAA">
        <w:rPr>
          <w:color w:val="0070C0"/>
          <w:sz w:val="32"/>
          <w:szCs w:val="32"/>
        </w:rPr>
        <w:t>ector</w:t>
      </w:r>
      <w:r w:rsidR="00C46EBE" w:rsidRPr="00F42BAA">
        <w:rPr>
          <w:color w:val="0070C0"/>
          <w:sz w:val="32"/>
          <w:szCs w:val="32"/>
        </w:rPr>
        <w:t xml:space="preserve">, </w:t>
      </w:r>
      <w:r w:rsidRPr="00F42BAA">
        <w:rPr>
          <w:color w:val="0070C0"/>
          <w:sz w:val="32"/>
          <w:szCs w:val="32"/>
        </w:rPr>
        <w:t>occupation</w:t>
      </w:r>
      <w:r w:rsidR="001F7142">
        <w:rPr>
          <w:color w:val="0070C0"/>
          <w:sz w:val="32"/>
          <w:szCs w:val="32"/>
        </w:rPr>
        <w:t>,</w:t>
      </w:r>
      <w:r w:rsidR="00C46EBE" w:rsidRPr="00F42BAA">
        <w:rPr>
          <w:color w:val="0070C0"/>
          <w:sz w:val="32"/>
          <w:szCs w:val="32"/>
        </w:rPr>
        <w:t xml:space="preserve"> and job characteristics of </w:t>
      </w:r>
      <w:r w:rsidRPr="00F42BAA">
        <w:rPr>
          <w:color w:val="0070C0"/>
          <w:sz w:val="32"/>
          <w:szCs w:val="32"/>
        </w:rPr>
        <w:t>female and male job seekers</w:t>
      </w:r>
      <w:bookmarkEnd w:id="108"/>
      <w:bookmarkEnd w:id="109"/>
    </w:p>
    <w:p w14:paraId="35332872" w14:textId="26B2D578" w:rsidR="00DB78D4" w:rsidRPr="00F42BAA" w:rsidRDefault="00FB321B" w:rsidP="00DB78D4">
      <w:pPr>
        <w:spacing w:before="0" w:after="120"/>
        <w:jc w:val="both"/>
      </w:pPr>
      <w:r w:rsidRPr="00514CA2">
        <w:rPr>
          <w:b/>
        </w:rPr>
        <w:t xml:space="preserve">Women </w:t>
      </w:r>
      <w:r w:rsidR="00A358F2" w:rsidRPr="00514CA2">
        <w:rPr>
          <w:b/>
        </w:rPr>
        <w:t xml:space="preserve">clearly </w:t>
      </w:r>
      <w:r w:rsidRPr="00514CA2">
        <w:rPr>
          <w:b/>
        </w:rPr>
        <w:t xml:space="preserve">dominate in </w:t>
      </w:r>
      <w:r w:rsidR="00A358F2" w:rsidRPr="00514CA2">
        <w:rPr>
          <w:b/>
        </w:rPr>
        <w:t xml:space="preserve">education, </w:t>
      </w:r>
      <w:r w:rsidR="00D0338B" w:rsidRPr="00514CA2">
        <w:rPr>
          <w:b/>
        </w:rPr>
        <w:t xml:space="preserve">arts and entertainment, health care, </w:t>
      </w:r>
      <w:r w:rsidR="00A358F2" w:rsidRPr="00514CA2">
        <w:rPr>
          <w:b/>
        </w:rPr>
        <w:t xml:space="preserve">financial and insurance activities, work from home and </w:t>
      </w:r>
      <w:r w:rsidR="009B4183" w:rsidRPr="00514CA2">
        <w:rPr>
          <w:b/>
        </w:rPr>
        <w:t xml:space="preserve">in private </w:t>
      </w:r>
      <w:proofErr w:type="gramStart"/>
      <w:r w:rsidR="009B4183" w:rsidRPr="00514CA2">
        <w:rPr>
          <w:b/>
        </w:rPr>
        <w:t>households</w:t>
      </w:r>
      <w:r w:rsidR="00514CA2">
        <w:t>(</w:t>
      </w:r>
      <w:proofErr w:type="gramEnd"/>
      <w:r w:rsidR="00514CA2" w:rsidRPr="00F42BAA">
        <w:fldChar w:fldCharType="begin"/>
      </w:r>
      <w:r w:rsidR="00514CA2" w:rsidRPr="00F42BAA">
        <w:instrText xml:space="preserve"> REF _Ref521328186 \h  \* MERGEFORMAT </w:instrText>
      </w:r>
      <w:r w:rsidR="00514CA2" w:rsidRPr="00F42BAA">
        <w:fldChar w:fldCharType="separate"/>
      </w:r>
      <w:r w:rsidR="00514CA2" w:rsidRPr="00F42BAA">
        <w:t xml:space="preserve">Figure </w:t>
      </w:r>
      <w:r w:rsidR="00514CA2">
        <w:t>26</w:t>
      </w:r>
      <w:r w:rsidR="00514CA2" w:rsidRPr="00F42BAA">
        <w:fldChar w:fldCharType="end"/>
      </w:r>
      <w:r w:rsidR="00514CA2">
        <w:t xml:space="preserve">). </w:t>
      </w:r>
      <w:r w:rsidR="00D0338B" w:rsidRPr="00F42BAA">
        <w:t xml:space="preserve"> </w:t>
      </w:r>
      <w:r w:rsidR="00514CA2">
        <w:t>M</w:t>
      </w:r>
      <w:r w:rsidR="00D0338B" w:rsidRPr="00F42BAA">
        <w:t xml:space="preserve">en prevail in transport, </w:t>
      </w:r>
      <w:r w:rsidR="00A358F2" w:rsidRPr="00F42BAA">
        <w:t xml:space="preserve">construction, </w:t>
      </w:r>
      <w:r w:rsidR="00D0338B" w:rsidRPr="00F42BAA">
        <w:t>ICT</w:t>
      </w:r>
      <w:r w:rsidR="00A358F2" w:rsidRPr="00F42BAA">
        <w:t>, industry</w:t>
      </w:r>
      <w:r w:rsidR="009B4183" w:rsidRPr="00F42BAA">
        <w:t>,</w:t>
      </w:r>
      <w:r w:rsidR="00A358F2" w:rsidRPr="00F42BAA">
        <w:t xml:space="preserve"> top management (general category without a definite sector)</w:t>
      </w:r>
      <w:r w:rsidR="009B4183" w:rsidRPr="00F42BAA">
        <w:t xml:space="preserve"> and real estate activities</w:t>
      </w:r>
      <w:r w:rsidR="00D0338B" w:rsidRPr="00F42BAA">
        <w:t xml:space="preserve">. </w:t>
      </w:r>
      <w:r w:rsidR="006C5AC6" w:rsidRPr="00F42BAA">
        <w:t xml:space="preserve">Professional, administrative and support service activities, </w:t>
      </w:r>
      <w:r w:rsidR="009B4183" w:rsidRPr="00F42BAA">
        <w:t xml:space="preserve">Trade, and </w:t>
      </w:r>
      <w:r w:rsidR="006C5AC6" w:rsidRPr="00F42BAA">
        <w:t>Financial and insurance activities are the three most popular sectors in which over 45 percent of women search</w:t>
      </w:r>
      <w:r w:rsidR="00D0338B" w:rsidRPr="00F42BAA">
        <w:t>ed</w:t>
      </w:r>
      <w:r w:rsidR="006C5AC6" w:rsidRPr="00F42BAA">
        <w:t xml:space="preserve"> for a job. The top sectors among male job seekers are </w:t>
      </w:r>
      <w:r w:rsidR="0015308E" w:rsidRPr="00F42BAA">
        <w:t xml:space="preserve">Professional, administrative and support service activities, </w:t>
      </w:r>
      <w:r w:rsidR="006C5AC6" w:rsidRPr="00F42BAA">
        <w:t xml:space="preserve">Transportation and storage, </w:t>
      </w:r>
      <w:r w:rsidR="0015308E" w:rsidRPr="00F42BAA">
        <w:t xml:space="preserve">and </w:t>
      </w:r>
      <w:r w:rsidR="006C5AC6" w:rsidRPr="00F42BAA">
        <w:t>I</w:t>
      </w:r>
      <w:r w:rsidR="0015308E" w:rsidRPr="00F42BAA">
        <w:t>CT</w:t>
      </w:r>
      <w:r w:rsidR="006C5AC6" w:rsidRPr="00F42BAA">
        <w:t>.</w:t>
      </w:r>
    </w:p>
    <w:p w14:paraId="06A35D2F" w14:textId="35B41EFB" w:rsidR="000E60DE" w:rsidRDefault="00D605A6" w:rsidP="00D0338B">
      <w:pPr>
        <w:pStyle w:val="ad"/>
        <w:spacing w:before="240" w:after="0"/>
        <w:jc w:val="left"/>
        <w:rPr>
          <w:lang w:val="en-US"/>
        </w:rPr>
      </w:pPr>
      <w:bookmarkStart w:id="110" w:name="_Ref521328186"/>
      <w:bookmarkStart w:id="111" w:name="_Toc533211782"/>
      <w:r w:rsidRPr="00F42BAA">
        <w:lastRenderedPageBreak/>
        <w:t xml:space="preserve">Figure </w:t>
      </w:r>
      <w:r w:rsidRPr="00F42BAA">
        <w:fldChar w:fldCharType="begin"/>
      </w:r>
      <w:r w:rsidRPr="00F42BAA">
        <w:instrText xml:space="preserve"> SEQ Figure \* ARABIC </w:instrText>
      </w:r>
      <w:r w:rsidRPr="00F42BAA">
        <w:fldChar w:fldCharType="separate"/>
      </w:r>
      <w:r w:rsidR="007F56F7">
        <w:rPr>
          <w:noProof/>
        </w:rPr>
        <w:t>26</w:t>
      </w:r>
      <w:r w:rsidRPr="00F42BAA">
        <w:fldChar w:fldCharType="end"/>
      </w:r>
      <w:bookmarkEnd w:id="110"/>
      <w:r w:rsidRPr="00F42BAA">
        <w:t xml:space="preserve">: Job seekers by </w:t>
      </w:r>
      <w:r w:rsidR="00EE792F" w:rsidRPr="00F42BAA">
        <w:t xml:space="preserve">desired </w:t>
      </w:r>
      <w:r w:rsidRPr="00F42BAA">
        <w:t>sector and gender (%), 2018</w:t>
      </w:r>
      <w:bookmarkEnd w:id="111"/>
    </w:p>
    <w:p w14:paraId="443A774A" w14:textId="77777777" w:rsidR="000E60DE" w:rsidRPr="00A358F2" w:rsidRDefault="0049615D" w:rsidP="000E60DE">
      <w:pPr>
        <w:jc w:val="center"/>
        <w:rPr>
          <w:lang w:val="uk-UA"/>
        </w:rPr>
      </w:pPr>
      <w:r w:rsidRPr="0049615D">
        <w:rPr>
          <w:noProof/>
          <w:lang w:val="ru-RU" w:eastAsia="ru-RU"/>
        </w:rPr>
        <w:drawing>
          <wp:inline distT="0" distB="0" distL="0" distR="0" wp14:anchorId="6924B03E" wp14:editId="3F8A2632">
            <wp:extent cx="5733415" cy="2804140"/>
            <wp:effectExtent l="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3415" cy="2804140"/>
                    </a:xfrm>
                    <a:prstGeom prst="rect">
                      <a:avLst/>
                    </a:prstGeom>
                    <a:noFill/>
                    <a:ln>
                      <a:noFill/>
                    </a:ln>
                  </pic:spPr>
                </pic:pic>
              </a:graphicData>
            </a:graphic>
          </wp:inline>
        </w:drawing>
      </w:r>
    </w:p>
    <w:p w14:paraId="11FF39F6" w14:textId="77777777" w:rsidR="00D605A6" w:rsidRPr="00D605A6" w:rsidRDefault="00D605A6" w:rsidP="00D605A6">
      <w:pPr>
        <w:jc w:val="both"/>
        <w:rPr>
          <w:i/>
          <w:sz w:val="20"/>
          <w:szCs w:val="20"/>
        </w:rPr>
      </w:pPr>
      <w:r w:rsidRPr="00D605A6">
        <w:rPr>
          <w:i/>
          <w:sz w:val="20"/>
          <w:szCs w:val="20"/>
          <w:lang w:val="en-US"/>
        </w:rPr>
        <w:t xml:space="preserve">Note: Original categories offered by </w:t>
      </w:r>
      <w:hyperlink r:id="rId51" w:history="1">
        <w:r w:rsidRPr="00D605A6">
          <w:rPr>
            <w:rStyle w:val="afb"/>
            <w:i/>
            <w:sz w:val="20"/>
            <w:szCs w:val="20"/>
            <w:lang w:val="en-US"/>
          </w:rPr>
          <w:t>https://www.rabota.md</w:t>
        </w:r>
      </w:hyperlink>
      <w:r w:rsidRPr="00D605A6">
        <w:rPr>
          <w:rStyle w:val="afb"/>
          <w:i/>
          <w:sz w:val="20"/>
          <w:szCs w:val="20"/>
          <w:lang w:val="en-US"/>
        </w:rPr>
        <w:t xml:space="preserve"> </w:t>
      </w:r>
      <w:r w:rsidRPr="00D605A6">
        <w:rPr>
          <w:i/>
          <w:sz w:val="20"/>
          <w:szCs w:val="20"/>
        </w:rPr>
        <w:t>to the choice of individuals posting their resumes have been grouped and coded by the author in accordance with NACE Rev.2. General categories such as Top management, Work for students, Work abroad and Work from home are left without changes.</w:t>
      </w:r>
      <w:r>
        <w:rPr>
          <w:i/>
          <w:sz w:val="20"/>
          <w:szCs w:val="20"/>
        </w:rPr>
        <w:t xml:space="preserve"> Sectors are ordered by the share of resumes from women.</w:t>
      </w:r>
    </w:p>
    <w:p w14:paraId="075F5150" w14:textId="77777777" w:rsidR="00CA1B68" w:rsidRDefault="00CA1B68" w:rsidP="00CA1B68">
      <w:pPr>
        <w:spacing w:before="0" w:after="120"/>
        <w:jc w:val="both"/>
      </w:pPr>
    </w:p>
    <w:p w14:paraId="6EBF0D5A" w14:textId="0B8AA6F8" w:rsidR="00CA1B68" w:rsidRPr="000F1302" w:rsidRDefault="00514CA2" w:rsidP="000F1302">
      <w:pPr>
        <w:spacing w:before="0" w:after="120"/>
        <w:jc w:val="both"/>
        <w:rPr>
          <w:lang w:val="en-US"/>
        </w:rPr>
      </w:pPr>
      <w:r w:rsidRPr="00514CA2">
        <w:rPr>
          <w:b/>
        </w:rPr>
        <w:t>O</w:t>
      </w:r>
      <w:r w:rsidR="00CA1B68" w:rsidRPr="00514CA2">
        <w:rPr>
          <w:b/>
        </w:rPr>
        <w:t>nline job seekers are underrepresented in traditional sectors such as agriculture, industry, construction and public services but overrepresented in modern sectors including information and communication and various service activities for businesses and individuals</w:t>
      </w:r>
      <w:r w:rsidRPr="00514CA2">
        <w:t xml:space="preserve">, as follows from </w:t>
      </w:r>
      <w:r>
        <w:t xml:space="preserve">comparison of </w:t>
      </w:r>
      <w:proofErr w:type="spellStart"/>
      <w:r>
        <w:t>sectoral</w:t>
      </w:r>
      <w:proofErr w:type="spellEnd"/>
      <w:r>
        <w:t xml:space="preserve"> composition of female and male job seekers in our sample of scraped resumes with the one for employed urban residents according to the LFS-2017 (</w:t>
      </w:r>
      <w:r>
        <w:fldChar w:fldCharType="begin"/>
      </w:r>
      <w:r>
        <w:instrText xml:space="preserve"> REF _Ref521336311 \h </w:instrText>
      </w:r>
      <w:r>
        <w:fldChar w:fldCharType="separate"/>
      </w:r>
      <w:r>
        <w:t>Table A-</w:t>
      </w:r>
      <w:r>
        <w:rPr>
          <w:noProof/>
        </w:rPr>
        <w:t>4</w:t>
      </w:r>
      <w:r>
        <w:fldChar w:fldCharType="end"/>
      </w:r>
      <w:r>
        <w:t>)</w:t>
      </w:r>
      <w:r w:rsidR="00CA1B68">
        <w:t xml:space="preserve">. This important difference can be driven by </w:t>
      </w:r>
      <w:r w:rsidR="00A44F2D">
        <w:t xml:space="preserve">the </w:t>
      </w:r>
      <w:r w:rsidR="00CA1B68">
        <w:t xml:space="preserve">differences in </w:t>
      </w:r>
      <w:r w:rsidR="008D5076">
        <w:t xml:space="preserve">the composition by </w:t>
      </w:r>
      <w:r w:rsidR="00CA1B68">
        <w:t>age</w:t>
      </w:r>
      <w:r w:rsidR="008D5076">
        <w:t>,</w:t>
      </w:r>
      <w:r w:rsidR="00CA1B68">
        <w:t xml:space="preserve"> education</w:t>
      </w:r>
      <w:r w:rsidR="001F7142">
        <w:t>,</w:t>
      </w:r>
      <w:r w:rsidR="008D5076">
        <w:t xml:space="preserve"> and place of residence </w:t>
      </w:r>
      <w:r w:rsidR="00A44F2D">
        <w:t xml:space="preserve">between </w:t>
      </w:r>
      <w:r w:rsidR="00CA1B68">
        <w:t>online job seekers and total employed population discussed above.</w:t>
      </w:r>
      <w:r w:rsidR="000F1302">
        <w:rPr>
          <w:lang w:val="uk-UA"/>
        </w:rPr>
        <w:t xml:space="preserve"> </w:t>
      </w:r>
      <w:r w:rsidR="000F1302" w:rsidRPr="00F42BAA">
        <w:rPr>
          <w:lang w:val="en-US"/>
        </w:rPr>
        <w:t xml:space="preserve">Besides, employers can prefer different channels for filling their vacancies, and job </w:t>
      </w:r>
      <w:r w:rsidR="000F1302" w:rsidRPr="00F42BAA">
        <w:t>candidates are likely to adjust to employers’ preferences. For example, agricultural firms rarely use online job search portals</w:t>
      </w:r>
      <w:r w:rsidR="00CF2677" w:rsidRPr="00F42BAA">
        <w:t xml:space="preserve">, and therefore job seekers willing to work in agriculture are less likely to </w:t>
      </w:r>
      <w:r w:rsidR="000F1302" w:rsidRPr="00F42BAA">
        <w:t xml:space="preserve">use </w:t>
      </w:r>
      <w:r w:rsidR="00CF2677" w:rsidRPr="00F42BAA">
        <w:t>online portals</w:t>
      </w:r>
      <w:r w:rsidR="00CF2677" w:rsidRPr="00F42BAA">
        <w:rPr>
          <w:lang w:val="en-US"/>
        </w:rPr>
        <w:t xml:space="preserve"> for their job search.</w:t>
      </w:r>
    </w:p>
    <w:p w14:paraId="327024BD" w14:textId="78ED679B" w:rsidR="00CB6D2A" w:rsidRDefault="00514CA2" w:rsidP="00CA1B68">
      <w:pPr>
        <w:spacing w:before="0" w:after="120"/>
        <w:jc w:val="both"/>
      </w:pPr>
      <w:r>
        <w:rPr>
          <w:b/>
        </w:rPr>
        <w:t>O</w:t>
      </w:r>
      <w:r w:rsidR="00CB6D2A" w:rsidRPr="00514CA2">
        <w:rPr>
          <w:b/>
        </w:rPr>
        <w:t>ver 60 percent of female job seekers and about 55 percent of male job seekers are looking for a job in top three occupational groups (managers, professionals, and associate professionals)</w:t>
      </w:r>
      <w:r w:rsidR="00CB6D2A">
        <w:t xml:space="preserve"> (</w:t>
      </w:r>
      <w:r w:rsidR="00CB6D2A">
        <w:fldChar w:fldCharType="begin"/>
      </w:r>
      <w:r w:rsidR="00CB6D2A">
        <w:instrText xml:space="preserve"> REF _Ref521404336 \h </w:instrText>
      </w:r>
      <w:r w:rsidR="00CB6D2A">
        <w:fldChar w:fldCharType="separate"/>
      </w:r>
      <w:r w:rsidRPr="00F33FC3">
        <w:t xml:space="preserve">Figure </w:t>
      </w:r>
      <w:r>
        <w:rPr>
          <w:noProof/>
        </w:rPr>
        <w:t>27</w:t>
      </w:r>
      <w:r w:rsidR="00CB6D2A">
        <w:fldChar w:fldCharType="end"/>
      </w:r>
      <w:r w:rsidR="00CB6D2A">
        <w:t xml:space="preserve">). The bias of online job seekers to </w:t>
      </w:r>
      <w:r w:rsidR="00FA6A36">
        <w:t>highly skilled</w:t>
      </w:r>
      <w:r w:rsidR="00CB6D2A">
        <w:t xml:space="preserve"> jobs compared to </w:t>
      </w:r>
      <w:r w:rsidR="00D448E5">
        <w:t xml:space="preserve">the </w:t>
      </w:r>
      <w:r w:rsidR="00932F62">
        <w:t>urban</w:t>
      </w:r>
      <w:r w:rsidR="00D448E5">
        <w:t xml:space="preserve"> </w:t>
      </w:r>
      <w:r w:rsidR="00CB6D2A">
        <w:t>employed</w:t>
      </w:r>
      <w:r w:rsidR="00D448E5">
        <w:t xml:space="preserve"> population in Moldova </w:t>
      </w:r>
      <w:r w:rsidR="00CB6D2A">
        <w:t>(</w:t>
      </w:r>
      <w:r w:rsidR="00CB6D2A">
        <w:fldChar w:fldCharType="begin"/>
      </w:r>
      <w:r w:rsidR="00CB6D2A">
        <w:instrText xml:space="preserve"> REF _Ref521404429 \h </w:instrText>
      </w:r>
      <w:r w:rsidR="00CB6D2A">
        <w:fldChar w:fldCharType="separate"/>
      </w:r>
      <w:r>
        <w:t>Table A-</w:t>
      </w:r>
      <w:proofErr w:type="gramStart"/>
      <w:r>
        <w:rPr>
          <w:noProof/>
        </w:rPr>
        <w:t>5</w:t>
      </w:r>
      <w:r w:rsidRPr="004E1089">
        <w:t xml:space="preserve"> </w:t>
      </w:r>
      <w:proofErr w:type="gramEnd"/>
      <w:r w:rsidR="00CB6D2A">
        <w:fldChar w:fldCharType="end"/>
      </w:r>
      <w:r w:rsidR="00CB6D2A">
        <w:t xml:space="preserve">) is </w:t>
      </w:r>
      <w:r w:rsidR="0020755D">
        <w:t>predictable</w:t>
      </w:r>
      <w:r w:rsidR="00CB6D2A">
        <w:t xml:space="preserve"> in view of higher educational attainment </w:t>
      </w:r>
      <w:r w:rsidR="0020755D">
        <w:t>of online job seekers</w:t>
      </w:r>
      <w:r w:rsidR="00932F62">
        <w:t xml:space="preserve">, </w:t>
      </w:r>
      <w:r w:rsidR="0020755D">
        <w:t xml:space="preserve">their </w:t>
      </w:r>
      <w:r w:rsidR="008D5076">
        <w:t>concentration in two largest cities</w:t>
      </w:r>
      <w:r w:rsidR="001F7142">
        <w:t>,</w:t>
      </w:r>
      <w:r w:rsidR="00932F62">
        <w:t xml:space="preserve"> and specific </w:t>
      </w:r>
      <w:proofErr w:type="spellStart"/>
      <w:r w:rsidR="00932F62">
        <w:t>sectoral</w:t>
      </w:r>
      <w:proofErr w:type="spellEnd"/>
      <w:r w:rsidR="00932F62">
        <w:t xml:space="preserve"> composition</w:t>
      </w:r>
      <w:r w:rsidR="008D5076">
        <w:t>.</w:t>
      </w:r>
      <w:r w:rsidR="008D1588">
        <w:t xml:space="preserve"> It is noteworthy that roughly one in ten job seekers </w:t>
      </w:r>
      <w:r w:rsidR="001726CE">
        <w:t xml:space="preserve">in our dataset of scraped resumes </w:t>
      </w:r>
      <w:r w:rsidR="008D1588">
        <w:t>d</w:t>
      </w:r>
      <w:r w:rsidR="001726CE">
        <w:t xml:space="preserve">id </w:t>
      </w:r>
      <w:r w:rsidR="008D1588">
        <w:t xml:space="preserve">not specify occupation writing </w:t>
      </w:r>
      <w:r w:rsidR="001726CE">
        <w:t xml:space="preserve">instead </w:t>
      </w:r>
      <w:r w:rsidR="008D1588">
        <w:t>“I’m seeking a job”, “Any job”, “</w:t>
      </w:r>
      <w:r w:rsidR="001726CE">
        <w:t xml:space="preserve">Part-time job for a student”, </w:t>
      </w:r>
      <w:r w:rsidR="008D1588">
        <w:t>“Depends on the offer from employer”</w:t>
      </w:r>
      <w:r w:rsidR="001726CE">
        <w:t xml:space="preserve">, etc. </w:t>
      </w:r>
      <w:r w:rsidR="008D1588">
        <w:t xml:space="preserve">(we grouped </w:t>
      </w:r>
      <w:r w:rsidR="001726CE">
        <w:t xml:space="preserve">them into </w:t>
      </w:r>
      <w:r w:rsidR="008D1588">
        <w:t>“Any</w:t>
      </w:r>
      <w:r w:rsidR="001726CE">
        <w:t>”</w:t>
      </w:r>
      <w:r w:rsidR="008D1588">
        <w:t>)</w:t>
      </w:r>
      <w:r w:rsidR="001726CE">
        <w:t xml:space="preserve">. This implies that many individuals, </w:t>
      </w:r>
      <w:r w:rsidR="00E44A4E">
        <w:t xml:space="preserve">predominantly </w:t>
      </w:r>
      <w:r w:rsidR="001726CE">
        <w:t xml:space="preserve">young people without work experience, are ready to </w:t>
      </w:r>
      <w:r w:rsidR="00E44A4E">
        <w:t>consider any job.</w:t>
      </w:r>
    </w:p>
    <w:p w14:paraId="133E47FF" w14:textId="77777777" w:rsidR="008A64C3" w:rsidRPr="00F33FC3" w:rsidRDefault="008A64C3" w:rsidP="008A64C3">
      <w:pPr>
        <w:spacing w:before="0" w:after="120"/>
        <w:jc w:val="both"/>
      </w:pPr>
      <w:r>
        <w:t xml:space="preserve">The most popular 3-digit ISCO occupations among female job seekers belong to </w:t>
      </w:r>
      <w:r w:rsidRPr="00DF4661">
        <w:t>Sales, marketing and public relations professionals</w:t>
      </w:r>
      <w:r>
        <w:t xml:space="preserve"> (9.9 percent), </w:t>
      </w:r>
      <w:r w:rsidRPr="003155F4">
        <w:t xml:space="preserve">Finance professionals (9.7 percent), Client information workers (6.9 percent), Waiters and bartenders (6.6 percent), and Administration professionals (5.3 percent). Applications from male job seekers </w:t>
      </w:r>
      <w:r>
        <w:t xml:space="preserve">most often categorize into </w:t>
      </w:r>
      <w:r w:rsidRPr="003155F4">
        <w:t xml:space="preserve">Car, van and motorcycle drivers (11.9 percent), Software and applications developers and analysts (10.3 percent), Sales, marketing and public relations professionals </w:t>
      </w:r>
      <w:r>
        <w:t xml:space="preserve">(6.4 percent), </w:t>
      </w:r>
      <w:r w:rsidRPr="003155F4">
        <w:t xml:space="preserve">Engineering professionals (4.8 percent) </w:t>
      </w:r>
      <w:r>
        <w:t xml:space="preserve">and </w:t>
      </w:r>
      <w:r w:rsidRPr="00F33FC3">
        <w:t>Waiters and bartenders (4.3 percent).</w:t>
      </w:r>
    </w:p>
    <w:p w14:paraId="575CB33D" w14:textId="46ACA164" w:rsidR="00683424" w:rsidRDefault="00683424" w:rsidP="00CB6D2A">
      <w:pPr>
        <w:pStyle w:val="ad"/>
        <w:spacing w:before="240" w:after="0"/>
        <w:jc w:val="left"/>
        <w:rPr>
          <w:lang w:val="en-US"/>
        </w:rPr>
      </w:pPr>
      <w:bookmarkStart w:id="112" w:name="_Ref521404336"/>
      <w:bookmarkStart w:id="113" w:name="_Toc533211783"/>
      <w:r w:rsidRPr="00F33FC3">
        <w:lastRenderedPageBreak/>
        <w:t xml:space="preserve">Figure </w:t>
      </w:r>
      <w:r w:rsidRPr="00F33FC3">
        <w:fldChar w:fldCharType="begin"/>
      </w:r>
      <w:r w:rsidRPr="00F33FC3">
        <w:instrText xml:space="preserve"> SEQ Figure \* ARABIC </w:instrText>
      </w:r>
      <w:r w:rsidRPr="00F33FC3">
        <w:fldChar w:fldCharType="separate"/>
      </w:r>
      <w:r w:rsidR="007F56F7">
        <w:rPr>
          <w:noProof/>
        </w:rPr>
        <w:t>27</w:t>
      </w:r>
      <w:r w:rsidRPr="00F33FC3">
        <w:fldChar w:fldCharType="end"/>
      </w:r>
      <w:bookmarkEnd w:id="112"/>
      <w:r w:rsidRPr="00F33FC3">
        <w:t xml:space="preserve">: Job seekers by </w:t>
      </w:r>
      <w:r w:rsidR="00EE792F" w:rsidRPr="00F33FC3">
        <w:t xml:space="preserve">desired </w:t>
      </w:r>
      <w:r w:rsidRPr="00F33FC3">
        <w:t>occupation and gender (%), 2018</w:t>
      </w:r>
      <w:bookmarkEnd w:id="113"/>
    </w:p>
    <w:p w14:paraId="1A550E71" w14:textId="77777777" w:rsidR="00D605A6" w:rsidRDefault="0049615D" w:rsidP="00F2278E">
      <w:pPr>
        <w:jc w:val="center"/>
        <w:rPr>
          <w:lang w:val="en-US"/>
        </w:rPr>
      </w:pPr>
      <w:r w:rsidRPr="0049615D">
        <w:rPr>
          <w:noProof/>
          <w:lang w:val="ru-RU" w:eastAsia="ru-RU"/>
        </w:rPr>
        <w:drawing>
          <wp:inline distT="0" distB="0" distL="0" distR="0" wp14:anchorId="31E826AE" wp14:editId="3220A4DF">
            <wp:extent cx="5277600" cy="2750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277600" cy="2750400"/>
                    </a:xfrm>
                    <a:prstGeom prst="rect">
                      <a:avLst/>
                    </a:prstGeom>
                    <a:noFill/>
                    <a:ln>
                      <a:noFill/>
                    </a:ln>
                  </pic:spPr>
                </pic:pic>
              </a:graphicData>
            </a:graphic>
          </wp:inline>
        </w:drawing>
      </w:r>
    </w:p>
    <w:p w14:paraId="4C17D260" w14:textId="77777777" w:rsidR="00683424" w:rsidRPr="00D605A6" w:rsidRDefault="00683424" w:rsidP="00683424">
      <w:pPr>
        <w:jc w:val="both"/>
        <w:rPr>
          <w:i/>
          <w:sz w:val="20"/>
          <w:szCs w:val="20"/>
        </w:rPr>
      </w:pPr>
      <w:r w:rsidRPr="00D605A6">
        <w:rPr>
          <w:i/>
          <w:sz w:val="20"/>
          <w:szCs w:val="20"/>
          <w:lang w:val="en-US"/>
        </w:rPr>
        <w:t xml:space="preserve">Note: Original </w:t>
      </w:r>
      <w:r>
        <w:rPr>
          <w:i/>
          <w:sz w:val="20"/>
          <w:szCs w:val="20"/>
          <w:lang w:val="en-US"/>
        </w:rPr>
        <w:t>occupations reported by job seekers in</w:t>
      </w:r>
      <w:r w:rsidRPr="00D605A6">
        <w:rPr>
          <w:i/>
          <w:sz w:val="20"/>
          <w:szCs w:val="20"/>
        </w:rPr>
        <w:t xml:space="preserve"> their resumes have been </w:t>
      </w:r>
      <w:r>
        <w:rPr>
          <w:i/>
          <w:sz w:val="20"/>
          <w:szCs w:val="20"/>
        </w:rPr>
        <w:t xml:space="preserve">translated </w:t>
      </w:r>
      <w:r w:rsidRPr="00D605A6">
        <w:rPr>
          <w:i/>
          <w:sz w:val="20"/>
          <w:szCs w:val="20"/>
        </w:rPr>
        <w:t xml:space="preserve">and coded by the author in accordance with </w:t>
      </w:r>
      <w:r>
        <w:rPr>
          <w:i/>
          <w:sz w:val="20"/>
          <w:szCs w:val="20"/>
        </w:rPr>
        <w:t>ISCO-2008, first at 4 or 3-digit level depending on the occupation, and then grouped into 2- and 1-digit occupational groups</w:t>
      </w:r>
      <w:r w:rsidRPr="00D605A6">
        <w:rPr>
          <w:i/>
          <w:sz w:val="20"/>
          <w:szCs w:val="20"/>
        </w:rPr>
        <w:t xml:space="preserve">. General categories such as </w:t>
      </w:r>
      <w:proofErr w:type="gramStart"/>
      <w:r>
        <w:rPr>
          <w:i/>
          <w:sz w:val="20"/>
          <w:szCs w:val="20"/>
        </w:rPr>
        <w:t>Any</w:t>
      </w:r>
      <w:proofErr w:type="gramEnd"/>
      <w:r>
        <w:rPr>
          <w:i/>
          <w:sz w:val="20"/>
          <w:szCs w:val="20"/>
        </w:rPr>
        <w:t xml:space="preserve"> (including any distance or part-time job) and Freelancers ar</w:t>
      </w:r>
      <w:r w:rsidRPr="00D605A6">
        <w:rPr>
          <w:i/>
          <w:sz w:val="20"/>
          <w:szCs w:val="20"/>
        </w:rPr>
        <w:t>e left without changes.</w:t>
      </w:r>
      <w:r>
        <w:rPr>
          <w:i/>
          <w:sz w:val="20"/>
          <w:szCs w:val="20"/>
        </w:rPr>
        <w:t xml:space="preserve"> 54 out of </w:t>
      </w:r>
      <w:r w:rsidRPr="00683424">
        <w:rPr>
          <w:i/>
          <w:sz w:val="20"/>
          <w:szCs w:val="20"/>
        </w:rPr>
        <w:t>4824</w:t>
      </w:r>
      <w:r>
        <w:rPr>
          <w:i/>
          <w:sz w:val="20"/>
          <w:szCs w:val="20"/>
        </w:rPr>
        <w:t xml:space="preserve"> resumes have missing info about desired occupation or this occupation is difficult to code. Occupations are ordered by the share of resumes from women.</w:t>
      </w:r>
    </w:p>
    <w:p w14:paraId="48EE9819" w14:textId="77777777" w:rsidR="00DF4661" w:rsidRDefault="00DF4661" w:rsidP="00DF4661">
      <w:pPr>
        <w:spacing w:before="0" w:after="120"/>
        <w:jc w:val="both"/>
      </w:pPr>
    </w:p>
    <w:p w14:paraId="044DCE27" w14:textId="23DA95C7" w:rsidR="00683424" w:rsidRPr="00F33FC3" w:rsidRDefault="0020755D" w:rsidP="00DF4661">
      <w:pPr>
        <w:spacing w:before="0" w:after="120"/>
        <w:jc w:val="both"/>
      </w:pPr>
      <w:r w:rsidRPr="00514CA2">
        <w:rPr>
          <w:b/>
        </w:rPr>
        <w:t>Women strongly dominate only among individuals seeking clerical and freelance jobs while men prevail among the applicants to blue-collar jobs (operators, craftsmen and elementary occupations) and to managerial jobs</w:t>
      </w:r>
      <w:r w:rsidRPr="00F33FC3">
        <w:t xml:space="preserve"> (</w:t>
      </w:r>
      <w:r w:rsidRPr="00F33FC3">
        <w:fldChar w:fldCharType="begin"/>
      </w:r>
      <w:r w:rsidRPr="00F33FC3">
        <w:instrText xml:space="preserve"> REF _Ref521404336 \h </w:instrText>
      </w:r>
      <w:r w:rsidR="00DF4661" w:rsidRPr="00F33FC3">
        <w:instrText xml:space="preserve"> \* MERGEFORMAT </w:instrText>
      </w:r>
      <w:r w:rsidRPr="00F33FC3">
        <w:fldChar w:fldCharType="separate"/>
      </w:r>
      <w:r w:rsidR="00514CA2" w:rsidRPr="00F33FC3">
        <w:t xml:space="preserve">Figure </w:t>
      </w:r>
      <w:r w:rsidR="00514CA2">
        <w:t>27</w:t>
      </w:r>
      <w:r w:rsidRPr="00F33FC3">
        <w:fldChar w:fldCharType="end"/>
      </w:r>
      <w:r w:rsidRPr="00F33FC3">
        <w:t xml:space="preserve">). </w:t>
      </w:r>
      <w:r w:rsidR="00E44A4E" w:rsidRPr="00F33FC3">
        <w:t>The group of professionals is more gender-b</w:t>
      </w:r>
      <w:r w:rsidR="00EF01E5" w:rsidRPr="00F33FC3">
        <w:t>alanced</w:t>
      </w:r>
      <w:r w:rsidR="00E44A4E" w:rsidRPr="00F33FC3">
        <w:t xml:space="preserve"> among online job seekers than among </w:t>
      </w:r>
      <w:r w:rsidR="00FD1F74" w:rsidRPr="00F33FC3">
        <w:t>the employed urban residents (</w:t>
      </w:r>
      <w:r w:rsidR="00FD1F74" w:rsidRPr="00F33FC3">
        <w:fldChar w:fldCharType="begin"/>
      </w:r>
      <w:r w:rsidR="00FD1F74" w:rsidRPr="00F33FC3">
        <w:instrText xml:space="preserve"> REF _Ref521404429 \h </w:instrText>
      </w:r>
      <w:r w:rsidR="003155F4" w:rsidRPr="00F33FC3">
        <w:instrText xml:space="preserve"> \* MERGEFORMAT </w:instrText>
      </w:r>
      <w:r w:rsidR="00FD1F74" w:rsidRPr="00F33FC3">
        <w:fldChar w:fldCharType="separate"/>
      </w:r>
      <w:r w:rsidR="00514CA2">
        <w:t>Table A-</w:t>
      </w:r>
      <w:proofErr w:type="gramStart"/>
      <w:r w:rsidR="00514CA2">
        <w:t>5</w:t>
      </w:r>
      <w:r w:rsidR="00514CA2" w:rsidRPr="004E1089">
        <w:t xml:space="preserve"> </w:t>
      </w:r>
      <w:proofErr w:type="gramEnd"/>
      <w:r w:rsidR="00FD1F74" w:rsidRPr="00F33FC3">
        <w:fldChar w:fldCharType="end"/>
      </w:r>
      <w:r w:rsidR="00FD1F74" w:rsidRPr="00F33FC3">
        <w:t>)</w:t>
      </w:r>
      <w:r w:rsidR="008C524B" w:rsidRPr="00F33FC3">
        <w:t>. This is</w:t>
      </w:r>
      <w:r w:rsidR="00FD1F74" w:rsidRPr="00F33FC3">
        <w:t xml:space="preserve"> </w:t>
      </w:r>
      <w:r w:rsidR="008C524B" w:rsidRPr="00F33FC3">
        <w:t xml:space="preserve">most likely </w:t>
      </w:r>
      <w:r w:rsidR="00FD1F74" w:rsidRPr="00F33FC3">
        <w:t xml:space="preserve">because traditional </w:t>
      </w:r>
      <w:r w:rsidR="008C524B" w:rsidRPr="00F33FC3">
        <w:t>female-dominated s</w:t>
      </w:r>
      <w:r w:rsidR="00FD1F74" w:rsidRPr="00F33FC3">
        <w:t xml:space="preserve">ectors </w:t>
      </w:r>
      <w:r w:rsidR="008C524B" w:rsidRPr="00F33FC3">
        <w:t>such as public administration, education, and health care are underrepresented in our sample of scraped resumes while male-dominated ICT sector is, on the contrary, overrepresented.</w:t>
      </w:r>
    </w:p>
    <w:p w14:paraId="37EA6431" w14:textId="0972FE0E" w:rsidR="008A64C3" w:rsidRPr="008A64C3" w:rsidRDefault="00514CA2" w:rsidP="002B5D3A">
      <w:pPr>
        <w:spacing w:before="0" w:after="120"/>
        <w:jc w:val="both"/>
        <w:rPr>
          <w:lang w:val="en-US"/>
        </w:rPr>
      </w:pPr>
      <w:r w:rsidRPr="00514CA2">
        <w:rPr>
          <w:b/>
        </w:rPr>
        <w:t>S</w:t>
      </w:r>
      <w:r w:rsidR="00A92F94" w:rsidRPr="00514CA2">
        <w:rPr>
          <w:b/>
        </w:rPr>
        <w:t xml:space="preserve">ubstantially higher proportion </w:t>
      </w:r>
      <w:r w:rsidR="008929A9" w:rsidRPr="00514CA2">
        <w:rPr>
          <w:b/>
        </w:rPr>
        <w:t>of</w:t>
      </w:r>
      <w:r w:rsidR="008A64C3" w:rsidRPr="00514CA2">
        <w:rPr>
          <w:b/>
          <w:lang w:val="en-US"/>
        </w:rPr>
        <w:t xml:space="preserve"> </w:t>
      </w:r>
      <w:r w:rsidR="004330A0" w:rsidRPr="00514CA2">
        <w:rPr>
          <w:b/>
        </w:rPr>
        <w:t xml:space="preserve">job seekers, especially males, </w:t>
      </w:r>
      <w:r w:rsidR="008929A9" w:rsidRPr="00514CA2">
        <w:rPr>
          <w:b/>
        </w:rPr>
        <w:t xml:space="preserve">were looking for a job </w:t>
      </w:r>
      <w:r w:rsidR="004330A0" w:rsidRPr="00514CA2">
        <w:rPr>
          <w:b/>
        </w:rPr>
        <w:t xml:space="preserve">in </w:t>
      </w:r>
      <w:r w:rsidR="00A92F94" w:rsidRPr="00514CA2">
        <w:rPr>
          <w:b/>
        </w:rPr>
        <w:t xml:space="preserve">female-dominated occupations </w:t>
      </w:r>
      <w:r w:rsidR="004330A0" w:rsidRPr="00514CA2">
        <w:rPr>
          <w:b/>
        </w:rPr>
        <w:t xml:space="preserve">compared to the </w:t>
      </w:r>
      <w:r w:rsidR="008929A9" w:rsidRPr="00514CA2">
        <w:rPr>
          <w:b/>
        </w:rPr>
        <w:t xml:space="preserve">respective share of </w:t>
      </w:r>
      <w:r w:rsidR="004330A0" w:rsidRPr="00514CA2">
        <w:rPr>
          <w:b/>
        </w:rPr>
        <w:t>employed population in 2016</w:t>
      </w:r>
      <w:r>
        <w:t xml:space="preserve"> (</w:t>
      </w:r>
      <w:r w:rsidRPr="00F33FC3">
        <w:fldChar w:fldCharType="begin"/>
      </w:r>
      <w:r w:rsidRPr="00F33FC3">
        <w:instrText xml:space="preserve"> REF _Ref525299081 \h  \* MERGEFORMAT </w:instrText>
      </w:r>
      <w:r w:rsidRPr="00F33FC3">
        <w:fldChar w:fldCharType="separate"/>
      </w:r>
      <w:r w:rsidRPr="00F23CF9">
        <w:t xml:space="preserve">Figure </w:t>
      </w:r>
      <w:r>
        <w:rPr>
          <w:noProof/>
        </w:rPr>
        <w:t>28</w:t>
      </w:r>
      <w:r w:rsidRPr="00F33FC3">
        <w:fldChar w:fldCharType="end"/>
      </w:r>
      <w:r>
        <w:t>)</w:t>
      </w:r>
      <w:r w:rsidR="004330A0" w:rsidRPr="00F33FC3">
        <w:t>.</w:t>
      </w:r>
      <w:r>
        <w:rPr>
          <w:rStyle w:val="af9"/>
        </w:rPr>
        <w:footnoteReference w:id="35"/>
      </w:r>
      <w:r w:rsidR="004330A0" w:rsidRPr="00F33FC3">
        <w:t xml:space="preserve"> On the other</w:t>
      </w:r>
      <w:r w:rsidR="00BB639C">
        <w:t xml:space="preserve"> </w:t>
      </w:r>
      <w:r w:rsidR="004330A0" w:rsidRPr="00F33FC3">
        <w:t xml:space="preserve">hand, the share of women applying to male-dominated occupations </w:t>
      </w:r>
      <w:r w:rsidR="008A64C3" w:rsidRPr="00F33FC3">
        <w:rPr>
          <w:lang w:val="en-US"/>
        </w:rPr>
        <w:t>is slightly larger than the share of women employed in these occupation</w:t>
      </w:r>
      <w:r w:rsidR="00B713FE" w:rsidRPr="00F33FC3">
        <w:rPr>
          <w:lang w:val="en-US"/>
        </w:rPr>
        <w:t>s</w:t>
      </w:r>
      <w:r w:rsidR="008A64C3" w:rsidRPr="00F33FC3">
        <w:rPr>
          <w:lang w:val="en-US"/>
        </w:rPr>
        <w:t xml:space="preserve"> in 2016. A significantly </w:t>
      </w:r>
      <w:r w:rsidR="002B5D3A" w:rsidRPr="00F33FC3">
        <w:rPr>
          <w:lang w:val="en-US"/>
        </w:rPr>
        <w:t xml:space="preserve">smaller </w:t>
      </w:r>
      <w:r w:rsidR="008A64C3" w:rsidRPr="00F33FC3">
        <w:rPr>
          <w:lang w:val="en-US"/>
        </w:rPr>
        <w:t xml:space="preserve">proportion of </w:t>
      </w:r>
      <w:r w:rsidR="002B5D3A" w:rsidRPr="00F33FC3">
        <w:rPr>
          <w:lang w:val="en-US"/>
        </w:rPr>
        <w:t>b</w:t>
      </w:r>
      <w:r w:rsidR="008A64C3" w:rsidRPr="00F33FC3">
        <w:rPr>
          <w:lang w:val="en-US"/>
        </w:rPr>
        <w:t xml:space="preserve">oth male and female jobseekers in mixed occupations </w:t>
      </w:r>
      <w:r w:rsidR="002B5D3A" w:rsidRPr="00F33FC3">
        <w:rPr>
          <w:lang w:val="en-US"/>
        </w:rPr>
        <w:t xml:space="preserve">(compared to employed workers) </w:t>
      </w:r>
      <w:r w:rsidR="008A64C3" w:rsidRPr="00F33FC3">
        <w:rPr>
          <w:lang w:val="en-US"/>
        </w:rPr>
        <w:t xml:space="preserve">is </w:t>
      </w:r>
      <w:r w:rsidR="002B5D3A" w:rsidRPr="00F33FC3">
        <w:rPr>
          <w:lang w:val="en-US"/>
        </w:rPr>
        <w:t>attributed to the absence of skilled and unskilled agricultur</w:t>
      </w:r>
      <w:r w:rsidR="00C4435C" w:rsidRPr="00F33FC3">
        <w:rPr>
          <w:lang w:val="en-US"/>
        </w:rPr>
        <w:t>al</w:t>
      </w:r>
      <w:r w:rsidR="002B5D3A" w:rsidRPr="00F33FC3">
        <w:rPr>
          <w:lang w:val="en-US"/>
        </w:rPr>
        <w:t xml:space="preserve"> workers and a very small number of craftsmen and assemblers in the sample of job seekers using online job portal.</w:t>
      </w:r>
    </w:p>
    <w:p w14:paraId="36128438" w14:textId="1B891B8E" w:rsidR="008A672D" w:rsidRPr="00F23CF9" w:rsidRDefault="008A672D" w:rsidP="00781E24">
      <w:pPr>
        <w:pStyle w:val="ad"/>
        <w:spacing w:before="240" w:after="0"/>
        <w:jc w:val="left"/>
      </w:pPr>
      <w:bookmarkStart w:id="114" w:name="_Ref525299081"/>
      <w:bookmarkStart w:id="115" w:name="_Toc533211784"/>
      <w:r w:rsidRPr="00F23CF9">
        <w:lastRenderedPageBreak/>
        <w:t xml:space="preserve">Figure </w:t>
      </w:r>
      <w:r w:rsidRPr="00F23CF9">
        <w:fldChar w:fldCharType="begin"/>
      </w:r>
      <w:r w:rsidRPr="00F23CF9">
        <w:instrText xml:space="preserve"> SEQ Figure \* ARABIC </w:instrText>
      </w:r>
      <w:r w:rsidRPr="00F23CF9">
        <w:fldChar w:fldCharType="separate"/>
      </w:r>
      <w:r w:rsidR="007F56F7">
        <w:rPr>
          <w:noProof/>
        </w:rPr>
        <w:t>28</w:t>
      </w:r>
      <w:r w:rsidRPr="00F23CF9">
        <w:fldChar w:fldCharType="end"/>
      </w:r>
      <w:bookmarkEnd w:id="114"/>
      <w:r w:rsidRPr="00F23CF9">
        <w:t xml:space="preserve">: </w:t>
      </w:r>
      <w:r w:rsidR="00A92F94" w:rsidRPr="00F23CF9">
        <w:t>Job seekers vs. employed by the type of occupation</w:t>
      </w:r>
      <w:bookmarkEnd w:id="115"/>
    </w:p>
    <w:p w14:paraId="7F6718B4" w14:textId="77777777" w:rsidR="00A92F94" w:rsidRPr="00F23CF9" w:rsidRDefault="00A92F94" w:rsidP="00A92F94">
      <w:pPr>
        <w:jc w:val="center"/>
      </w:pPr>
      <w:r w:rsidRPr="00F23CF9">
        <w:rPr>
          <w:noProof/>
          <w:lang w:val="ru-RU" w:eastAsia="ru-RU"/>
        </w:rPr>
        <w:drawing>
          <wp:inline distT="0" distB="0" distL="0" distR="0" wp14:anchorId="2961D9AD" wp14:editId="29E89372">
            <wp:extent cx="4578350" cy="2197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8350" cy="2197100"/>
                    </a:xfrm>
                    <a:prstGeom prst="rect">
                      <a:avLst/>
                    </a:prstGeom>
                    <a:noFill/>
                    <a:ln>
                      <a:noFill/>
                    </a:ln>
                  </pic:spPr>
                </pic:pic>
              </a:graphicData>
            </a:graphic>
          </wp:inline>
        </w:drawing>
      </w:r>
    </w:p>
    <w:p w14:paraId="312BB2B8" w14:textId="77777777" w:rsidR="00A92F94" w:rsidRPr="00F23CF9" w:rsidRDefault="00A92F94" w:rsidP="00A92F94">
      <w:pPr>
        <w:pStyle w:val="aff4"/>
        <w:shd w:val="clear" w:color="auto" w:fill="auto"/>
        <w:spacing w:before="120" w:line="240" w:lineRule="auto"/>
        <w:jc w:val="both"/>
        <w:rPr>
          <w:sz w:val="20"/>
          <w:szCs w:val="20"/>
        </w:rPr>
      </w:pPr>
      <w:r w:rsidRPr="00F23CF9">
        <w:rPr>
          <w:sz w:val="20"/>
          <w:szCs w:val="20"/>
        </w:rPr>
        <w:t>Note: A 2-digit ISCO occupation is defined as female-dominated if the average share of women employed in this occupation in 2014-2016 was 60 percent or more; an occupation is defined as male-dominated if the average share of women employed in this occupation in 2014-2016 was 40 percent or less; an occupation with female share between 40 and 60 percent is classified as mixed</w:t>
      </w:r>
      <w:r w:rsidR="00C4435C" w:rsidRPr="00F23CF9">
        <w:rPr>
          <w:sz w:val="20"/>
          <w:szCs w:val="20"/>
        </w:rPr>
        <w:t xml:space="preserve"> (see the mapping in </w:t>
      </w:r>
      <w:r w:rsidR="00C4435C" w:rsidRPr="00F23CF9">
        <w:rPr>
          <w:sz w:val="20"/>
          <w:szCs w:val="20"/>
        </w:rPr>
        <w:fldChar w:fldCharType="begin"/>
      </w:r>
      <w:r w:rsidR="00C4435C" w:rsidRPr="00F23CF9">
        <w:rPr>
          <w:sz w:val="20"/>
          <w:szCs w:val="20"/>
        </w:rPr>
        <w:instrText xml:space="preserve"> REF _Ref525305983 \h  \* MERGEFORMAT </w:instrText>
      </w:r>
      <w:r w:rsidR="00C4435C" w:rsidRPr="00F23CF9">
        <w:rPr>
          <w:sz w:val="20"/>
          <w:szCs w:val="20"/>
        </w:rPr>
      </w:r>
      <w:r w:rsidR="00C4435C" w:rsidRPr="00F23CF9">
        <w:rPr>
          <w:sz w:val="20"/>
          <w:szCs w:val="20"/>
        </w:rPr>
        <w:fldChar w:fldCharType="separate"/>
      </w:r>
      <w:r w:rsidR="00206AA9" w:rsidRPr="00206AA9">
        <w:rPr>
          <w:sz w:val="20"/>
          <w:szCs w:val="20"/>
        </w:rPr>
        <w:t xml:space="preserve">Annex </w:t>
      </w:r>
      <w:r w:rsidR="00206AA9" w:rsidRPr="00206AA9">
        <w:rPr>
          <w:noProof/>
          <w:sz w:val="20"/>
          <w:szCs w:val="20"/>
        </w:rPr>
        <w:t>2</w:t>
      </w:r>
      <w:r w:rsidR="00C4435C" w:rsidRPr="00F23CF9">
        <w:rPr>
          <w:sz w:val="20"/>
          <w:szCs w:val="20"/>
        </w:rPr>
        <w:fldChar w:fldCharType="end"/>
      </w:r>
      <w:r w:rsidR="00C4435C" w:rsidRPr="00F23CF9">
        <w:rPr>
          <w:sz w:val="20"/>
          <w:szCs w:val="20"/>
        </w:rPr>
        <w:t>)</w:t>
      </w:r>
      <w:r w:rsidRPr="00F23CF9">
        <w:rPr>
          <w:sz w:val="20"/>
          <w:szCs w:val="20"/>
        </w:rPr>
        <w:t xml:space="preserve">. Composition of employed by the type of occupation is taken from </w:t>
      </w:r>
      <w:r w:rsidRPr="00F23CF9">
        <w:rPr>
          <w:sz w:val="20"/>
          <w:szCs w:val="20"/>
        </w:rPr>
        <w:fldChar w:fldCharType="begin"/>
      </w:r>
      <w:r w:rsidRPr="00F23CF9">
        <w:rPr>
          <w:sz w:val="20"/>
          <w:szCs w:val="20"/>
        </w:rPr>
        <w:instrText xml:space="preserve"> REF _Ref519153038 \h  \* MERGEFORMAT </w:instrText>
      </w:r>
      <w:r w:rsidRPr="00F23CF9">
        <w:rPr>
          <w:sz w:val="20"/>
          <w:szCs w:val="20"/>
        </w:rPr>
      </w:r>
      <w:r w:rsidRPr="00F23CF9">
        <w:rPr>
          <w:sz w:val="20"/>
          <w:szCs w:val="20"/>
        </w:rPr>
        <w:fldChar w:fldCharType="separate"/>
      </w:r>
      <w:r w:rsidR="00206AA9" w:rsidRPr="00206AA9">
        <w:rPr>
          <w:sz w:val="20"/>
          <w:szCs w:val="20"/>
        </w:rPr>
        <w:t xml:space="preserve">Table </w:t>
      </w:r>
      <w:r w:rsidR="00206AA9" w:rsidRPr="00206AA9">
        <w:rPr>
          <w:noProof/>
          <w:sz w:val="20"/>
          <w:szCs w:val="20"/>
        </w:rPr>
        <w:t>2</w:t>
      </w:r>
      <w:r w:rsidRPr="00F23CF9">
        <w:rPr>
          <w:sz w:val="20"/>
          <w:szCs w:val="20"/>
        </w:rPr>
        <w:fldChar w:fldCharType="end"/>
      </w:r>
      <w:r w:rsidRPr="00F23CF9">
        <w:rPr>
          <w:sz w:val="20"/>
          <w:szCs w:val="20"/>
        </w:rPr>
        <w:t>.</w:t>
      </w:r>
    </w:p>
    <w:p w14:paraId="74740419" w14:textId="1798D34C" w:rsidR="00DF4661" w:rsidRPr="00F23CF9" w:rsidRDefault="003B2B1F" w:rsidP="0020755D">
      <w:pPr>
        <w:jc w:val="both"/>
        <w:rPr>
          <w:rStyle w:val="12"/>
          <w:sz w:val="22"/>
          <w:szCs w:val="22"/>
        </w:rPr>
      </w:pPr>
      <w:r w:rsidRPr="00514CA2">
        <w:rPr>
          <w:b/>
        </w:rPr>
        <w:t xml:space="preserve">Analysis of the </w:t>
      </w:r>
      <w:r w:rsidR="001E0C02" w:rsidRPr="00514CA2">
        <w:rPr>
          <w:b/>
        </w:rPr>
        <w:t xml:space="preserve">two main </w:t>
      </w:r>
      <w:r w:rsidRPr="00514CA2">
        <w:rPr>
          <w:b/>
        </w:rPr>
        <w:t>indices of occupational gender segregation</w:t>
      </w:r>
      <w:r w:rsidR="001E0C02" w:rsidRPr="00514CA2">
        <w:rPr>
          <w:b/>
        </w:rPr>
        <w:t xml:space="preserve"> </w:t>
      </w:r>
      <w:r w:rsidR="001E0C02" w:rsidRPr="00514CA2">
        <w:rPr>
          <w:rStyle w:val="12"/>
          <w:b/>
          <w:sz w:val="22"/>
          <w:szCs w:val="22"/>
        </w:rPr>
        <w:t>for the sample of job seekers in 2018 also points to a slightly smaller extent of occupational segregation compared to the total employed population in 2016</w:t>
      </w:r>
      <w:r w:rsidR="001E0C02" w:rsidRPr="00F23CF9">
        <w:rPr>
          <w:rStyle w:val="12"/>
          <w:sz w:val="22"/>
          <w:szCs w:val="22"/>
        </w:rPr>
        <w:t xml:space="preserve"> (see </w:t>
      </w:r>
      <w:r w:rsidR="001E0C02" w:rsidRPr="00F23CF9">
        <w:rPr>
          <w:rStyle w:val="12"/>
          <w:sz w:val="22"/>
          <w:szCs w:val="22"/>
        </w:rPr>
        <w:fldChar w:fldCharType="begin"/>
      </w:r>
      <w:r w:rsidR="001E0C02" w:rsidRPr="00F23CF9">
        <w:rPr>
          <w:rStyle w:val="12"/>
          <w:sz w:val="22"/>
          <w:szCs w:val="22"/>
        </w:rPr>
        <w:instrText xml:space="preserve"> REF _Ref519153993 \h </w:instrText>
      </w:r>
      <w:r w:rsidR="00F23CF9">
        <w:rPr>
          <w:rStyle w:val="12"/>
          <w:sz w:val="22"/>
          <w:szCs w:val="22"/>
        </w:rPr>
        <w:instrText xml:space="preserve"> \* MERGEFORMAT </w:instrText>
      </w:r>
      <w:r w:rsidR="001E0C02" w:rsidRPr="00F23CF9">
        <w:rPr>
          <w:rStyle w:val="12"/>
          <w:sz w:val="22"/>
          <w:szCs w:val="22"/>
        </w:rPr>
      </w:r>
      <w:r w:rsidR="001E0C02" w:rsidRPr="00F23CF9">
        <w:rPr>
          <w:rStyle w:val="12"/>
          <w:sz w:val="22"/>
          <w:szCs w:val="22"/>
        </w:rPr>
        <w:fldChar w:fldCharType="separate"/>
      </w:r>
      <w:r w:rsidR="00514CA2" w:rsidRPr="004A792A">
        <w:rPr>
          <w:lang w:val="en-US"/>
        </w:rPr>
        <w:t xml:space="preserve">Figure </w:t>
      </w:r>
      <w:r w:rsidR="00514CA2">
        <w:rPr>
          <w:noProof/>
          <w:lang w:val="en-US"/>
        </w:rPr>
        <w:t>9</w:t>
      </w:r>
      <w:r w:rsidR="001E0C02" w:rsidRPr="00F23CF9">
        <w:rPr>
          <w:rStyle w:val="12"/>
          <w:sz w:val="22"/>
          <w:szCs w:val="22"/>
        </w:rPr>
        <w:fldChar w:fldCharType="end"/>
      </w:r>
      <w:r w:rsidR="00791CDC" w:rsidRPr="00F23CF9">
        <w:rPr>
          <w:rStyle w:val="12"/>
          <w:sz w:val="22"/>
          <w:szCs w:val="22"/>
        </w:rPr>
        <w:t xml:space="preserve"> and </w:t>
      </w:r>
      <w:r w:rsidR="00791CDC" w:rsidRPr="00F23CF9">
        <w:rPr>
          <w:rStyle w:val="12"/>
          <w:sz w:val="22"/>
          <w:szCs w:val="22"/>
        </w:rPr>
        <w:fldChar w:fldCharType="begin"/>
      </w:r>
      <w:r w:rsidR="00791CDC" w:rsidRPr="00F23CF9">
        <w:rPr>
          <w:rStyle w:val="12"/>
          <w:sz w:val="22"/>
          <w:szCs w:val="22"/>
        </w:rPr>
        <w:instrText xml:space="preserve"> REF _Ref519157872 \h </w:instrText>
      </w:r>
      <w:r w:rsidR="00F23CF9">
        <w:rPr>
          <w:rStyle w:val="12"/>
          <w:sz w:val="22"/>
          <w:szCs w:val="22"/>
        </w:rPr>
        <w:instrText xml:space="preserve"> \* MERGEFORMAT </w:instrText>
      </w:r>
      <w:r w:rsidR="00791CDC" w:rsidRPr="00F23CF9">
        <w:rPr>
          <w:rStyle w:val="12"/>
          <w:sz w:val="22"/>
          <w:szCs w:val="22"/>
        </w:rPr>
      </w:r>
      <w:r w:rsidR="00791CDC" w:rsidRPr="00F23CF9">
        <w:rPr>
          <w:rStyle w:val="12"/>
          <w:sz w:val="22"/>
          <w:szCs w:val="22"/>
        </w:rPr>
        <w:fldChar w:fldCharType="separate"/>
      </w:r>
      <w:r w:rsidR="00514CA2" w:rsidRPr="004A792A">
        <w:rPr>
          <w:lang w:val="en-US"/>
        </w:rPr>
        <w:t xml:space="preserve">Figure </w:t>
      </w:r>
      <w:r w:rsidR="00514CA2">
        <w:rPr>
          <w:noProof/>
          <w:lang w:val="en-US"/>
        </w:rPr>
        <w:t>15</w:t>
      </w:r>
      <w:r w:rsidR="00791CDC" w:rsidRPr="00F23CF9">
        <w:rPr>
          <w:rStyle w:val="12"/>
          <w:sz w:val="22"/>
          <w:szCs w:val="22"/>
        </w:rPr>
        <w:fldChar w:fldCharType="end"/>
      </w:r>
      <w:r w:rsidR="00791CDC" w:rsidRPr="00F23CF9">
        <w:rPr>
          <w:rStyle w:val="12"/>
          <w:sz w:val="22"/>
          <w:szCs w:val="22"/>
        </w:rPr>
        <w:t xml:space="preserve"> </w:t>
      </w:r>
      <w:r w:rsidR="001E0C02" w:rsidRPr="00F23CF9">
        <w:rPr>
          <w:rStyle w:val="12"/>
          <w:sz w:val="22"/>
          <w:szCs w:val="22"/>
        </w:rPr>
        <w:t xml:space="preserve">above): the </w:t>
      </w:r>
      <w:r w:rsidR="001E0C02" w:rsidRPr="00F23CF9">
        <w:t xml:space="preserve">Duncan index of dissimilarity </w:t>
      </w:r>
      <w:r w:rsidR="00053367" w:rsidRPr="00F23CF9">
        <w:t xml:space="preserve">for 3-digit ISCO occupations </w:t>
      </w:r>
      <w:r w:rsidR="001E0C02" w:rsidRPr="00F23CF9">
        <w:t xml:space="preserve">is </w:t>
      </w:r>
      <w:r w:rsidR="001E0C02" w:rsidRPr="00F23CF9">
        <w:rPr>
          <w:rStyle w:val="12"/>
          <w:sz w:val="22"/>
          <w:szCs w:val="22"/>
        </w:rPr>
        <w:t>43.</w:t>
      </w:r>
      <w:r w:rsidR="00F229F8" w:rsidRPr="00F23CF9">
        <w:rPr>
          <w:rStyle w:val="12"/>
          <w:sz w:val="22"/>
          <w:szCs w:val="22"/>
        </w:rPr>
        <w:t>6</w:t>
      </w:r>
      <w:r w:rsidR="001E0C02" w:rsidRPr="00F23CF9">
        <w:rPr>
          <w:rStyle w:val="12"/>
          <w:sz w:val="22"/>
          <w:szCs w:val="22"/>
        </w:rPr>
        <w:t xml:space="preserve"> percent vs. 45.8 percent, and </w:t>
      </w:r>
      <w:proofErr w:type="spellStart"/>
      <w:r w:rsidR="001E0C02" w:rsidRPr="00F23CF9">
        <w:rPr>
          <w:rStyle w:val="12"/>
          <w:sz w:val="22"/>
          <w:szCs w:val="22"/>
        </w:rPr>
        <w:t>Karmel</w:t>
      </w:r>
      <w:proofErr w:type="spellEnd"/>
      <w:r w:rsidR="001E0C02" w:rsidRPr="00F23CF9">
        <w:rPr>
          <w:rStyle w:val="12"/>
          <w:sz w:val="22"/>
          <w:szCs w:val="22"/>
        </w:rPr>
        <w:t xml:space="preserve"> and </w:t>
      </w:r>
      <w:proofErr w:type="spellStart"/>
      <w:r w:rsidR="001E0C02" w:rsidRPr="00F23CF9">
        <w:rPr>
          <w:rStyle w:val="12"/>
          <w:sz w:val="22"/>
          <w:szCs w:val="22"/>
        </w:rPr>
        <w:t>MacLachlan</w:t>
      </w:r>
      <w:proofErr w:type="spellEnd"/>
      <w:r w:rsidR="001E0C02" w:rsidRPr="00F23CF9">
        <w:rPr>
          <w:rStyle w:val="12"/>
          <w:sz w:val="22"/>
          <w:szCs w:val="22"/>
        </w:rPr>
        <w:t xml:space="preserve"> index is 21 percent vs. 22.9 percent</w:t>
      </w:r>
      <w:r w:rsidR="005703A2" w:rsidRPr="00F23CF9">
        <w:rPr>
          <w:rStyle w:val="12"/>
          <w:sz w:val="22"/>
          <w:szCs w:val="22"/>
        </w:rPr>
        <w:t>.</w:t>
      </w:r>
    </w:p>
    <w:p w14:paraId="21CE2952" w14:textId="505AC881" w:rsidR="00EE792F" w:rsidRDefault="004063F6" w:rsidP="0020755D">
      <w:pPr>
        <w:jc w:val="both"/>
        <w:rPr>
          <w:lang w:val="en-US"/>
        </w:rPr>
      </w:pPr>
      <w:r w:rsidRPr="00514CA2">
        <w:rPr>
          <w:b/>
          <w:lang w:val="en-US"/>
        </w:rPr>
        <w:t xml:space="preserve">Women using </w:t>
      </w:r>
      <w:r w:rsidR="00BB639C" w:rsidRPr="00514CA2">
        <w:rPr>
          <w:b/>
          <w:lang w:val="en-US"/>
        </w:rPr>
        <w:t xml:space="preserve">the </w:t>
      </w:r>
      <w:r w:rsidRPr="00514CA2">
        <w:rPr>
          <w:b/>
          <w:lang w:val="en-US"/>
        </w:rPr>
        <w:t>online job portal for posting their resumes and seeking jobs differ from men not only in the desired sector and occupation, but also in the type of job they would like to have</w:t>
      </w:r>
      <w:r w:rsidRPr="00F23CF9">
        <w:rPr>
          <w:lang w:val="en-US"/>
        </w:rPr>
        <w:t>. Although the majority of both female and male job seeker</w:t>
      </w:r>
      <w:r w:rsidR="005C06CE" w:rsidRPr="00F23CF9">
        <w:rPr>
          <w:lang w:val="en-US"/>
        </w:rPr>
        <w:t>s</w:t>
      </w:r>
      <w:r w:rsidRPr="00F23CF9">
        <w:rPr>
          <w:lang w:val="en-US"/>
        </w:rPr>
        <w:t xml:space="preserve"> are looking for full-time jobs, the share of women looking for a part-time, shift or distance work is considerably larger than the share of men</w:t>
      </w:r>
      <w:r w:rsidR="004922B1" w:rsidRPr="00F23CF9">
        <w:rPr>
          <w:lang w:val="en-US"/>
        </w:rPr>
        <w:t>, overall and in all sectors except for Education</w:t>
      </w:r>
      <w:r w:rsidRPr="00F23CF9">
        <w:rPr>
          <w:lang w:val="en-US"/>
        </w:rPr>
        <w:t xml:space="preserve"> (</w:t>
      </w:r>
      <w:r w:rsidR="00D9659F" w:rsidRPr="00F23CF9">
        <w:rPr>
          <w:lang w:val="en-US"/>
        </w:rPr>
        <w:fldChar w:fldCharType="begin"/>
      </w:r>
      <w:r w:rsidR="00D9659F" w:rsidRPr="00F23CF9">
        <w:rPr>
          <w:lang w:val="en-US"/>
        </w:rPr>
        <w:instrText xml:space="preserve"> REF _Ref521422404 \h </w:instrText>
      </w:r>
      <w:r w:rsidR="001B3489" w:rsidRPr="00F23CF9">
        <w:rPr>
          <w:lang w:val="en-US"/>
        </w:rPr>
        <w:instrText xml:space="preserve"> \* MERGEFORMAT </w:instrText>
      </w:r>
      <w:r w:rsidR="00D9659F" w:rsidRPr="00F23CF9">
        <w:rPr>
          <w:lang w:val="en-US"/>
        </w:rPr>
      </w:r>
      <w:r w:rsidR="00D9659F" w:rsidRPr="00F23CF9">
        <w:rPr>
          <w:lang w:val="en-US"/>
        </w:rPr>
        <w:fldChar w:fldCharType="separate"/>
      </w:r>
      <w:r w:rsidR="00514CA2">
        <w:t xml:space="preserve">Figure </w:t>
      </w:r>
      <w:r w:rsidR="00514CA2">
        <w:rPr>
          <w:noProof/>
        </w:rPr>
        <w:t>29</w:t>
      </w:r>
      <w:r w:rsidR="00D9659F" w:rsidRPr="00F23CF9">
        <w:rPr>
          <w:lang w:val="en-US"/>
        </w:rPr>
        <w:fldChar w:fldCharType="end"/>
      </w:r>
      <w:r w:rsidRPr="00F23CF9">
        <w:rPr>
          <w:lang w:val="en-US"/>
        </w:rPr>
        <w:t>). And this is not so much due to being married or having children (married women and women with children are even more inclined to full-time jobs than single women) as due to the need to combine work and studies</w:t>
      </w:r>
      <w:r w:rsidR="00E57D91" w:rsidRPr="00F23CF9">
        <w:rPr>
          <w:lang w:val="en-US"/>
        </w:rPr>
        <w:t>,</w:t>
      </w:r>
      <w:r w:rsidR="00D9659F" w:rsidRPr="00F23CF9">
        <w:rPr>
          <w:rStyle w:val="af9"/>
          <w:lang w:val="en-US"/>
        </w:rPr>
        <w:footnoteReference w:id="36"/>
      </w:r>
      <w:r w:rsidR="00E57D91" w:rsidRPr="00F23CF9">
        <w:rPr>
          <w:lang w:val="en-US"/>
        </w:rPr>
        <w:t xml:space="preserve"> to </w:t>
      </w:r>
      <w:r w:rsidR="00C23230" w:rsidRPr="00F23CF9">
        <w:rPr>
          <w:lang w:val="en-US"/>
        </w:rPr>
        <w:t xml:space="preserve">have a secondary </w:t>
      </w:r>
      <w:r w:rsidR="00E57D91" w:rsidRPr="00F23CF9">
        <w:rPr>
          <w:lang w:val="en-US"/>
        </w:rPr>
        <w:t xml:space="preserve">job or </w:t>
      </w:r>
      <w:r w:rsidR="00C23230" w:rsidRPr="00F23CF9">
        <w:rPr>
          <w:lang w:val="en-US"/>
        </w:rPr>
        <w:t xml:space="preserve">for some other </w:t>
      </w:r>
      <w:r w:rsidR="00C23230" w:rsidRPr="00514CA2">
        <w:rPr>
          <w:lang w:val="en-US"/>
        </w:rPr>
        <w:t>reasons.</w:t>
      </w:r>
      <w:r w:rsidR="004922B1" w:rsidRPr="00514CA2">
        <w:rPr>
          <w:lang w:val="en-US"/>
        </w:rPr>
        <w:t xml:space="preserve"> </w:t>
      </w:r>
      <w:r w:rsidR="00514CA2" w:rsidRPr="00514CA2">
        <w:rPr>
          <w:lang w:val="en-US"/>
        </w:rPr>
        <w:t>This unexpected result is attributed to a very particular segment of the population who post their resumes in the online job portal – young urban residents many of whom continue their studies</w:t>
      </w:r>
      <w:r w:rsidR="001F46E1">
        <w:rPr>
          <w:lang w:val="en-US"/>
        </w:rPr>
        <w:t xml:space="preserve">. </w:t>
      </w:r>
      <w:r w:rsidR="004922B1" w:rsidRPr="00F23CF9">
        <w:rPr>
          <w:lang w:val="en-US"/>
        </w:rPr>
        <w:t xml:space="preserve">As one could expect, the categories in which the majority of female and male job seekers looking for a flexible working arrangement are </w:t>
      </w:r>
      <w:r w:rsidR="00A2560A" w:rsidRPr="00F23CF9">
        <w:rPr>
          <w:lang w:val="en-US"/>
        </w:rPr>
        <w:t>W</w:t>
      </w:r>
      <w:r w:rsidR="004922B1" w:rsidRPr="00F23CF9">
        <w:rPr>
          <w:lang w:val="en-US"/>
        </w:rPr>
        <w:t xml:space="preserve">ork from home and </w:t>
      </w:r>
      <w:r w:rsidR="00A2560A" w:rsidRPr="00F23CF9">
        <w:rPr>
          <w:lang w:val="en-US"/>
        </w:rPr>
        <w:t>W</w:t>
      </w:r>
      <w:r w:rsidR="004922B1" w:rsidRPr="00F23CF9">
        <w:rPr>
          <w:lang w:val="en-US"/>
        </w:rPr>
        <w:t xml:space="preserve">ork for students. </w:t>
      </w:r>
      <w:r w:rsidR="00A2560A" w:rsidRPr="00F23CF9">
        <w:rPr>
          <w:lang w:val="en-US"/>
        </w:rPr>
        <w:t xml:space="preserve">A high proportion of female job seekers who would like </w:t>
      </w:r>
      <w:r w:rsidR="00BB639C">
        <w:rPr>
          <w:lang w:val="en-US"/>
        </w:rPr>
        <w:t xml:space="preserve">to </w:t>
      </w:r>
      <w:r w:rsidR="007A320C" w:rsidRPr="00F23CF9">
        <w:rPr>
          <w:lang w:val="en-US"/>
        </w:rPr>
        <w:t>work</w:t>
      </w:r>
      <w:r w:rsidR="00A2560A" w:rsidRPr="00F23CF9">
        <w:rPr>
          <w:lang w:val="en-US"/>
        </w:rPr>
        <w:t xml:space="preserve"> part-time or </w:t>
      </w:r>
      <w:r w:rsidR="007A320C" w:rsidRPr="00F23CF9">
        <w:rPr>
          <w:lang w:val="en-US"/>
        </w:rPr>
        <w:t xml:space="preserve">in </w:t>
      </w:r>
      <w:r w:rsidR="00A2560A" w:rsidRPr="00F23CF9">
        <w:rPr>
          <w:lang w:val="en-US"/>
        </w:rPr>
        <w:t>shift</w:t>
      </w:r>
      <w:r w:rsidR="007A320C" w:rsidRPr="00F23CF9">
        <w:rPr>
          <w:lang w:val="en-US"/>
        </w:rPr>
        <w:t>s</w:t>
      </w:r>
      <w:r w:rsidR="00A2560A" w:rsidRPr="00F23CF9">
        <w:rPr>
          <w:lang w:val="en-US"/>
        </w:rPr>
        <w:t xml:space="preserve"> is also in </w:t>
      </w:r>
      <w:r w:rsidR="00A2560A" w:rsidRPr="00F23CF9">
        <w:rPr>
          <w:rFonts w:ascii="Calibri" w:eastAsia="Times New Roman" w:hAnsi="Calibri" w:cs="Calibri"/>
          <w:color w:val="000000"/>
          <w:lang w:val="en-US"/>
        </w:rPr>
        <w:t>Arts, entertainment and recreation</w:t>
      </w:r>
      <w:r w:rsidR="00A2560A" w:rsidRPr="00F23CF9">
        <w:rPr>
          <w:lang w:val="en-US"/>
        </w:rPr>
        <w:t xml:space="preserve"> and Accommodati</w:t>
      </w:r>
      <w:r w:rsidR="00F23CF9">
        <w:rPr>
          <w:lang w:val="en-US"/>
        </w:rPr>
        <w:t>on and food service activities.</w:t>
      </w:r>
    </w:p>
    <w:p w14:paraId="7D13FA8A" w14:textId="45CAE730" w:rsidR="00F358B4" w:rsidRPr="00EE792F" w:rsidRDefault="00F358B4" w:rsidP="00781E24">
      <w:pPr>
        <w:pStyle w:val="ad"/>
        <w:spacing w:before="240" w:after="0"/>
        <w:jc w:val="left"/>
      </w:pPr>
      <w:bookmarkStart w:id="116" w:name="_Ref521422404"/>
      <w:bookmarkStart w:id="117" w:name="_Toc533211785"/>
      <w:r>
        <w:lastRenderedPageBreak/>
        <w:t xml:space="preserve">Figure </w:t>
      </w:r>
      <w:r>
        <w:fldChar w:fldCharType="begin"/>
      </w:r>
      <w:r>
        <w:instrText xml:space="preserve"> SEQ Figure \* ARABIC </w:instrText>
      </w:r>
      <w:r>
        <w:fldChar w:fldCharType="separate"/>
      </w:r>
      <w:r w:rsidR="007F56F7">
        <w:rPr>
          <w:noProof/>
        </w:rPr>
        <w:t>29</w:t>
      </w:r>
      <w:r>
        <w:fldChar w:fldCharType="end"/>
      </w:r>
      <w:bookmarkEnd w:id="116"/>
      <w:r>
        <w:t xml:space="preserve">: </w:t>
      </w:r>
      <w:r w:rsidR="00EE792F">
        <w:t>Female and male j</w:t>
      </w:r>
      <w:r>
        <w:t xml:space="preserve">ob seekers by </w:t>
      </w:r>
      <w:r w:rsidR="00EE792F">
        <w:t xml:space="preserve">desired sector and flexible working arrangement </w:t>
      </w:r>
      <w:r>
        <w:t>(%), 2018</w:t>
      </w:r>
      <w:bookmarkEnd w:id="117"/>
    </w:p>
    <w:p w14:paraId="027F727A" w14:textId="77777777" w:rsidR="004E1C22" w:rsidRDefault="00EC577A" w:rsidP="00EC577A">
      <w:pPr>
        <w:jc w:val="center"/>
        <w:rPr>
          <w:lang w:val="en-US"/>
        </w:rPr>
      </w:pPr>
      <w:r w:rsidRPr="00EC577A">
        <w:rPr>
          <w:noProof/>
          <w:lang w:val="ru-RU" w:eastAsia="ru-RU"/>
        </w:rPr>
        <w:drawing>
          <wp:inline distT="0" distB="0" distL="0" distR="0" wp14:anchorId="5A6D4ED5" wp14:editId="2E763A17">
            <wp:extent cx="5600700" cy="2393950"/>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00700" cy="2393950"/>
                    </a:xfrm>
                    <a:prstGeom prst="rect">
                      <a:avLst/>
                    </a:prstGeom>
                    <a:noFill/>
                    <a:ln>
                      <a:noFill/>
                    </a:ln>
                  </pic:spPr>
                </pic:pic>
              </a:graphicData>
            </a:graphic>
          </wp:inline>
        </w:drawing>
      </w:r>
    </w:p>
    <w:p w14:paraId="6E576CFD" w14:textId="77777777" w:rsidR="004E1C22" w:rsidRDefault="004E1C22" w:rsidP="004E1C22">
      <w:pPr>
        <w:spacing w:before="0"/>
        <w:jc w:val="both"/>
        <w:rPr>
          <w:i/>
          <w:sz w:val="20"/>
          <w:szCs w:val="20"/>
          <w:lang w:val="en-US"/>
        </w:rPr>
      </w:pPr>
      <w:r w:rsidRPr="00376823">
        <w:rPr>
          <w:i/>
          <w:sz w:val="20"/>
          <w:szCs w:val="20"/>
          <w:lang w:val="en-US"/>
        </w:rPr>
        <w:t xml:space="preserve">Note: The height of </w:t>
      </w:r>
      <w:r w:rsidR="00DC6D96" w:rsidRPr="00376823">
        <w:rPr>
          <w:i/>
          <w:sz w:val="20"/>
          <w:szCs w:val="20"/>
          <w:lang w:val="en-US"/>
        </w:rPr>
        <w:t xml:space="preserve">each </w:t>
      </w:r>
      <w:r w:rsidRPr="00376823">
        <w:rPr>
          <w:i/>
          <w:sz w:val="20"/>
          <w:szCs w:val="20"/>
          <w:lang w:val="en-US"/>
        </w:rPr>
        <w:t xml:space="preserve">bar corresponds to the share of </w:t>
      </w:r>
      <w:r w:rsidR="00DC6D96" w:rsidRPr="00376823">
        <w:rPr>
          <w:i/>
          <w:sz w:val="20"/>
          <w:szCs w:val="20"/>
          <w:lang w:val="en-US"/>
        </w:rPr>
        <w:t>female/male</w:t>
      </w:r>
      <w:r w:rsidRPr="00376823">
        <w:rPr>
          <w:i/>
          <w:sz w:val="20"/>
          <w:szCs w:val="20"/>
          <w:lang w:val="en-US"/>
        </w:rPr>
        <w:t xml:space="preserve"> job seekers with</w:t>
      </w:r>
      <w:r w:rsidR="00D27A99" w:rsidRPr="00376823">
        <w:rPr>
          <w:i/>
          <w:sz w:val="20"/>
          <w:szCs w:val="20"/>
          <w:lang w:val="en-US"/>
        </w:rPr>
        <w:t>in</w:t>
      </w:r>
      <w:r w:rsidRPr="00376823">
        <w:rPr>
          <w:i/>
          <w:sz w:val="20"/>
          <w:szCs w:val="20"/>
          <w:lang w:val="en-US"/>
        </w:rPr>
        <w:t xml:space="preserve"> a desired sector looking for a part-time, shift or distance work</w:t>
      </w:r>
      <w:r w:rsidR="00DC6D96" w:rsidRPr="00376823">
        <w:rPr>
          <w:i/>
          <w:sz w:val="20"/>
          <w:szCs w:val="20"/>
          <w:lang w:val="en-US"/>
        </w:rPr>
        <w:t xml:space="preserve"> (as opposed to full-time work)</w:t>
      </w:r>
      <w:r w:rsidRPr="00376823">
        <w:rPr>
          <w:i/>
          <w:sz w:val="20"/>
          <w:szCs w:val="20"/>
          <w:lang w:val="en-US"/>
        </w:rPr>
        <w:t>.</w:t>
      </w:r>
      <w:r w:rsidR="001871C7" w:rsidRPr="00376823">
        <w:rPr>
          <w:i/>
          <w:sz w:val="20"/>
          <w:szCs w:val="20"/>
          <w:lang w:val="en-US"/>
        </w:rPr>
        <w:t xml:space="preserve"> </w:t>
      </w:r>
      <w:r w:rsidR="00376823" w:rsidRPr="00376823">
        <w:rPr>
          <w:i/>
          <w:sz w:val="20"/>
          <w:szCs w:val="20"/>
          <w:lang w:val="en-US"/>
        </w:rPr>
        <w:t>Green d</w:t>
      </w:r>
      <w:r w:rsidR="00EC577A">
        <w:rPr>
          <w:i/>
          <w:sz w:val="20"/>
          <w:szCs w:val="20"/>
          <w:lang w:val="en-US"/>
        </w:rPr>
        <w:t>ots</w:t>
      </w:r>
      <w:r w:rsidR="00376823" w:rsidRPr="00376823">
        <w:rPr>
          <w:i/>
          <w:sz w:val="20"/>
          <w:szCs w:val="20"/>
          <w:lang w:val="en-US"/>
        </w:rPr>
        <w:t xml:space="preserve"> show</w:t>
      </w:r>
      <w:r w:rsidR="001871C7" w:rsidRPr="00376823">
        <w:rPr>
          <w:i/>
          <w:sz w:val="20"/>
          <w:szCs w:val="20"/>
          <w:lang w:val="en-US"/>
        </w:rPr>
        <w:t xml:space="preserve"> the sector-specific gender gap on flexible </w:t>
      </w:r>
      <w:r w:rsidR="00376823" w:rsidRPr="00376823">
        <w:rPr>
          <w:i/>
          <w:sz w:val="20"/>
          <w:szCs w:val="20"/>
          <w:lang w:val="en-US"/>
        </w:rPr>
        <w:t>working arrangement preferences (in percentage points). Sectors are sorted by this gender gap.</w:t>
      </w:r>
    </w:p>
    <w:p w14:paraId="2AFD085F" w14:textId="77777777" w:rsidR="004E1C22" w:rsidRPr="004E1C22" w:rsidRDefault="004E1C22" w:rsidP="00EC577A">
      <w:pPr>
        <w:jc w:val="both"/>
        <w:rPr>
          <w:i/>
          <w:lang w:val="en-US"/>
        </w:rPr>
      </w:pPr>
      <w:r w:rsidRPr="007C445F">
        <w:rPr>
          <w:i/>
          <w:sz w:val="20"/>
          <w:szCs w:val="20"/>
          <w:lang w:val="en-US"/>
        </w:rPr>
        <w:t xml:space="preserve">Key for sectors: </w:t>
      </w:r>
      <w:r w:rsidRPr="005D79AC">
        <w:rPr>
          <w:i/>
          <w:sz w:val="20"/>
          <w:szCs w:val="20"/>
          <w:lang w:val="en-US"/>
        </w:rPr>
        <w:t>1 =</w:t>
      </w:r>
      <w:r w:rsidRPr="005D79AC">
        <w:rPr>
          <w:rFonts w:ascii="Calibri" w:eastAsia="Times New Roman" w:hAnsi="Calibri" w:cs="Calibri"/>
          <w:i/>
          <w:color w:val="000000"/>
          <w:sz w:val="20"/>
          <w:szCs w:val="20"/>
          <w:lang w:val="en-US"/>
        </w:rPr>
        <w:t xml:space="preserve"> </w:t>
      </w:r>
      <w:r w:rsidR="00D27A99">
        <w:rPr>
          <w:rFonts w:ascii="Calibri" w:eastAsia="Times New Roman" w:hAnsi="Calibri" w:cs="Calibri"/>
          <w:i/>
          <w:color w:val="000000"/>
          <w:sz w:val="20"/>
          <w:szCs w:val="20"/>
          <w:lang w:val="en-US"/>
        </w:rPr>
        <w:t xml:space="preserve">Education, </w:t>
      </w:r>
      <w:r w:rsidR="00D27A99" w:rsidRPr="005D79AC">
        <w:rPr>
          <w:rFonts w:ascii="Calibri" w:eastAsia="Times New Roman" w:hAnsi="Calibri" w:cs="Calibri"/>
          <w:i/>
          <w:color w:val="000000"/>
          <w:sz w:val="20"/>
          <w:szCs w:val="20"/>
          <w:lang w:val="en-US"/>
        </w:rPr>
        <w:t xml:space="preserve">2 = </w:t>
      </w:r>
      <w:r w:rsidR="00D27A99" w:rsidRPr="007C445F">
        <w:rPr>
          <w:rFonts w:ascii="Calibri" w:eastAsia="Times New Roman" w:hAnsi="Calibri" w:cs="Calibri"/>
          <w:i/>
          <w:color w:val="000000"/>
          <w:sz w:val="20"/>
          <w:szCs w:val="20"/>
          <w:lang w:val="en-US"/>
        </w:rPr>
        <w:t>Professional, administrative and support service activities</w:t>
      </w:r>
      <w:r w:rsidR="00D27A99">
        <w:rPr>
          <w:rFonts w:ascii="Calibri" w:eastAsia="Times New Roman" w:hAnsi="Calibri" w:cs="Calibri"/>
          <w:i/>
          <w:color w:val="000000"/>
          <w:sz w:val="20"/>
          <w:szCs w:val="20"/>
          <w:lang w:val="en-US"/>
        </w:rPr>
        <w:t xml:space="preserve">, </w:t>
      </w:r>
      <w:r w:rsidR="00D27A99" w:rsidRPr="005D79AC">
        <w:rPr>
          <w:rFonts w:ascii="Calibri" w:eastAsia="Times New Roman" w:hAnsi="Calibri" w:cs="Calibri"/>
          <w:i/>
          <w:color w:val="000000"/>
          <w:sz w:val="20"/>
          <w:szCs w:val="20"/>
          <w:lang w:val="en-US"/>
        </w:rPr>
        <w:t xml:space="preserve">3 = </w:t>
      </w:r>
      <w:r w:rsidRPr="007C445F">
        <w:rPr>
          <w:rFonts w:ascii="Calibri" w:eastAsia="Times New Roman" w:hAnsi="Calibri" w:cs="Calibri"/>
          <w:i/>
          <w:color w:val="000000"/>
          <w:sz w:val="20"/>
          <w:szCs w:val="20"/>
          <w:lang w:val="en-US"/>
        </w:rPr>
        <w:t>Industry</w:t>
      </w:r>
      <w:r w:rsidRPr="005D79AC">
        <w:rPr>
          <w:rFonts w:ascii="Calibri" w:eastAsia="Times New Roman" w:hAnsi="Calibri" w:cs="Calibri"/>
          <w:i/>
          <w:color w:val="000000"/>
          <w:sz w:val="20"/>
          <w:szCs w:val="20"/>
          <w:lang w:val="en-US"/>
        </w:rPr>
        <w:t xml:space="preserve">, </w:t>
      </w:r>
      <w:r w:rsidR="00D27A99">
        <w:rPr>
          <w:rFonts w:ascii="Calibri" w:eastAsia="Times New Roman" w:hAnsi="Calibri" w:cs="Calibri"/>
          <w:i/>
          <w:color w:val="000000"/>
          <w:sz w:val="20"/>
          <w:szCs w:val="20"/>
          <w:lang w:val="en-US"/>
        </w:rPr>
        <w:br/>
      </w:r>
      <w:r w:rsidR="00D27A99" w:rsidRPr="005D79AC">
        <w:rPr>
          <w:rFonts w:ascii="Calibri" w:eastAsia="Times New Roman" w:hAnsi="Calibri" w:cs="Calibri"/>
          <w:i/>
          <w:color w:val="000000"/>
          <w:sz w:val="20"/>
          <w:szCs w:val="20"/>
          <w:lang w:val="en-US"/>
        </w:rPr>
        <w:t xml:space="preserve">4 = </w:t>
      </w:r>
      <w:r w:rsidRPr="007C445F">
        <w:rPr>
          <w:rFonts w:ascii="Calibri" w:eastAsia="Times New Roman" w:hAnsi="Calibri" w:cs="Calibri"/>
          <w:i/>
          <w:color w:val="000000"/>
          <w:sz w:val="20"/>
          <w:szCs w:val="20"/>
          <w:lang w:val="en-US"/>
        </w:rPr>
        <w:t>Construction</w:t>
      </w:r>
      <w:r w:rsidRPr="005D79AC">
        <w:rPr>
          <w:rFonts w:ascii="Calibri" w:eastAsia="Times New Roman" w:hAnsi="Calibri" w:cs="Calibri"/>
          <w:i/>
          <w:color w:val="000000"/>
          <w:sz w:val="20"/>
          <w:szCs w:val="20"/>
          <w:lang w:val="en-US"/>
        </w:rPr>
        <w:t xml:space="preserve">, </w:t>
      </w:r>
      <w:r w:rsidR="00D27A99" w:rsidRPr="005D79AC">
        <w:rPr>
          <w:rFonts w:ascii="Calibri" w:eastAsia="Times New Roman" w:hAnsi="Calibri" w:cs="Calibri"/>
          <w:i/>
          <w:color w:val="000000"/>
          <w:sz w:val="20"/>
          <w:szCs w:val="20"/>
          <w:lang w:val="en-US"/>
        </w:rPr>
        <w:t xml:space="preserve">5 = </w:t>
      </w:r>
      <w:r w:rsidR="00D27A99" w:rsidRPr="007C445F">
        <w:rPr>
          <w:rFonts w:ascii="Calibri" w:eastAsia="Times New Roman" w:hAnsi="Calibri" w:cs="Calibri"/>
          <w:i/>
          <w:color w:val="000000"/>
          <w:sz w:val="20"/>
          <w:szCs w:val="20"/>
          <w:lang w:val="en-US"/>
        </w:rPr>
        <w:t>Transportation and storage</w:t>
      </w:r>
      <w:r w:rsidR="00D27A99" w:rsidRPr="005D79AC">
        <w:rPr>
          <w:rFonts w:ascii="Calibri" w:eastAsia="Times New Roman" w:hAnsi="Calibri" w:cs="Calibri"/>
          <w:i/>
          <w:color w:val="000000"/>
          <w:sz w:val="20"/>
          <w:szCs w:val="20"/>
          <w:lang w:val="en-US"/>
        </w:rPr>
        <w:t xml:space="preserve">, 6 = </w:t>
      </w:r>
      <w:r w:rsidR="00D27A99" w:rsidRPr="007C445F">
        <w:rPr>
          <w:rFonts w:ascii="Calibri" w:eastAsia="Times New Roman" w:hAnsi="Calibri" w:cs="Calibri"/>
          <w:i/>
          <w:color w:val="000000"/>
          <w:sz w:val="20"/>
          <w:szCs w:val="20"/>
          <w:lang w:val="en-US"/>
        </w:rPr>
        <w:t>Other service activities</w:t>
      </w:r>
      <w:r w:rsidR="00D27A99">
        <w:rPr>
          <w:rFonts w:ascii="Calibri" w:eastAsia="Times New Roman" w:hAnsi="Calibri" w:cs="Calibri"/>
          <w:i/>
          <w:color w:val="000000"/>
          <w:sz w:val="20"/>
          <w:szCs w:val="20"/>
          <w:lang w:val="en-US"/>
        </w:rPr>
        <w:t xml:space="preserve">, </w:t>
      </w:r>
      <w:r w:rsidR="00D27A99" w:rsidRPr="005D79AC">
        <w:rPr>
          <w:rFonts w:ascii="Calibri" w:eastAsia="Times New Roman" w:hAnsi="Calibri" w:cs="Calibri"/>
          <w:i/>
          <w:color w:val="000000"/>
          <w:sz w:val="20"/>
          <w:szCs w:val="20"/>
          <w:lang w:val="en-US"/>
        </w:rPr>
        <w:t xml:space="preserve">7 = </w:t>
      </w:r>
      <w:r w:rsidR="00D27A99" w:rsidRPr="007C445F">
        <w:rPr>
          <w:rFonts w:ascii="Calibri" w:eastAsia="Times New Roman" w:hAnsi="Calibri" w:cs="Calibri"/>
          <w:i/>
          <w:color w:val="000000"/>
          <w:sz w:val="20"/>
          <w:szCs w:val="20"/>
          <w:lang w:val="en-US"/>
        </w:rPr>
        <w:t>Private households with employed persons</w:t>
      </w:r>
      <w:r w:rsidR="00D27A99">
        <w:rPr>
          <w:rFonts w:ascii="Calibri" w:eastAsia="Times New Roman" w:hAnsi="Calibri" w:cs="Calibri"/>
          <w:i/>
          <w:color w:val="000000"/>
          <w:sz w:val="20"/>
          <w:szCs w:val="20"/>
          <w:lang w:val="en-US"/>
        </w:rPr>
        <w:t xml:space="preserve">, </w:t>
      </w:r>
      <w:r w:rsidR="00D27A99" w:rsidRPr="005D79AC">
        <w:rPr>
          <w:rFonts w:ascii="Calibri" w:eastAsia="Times New Roman" w:hAnsi="Calibri" w:cs="Calibri"/>
          <w:i/>
          <w:color w:val="000000"/>
          <w:sz w:val="20"/>
          <w:szCs w:val="20"/>
          <w:lang w:val="en-US"/>
        </w:rPr>
        <w:t>8 =</w:t>
      </w:r>
      <w:r w:rsidR="00D27A99" w:rsidRPr="007C445F">
        <w:rPr>
          <w:rFonts w:ascii="Calibri" w:eastAsia="Times New Roman" w:hAnsi="Calibri" w:cs="Calibri"/>
          <w:i/>
          <w:color w:val="000000"/>
          <w:sz w:val="20"/>
          <w:szCs w:val="20"/>
          <w:lang w:val="en-US"/>
        </w:rPr>
        <w:t xml:space="preserve"> </w:t>
      </w:r>
      <w:r w:rsidR="00D27A99" w:rsidRPr="005D79AC">
        <w:rPr>
          <w:rFonts w:ascii="Calibri" w:eastAsia="Times New Roman" w:hAnsi="Calibri" w:cs="Calibri"/>
          <w:i/>
          <w:color w:val="000000"/>
          <w:sz w:val="20"/>
          <w:szCs w:val="20"/>
          <w:lang w:val="en-US"/>
        </w:rPr>
        <w:t>Financial and insurance activities,</w:t>
      </w:r>
      <w:r w:rsidR="00D27A99">
        <w:rPr>
          <w:rFonts w:ascii="Calibri" w:eastAsia="Times New Roman" w:hAnsi="Calibri" w:cs="Calibri"/>
          <w:i/>
          <w:color w:val="000000"/>
          <w:sz w:val="20"/>
          <w:szCs w:val="20"/>
          <w:lang w:val="en-US"/>
        </w:rPr>
        <w:t xml:space="preserve"> 9</w:t>
      </w:r>
      <w:r w:rsidR="00D27A99" w:rsidRPr="005D79AC">
        <w:rPr>
          <w:rFonts w:ascii="Calibri" w:eastAsia="Times New Roman" w:hAnsi="Calibri" w:cs="Calibri"/>
          <w:i/>
          <w:color w:val="000000"/>
          <w:sz w:val="20"/>
          <w:szCs w:val="20"/>
          <w:lang w:val="en-US"/>
        </w:rPr>
        <w:t xml:space="preserve"> = </w:t>
      </w:r>
      <w:r w:rsidR="00D27A99" w:rsidRPr="007C445F">
        <w:rPr>
          <w:rFonts w:ascii="Calibri" w:eastAsia="Times New Roman" w:hAnsi="Calibri" w:cs="Calibri"/>
          <w:i/>
          <w:color w:val="000000"/>
          <w:sz w:val="20"/>
          <w:szCs w:val="20"/>
          <w:lang w:val="en-US"/>
        </w:rPr>
        <w:t>Accommodation and food service activities</w:t>
      </w:r>
      <w:r w:rsidR="00D27A99" w:rsidRPr="005D79AC">
        <w:rPr>
          <w:rFonts w:ascii="Calibri" w:eastAsia="Times New Roman" w:hAnsi="Calibri" w:cs="Calibri"/>
          <w:i/>
          <w:color w:val="000000"/>
          <w:sz w:val="20"/>
          <w:szCs w:val="20"/>
          <w:lang w:val="en-US"/>
        </w:rPr>
        <w:t>, 1</w:t>
      </w:r>
      <w:r w:rsidR="00D27A99">
        <w:rPr>
          <w:rFonts w:ascii="Calibri" w:eastAsia="Times New Roman" w:hAnsi="Calibri" w:cs="Calibri"/>
          <w:i/>
          <w:color w:val="000000"/>
          <w:sz w:val="20"/>
          <w:szCs w:val="20"/>
          <w:lang w:val="en-US"/>
        </w:rPr>
        <w:t>0</w:t>
      </w:r>
      <w:r w:rsidR="00D27A99" w:rsidRPr="005D79AC">
        <w:rPr>
          <w:rFonts w:ascii="Calibri" w:eastAsia="Times New Roman" w:hAnsi="Calibri" w:cs="Calibri"/>
          <w:i/>
          <w:color w:val="000000"/>
          <w:sz w:val="20"/>
          <w:szCs w:val="20"/>
          <w:lang w:val="en-US"/>
        </w:rPr>
        <w:t xml:space="preserve"> = </w:t>
      </w:r>
      <w:r w:rsidR="00D27A99" w:rsidRPr="007C445F">
        <w:rPr>
          <w:rFonts w:ascii="Calibri" w:eastAsia="Times New Roman" w:hAnsi="Calibri" w:cs="Calibri"/>
          <w:i/>
          <w:color w:val="000000"/>
          <w:sz w:val="20"/>
          <w:szCs w:val="20"/>
          <w:lang w:val="en-US"/>
        </w:rPr>
        <w:t>Work from home</w:t>
      </w:r>
      <w:r w:rsidR="00D27A99">
        <w:rPr>
          <w:rFonts w:ascii="Calibri" w:eastAsia="Times New Roman" w:hAnsi="Calibri" w:cs="Calibri"/>
          <w:i/>
          <w:color w:val="000000"/>
          <w:sz w:val="20"/>
          <w:szCs w:val="20"/>
          <w:lang w:val="en-US"/>
        </w:rPr>
        <w:t xml:space="preserve">, </w:t>
      </w:r>
      <w:r w:rsidR="00FF7C8E" w:rsidRPr="005D79AC">
        <w:rPr>
          <w:rFonts w:ascii="Calibri" w:eastAsia="Times New Roman" w:hAnsi="Calibri" w:cs="Calibri"/>
          <w:i/>
          <w:color w:val="000000"/>
          <w:sz w:val="20"/>
          <w:szCs w:val="20"/>
          <w:lang w:val="en-US"/>
        </w:rPr>
        <w:t>1</w:t>
      </w:r>
      <w:r w:rsidR="00FF7C8E">
        <w:rPr>
          <w:rFonts w:ascii="Calibri" w:eastAsia="Times New Roman" w:hAnsi="Calibri" w:cs="Calibri"/>
          <w:i/>
          <w:color w:val="000000"/>
          <w:sz w:val="20"/>
          <w:szCs w:val="20"/>
          <w:lang w:val="en-US"/>
        </w:rPr>
        <w:t>1</w:t>
      </w:r>
      <w:r w:rsidR="00FF7C8E" w:rsidRPr="005D79AC">
        <w:rPr>
          <w:rFonts w:ascii="Calibri" w:eastAsia="Times New Roman" w:hAnsi="Calibri" w:cs="Calibri"/>
          <w:i/>
          <w:color w:val="000000"/>
          <w:sz w:val="20"/>
          <w:szCs w:val="20"/>
          <w:lang w:val="en-US"/>
        </w:rPr>
        <w:t xml:space="preserve"> = </w:t>
      </w:r>
      <w:r w:rsidR="00FF7C8E" w:rsidRPr="007C445F">
        <w:rPr>
          <w:rFonts w:ascii="Calibri" w:eastAsia="Times New Roman" w:hAnsi="Calibri" w:cs="Calibri"/>
          <w:i/>
          <w:color w:val="000000"/>
          <w:sz w:val="20"/>
          <w:szCs w:val="20"/>
          <w:lang w:val="en-US"/>
        </w:rPr>
        <w:t>Information and communication</w:t>
      </w:r>
      <w:r w:rsidR="00FF7C8E">
        <w:rPr>
          <w:rFonts w:ascii="Calibri" w:eastAsia="Times New Roman" w:hAnsi="Calibri" w:cs="Calibri"/>
          <w:i/>
          <w:color w:val="000000"/>
          <w:sz w:val="20"/>
          <w:szCs w:val="20"/>
          <w:lang w:val="en-US"/>
        </w:rPr>
        <w:t xml:space="preserve">, </w:t>
      </w:r>
      <w:r w:rsidR="00FF7C8E" w:rsidRPr="005D79AC">
        <w:rPr>
          <w:rFonts w:ascii="Calibri" w:eastAsia="Times New Roman" w:hAnsi="Calibri" w:cs="Calibri"/>
          <w:i/>
          <w:color w:val="000000"/>
          <w:sz w:val="20"/>
          <w:szCs w:val="20"/>
          <w:lang w:val="en-US"/>
        </w:rPr>
        <w:t>1</w:t>
      </w:r>
      <w:r w:rsidR="00FF7C8E">
        <w:rPr>
          <w:rFonts w:ascii="Calibri" w:eastAsia="Times New Roman" w:hAnsi="Calibri" w:cs="Calibri"/>
          <w:i/>
          <w:color w:val="000000"/>
          <w:sz w:val="20"/>
          <w:szCs w:val="20"/>
          <w:lang w:val="en-US"/>
        </w:rPr>
        <w:t>2</w:t>
      </w:r>
      <w:r w:rsidR="00FF7C8E" w:rsidRPr="005D79AC">
        <w:rPr>
          <w:rFonts w:ascii="Calibri" w:eastAsia="Times New Roman" w:hAnsi="Calibri" w:cs="Calibri"/>
          <w:i/>
          <w:color w:val="000000"/>
          <w:sz w:val="20"/>
          <w:szCs w:val="20"/>
          <w:lang w:val="en-US"/>
        </w:rPr>
        <w:t xml:space="preserve"> = </w:t>
      </w:r>
      <w:r w:rsidR="00FF7C8E" w:rsidRPr="007C445F">
        <w:rPr>
          <w:rFonts w:ascii="Calibri" w:eastAsia="Times New Roman" w:hAnsi="Calibri" w:cs="Calibri"/>
          <w:i/>
          <w:color w:val="000000"/>
          <w:sz w:val="20"/>
          <w:szCs w:val="20"/>
          <w:lang w:val="en-US"/>
        </w:rPr>
        <w:t>Arts, entertainment and recreation</w:t>
      </w:r>
      <w:r w:rsidR="00FF7C8E" w:rsidRPr="005D79AC">
        <w:rPr>
          <w:rFonts w:ascii="Calibri" w:eastAsia="Times New Roman" w:hAnsi="Calibri" w:cs="Calibri"/>
          <w:i/>
          <w:color w:val="000000"/>
          <w:sz w:val="20"/>
          <w:szCs w:val="20"/>
          <w:lang w:val="en-US"/>
        </w:rPr>
        <w:t>, 1</w:t>
      </w:r>
      <w:r w:rsidR="00FF7C8E">
        <w:rPr>
          <w:rFonts w:ascii="Calibri" w:eastAsia="Times New Roman" w:hAnsi="Calibri" w:cs="Calibri"/>
          <w:i/>
          <w:color w:val="000000"/>
          <w:sz w:val="20"/>
          <w:szCs w:val="20"/>
          <w:lang w:val="en-US"/>
        </w:rPr>
        <w:t>3</w:t>
      </w:r>
      <w:r w:rsidR="00FF7C8E" w:rsidRPr="005D79AC">
        <w:rPr>
          <w:rFonts w:ascii="Calibri" w:eastAsia="Times New Roman" w:hAnsi="Calibri" w:cs="Calibri"/>
          <w:i/>
          <w:color w:val="000000"/>
          <w:sz w:val="20"/>
          <w:szCs w:val="20"/>
          <w:lang w:val="en-US"/>
        </w:rPr>
        <w:t xml:space="preserve"> =</w:t>
      </w:r>
      <w:r w:rsidR="00FF7C8E" w:rsidRPr="00FF7C8E">
        <w:rPr>
          <w:rFonts w:ascii="Calibri" w:eastAsia="Times New Roman" w:hAnsi="Calibri" w:cs="Calibri"/>
          <w:i/>
          <w:color w:val="000000"/>
          <w:sz w:val="20"/>
          <w:szCs w:val="20"/>
          <w:lang w:val="en-US"/>
        </w:rPr>
        <w:t xml:space="preserve"> </w:t>
      </w:r>
      <w:r w:rsidR="00FF7C8E" w:rsidRPr="007C445F">
        <w:rPr>
          <w:rFonts w:ascii="Calibri" w:eastAsia="Times New Roman" w:hAnsi="Calibri" w:cs="Calibri"/>
          <w:i/>
          <w:color w:val="000000"/>
          <w:sz w:val="20"/>
          <w:szCs w:val="20"/>
          <w:lang w:val="en-US"/>
        </w:rPr>
        <w:t>Work for students</w:t>
      </w:r>
      <w:r w:rsidR="00FF7C8E">
        <w:rPr>
          <w:rFonts w:ascii="Calibri" w:eastAsia="Times New Roman" w:hAnsi="Calibri" w:cs="Calibri"/>
          <w:i/>
          <w:color w:val="000000"/>
          <w:sz w:val="20"/>
          <w:szCs w:val="20"/>
          <w:lang w:val="en-US"/>
        </w:rPr>
        <w:t xml:space="preserve">, </w:t>
      </w:r>
      <w:r w:rsidR="00FF7C8E" w:rsidRPr="005D79AC">
        <w:rPr>
          <w:rFonts w:ascii="Calibri" w:eastAsia="Times New Roman" w:hAnsi="Calibri" w:cs="Calibri"/>
          <w:i/>
          <w:color w:val="000000"/>
          <w:sz w:val="20"/>
          <w:szCs w:val="20"/>
          <w:lang w:val="en-US"/>
        </w:rPr>
        <w:t>1</w:t>
      </w:r>
      <w:r w:rsidR="00FF7C8E">
        <w:rPr>
          <w:rFonts w:ascii="Calibri" w:eastAsia="Times New Roman" w:hAnsi="Calibri" w:cs="Calibri"/>
          <w:i/>
          <w:color w:val="000000"/>
          <w:sz w:val="20"/>
          <w:szCs w:val="20"/>
          <w:lang w:val="en-US"/>
        </w:rPr>
        <w:t>4</w:t>
      </w:r>
      <w:r w:rsidR="00FF7C8E" w:rsidRPr="005D79AC">
        <w:rPr>
          <w:rFonts w:ascii="Calibri" w:eastAsia="Times New Roman" w:hAnsi="Calibri" w:cs="Calibri"/>
          <w:i/>
          <w:color w:val="000000"/>
          <w:sz w:val="20"/>
          <w:szCs w:val="20"/>
          <w:lang w:val="en-US"/>
        </w:rPr>
        <w:t xml:space="preserve"> =</w:t>
      </w:r>
      <w:r w:rsidR="00FF7C8E">
        <w:rPr>
          <w:rFonts w:ascii="Calibri" w:eastAsia="Times New Roman" w:hAnsi="Calibri" w:cs="Calibri"/>
          <w:i/>
          <w:color w:val="000000"/>
          <w:sz w:val="20"/>
          <w:szCs w:val="20"/>
          <w:lang w:val="en-US"/>
        </w:rPr>
        <w:t xml:space="preserve"> </w:t>
      </w:r>
      <w:r w:rsidR="00FF7C8E" w:rsidRPr="007C445F">
        <w:rPr>
          <w:rFonts w:ascii="Calibri" w:eastAsia="Times New Roman" w:hAnsi="Calibri" w:cs="Calibri"/>
          <w:i/>
          <w:color w:val="000000"/>
          <w:sz w:val="20"/>
          <w:szCs w:val="20"/>
          <w:lang w:val="en-US"/>
        </w:rPr>
        <w:t>Health care</w:t>
      </w:r>
      <w:r w:rsidR="00FF7C8E" w:rsidRPr="005D79AC">
        <w:rPr>
          <w:rFonts w:ascii="Calibri" w:eastAsia="Times New Roman" w:hAnsi="Calibri" w:cs="Calibri"/>
          <w:i/>
          <w:color w:val="000000"/>
          <w:sz w:val="20"/>
          <w:szCs w:val="20"/>
          <w:lang w:val="en-US"/>
        </w:rPr>
        <w:t>, 1</w:t>
      </w:r>
      <w:r w:rsidR="00FF7C8E">
        <w:rPr>
          <w:rFonts w:ascii="Calibri" w:eastAsia="Times New Roman" w:hAnsi="Calibri" w:cs="Calibri"/>
          <w:i/>
          <w:color w:val="000000"/>
          <w:sz w:val="20"/>
          <w:szCs w:val="20"/>
          <w:lang w:val="en-US"/>
        </w:rPr>
        <w:t>5</w:t>
      </w:r>
      <w:r w:rsidR="00FF7C8E" w:rsidRPr="005D79AC">
        <w:rPr>
          <w:rFonts w:ascii="Calibri" w:eastAsia="Times New Roman" w:hAnsi="Calibri" w:cs="Calibri"/>
          <w:i/>
          <w:color w:val="000000"/>
          <w:sz w:val="20"/>
          <w:szCs w:val="20"/>
          <w:lang w:val="en-US"/>
        </w:rPr>
        <w:t xml:space="preserve"> =</w:t>
      </w:r>
      <w:r w:rsidR="00FF7C8E">
        <w:rPr>
          <w:rFonts w:ascii="Calibri" w:eastAsia="Times New Roman" w:hAnsi="Calibri" w:cs="Calibri"/>
          <w:i/>
          <w:color w:val="000000"/>
          <w:sz w:val="20"/>
          <w:szCs w:val="20"/>
          <w:lang w:val="en-US"/>
        </w:rPr>
        <w:t xml:space="preserve"> </w:t>
      </w:r>
      <w:r w:rsidRPr="007C445F">
        <w:rPr>
          <w:rFonts w:ascii="Calibri" w:eastAsia="Times New Roman" w:hAnsi="Calibri" w:cs="Calibri"/>
          <w:i/>
          <w:color w:val="000000"/>
          <w:sz w:val="20"/>
          <w:szCs w:val="20"/>
          <w:lang w:val="en-US"/>
        </w:rPr>
        <w:t>Trade</w:t>
      </w:r>
      <w:r w:rsidR="00653950">
        <w:rPr>
          <w:rFonts w:ascii="Calibri" w:eastAsia="Times New Roman" w:hAnsi="Calibri" w:cs="Calibri"/>
          <w:i/>
          <w:color w:val="000000"/>
          <w:sz w:val="20"/>
          <w:szCs w:val="20"/>
          <w:lang w:val="en-US"/>
        </w:rPr>
        <w:t xml:space="preserve">. </w:t>
      </w:r>
      <w:r w:rsidR="00653950" w:rsidRPr="00653950">
        <w:rPr>
          <w:rFonts w:ascii="Calibri" w:eastAsia="Times New Roman" w:hAnsi="Calibri" w:cs="Calibri"/>
          <w:i/>
          <w:color w:val="000000"/>
          <w:sz w:val="20"/>
          <w:szCs w:val="20"/>
          <w:lang w:val="en-US"/>
        </w:rPr>
        <w:t xml:space="preserve">Agriculture, Real estate Activities, Public Administration, </w:t>
      </w:r>
      <w:r w:rsidRPr="00653950">
        <w:rPr>
          <w:rFonts w:ascii="Calibri" w:eastAsia="Times New Roman" w:hAnsi="Calibri" w:cs="Calibri"/>
          <w:i/>
          <w:color w:val="000000"/>
          <w:sz w:val="20"/>
          <w:szCs w:val="20"/>
          <w:lang w:val="en-US"/>
        </w:rPr>
        <w:t>Work abroad</w:t>
      </w:r>
      <w:r w:rsidR="00653950" w:rsidRPr="00653950">
        <w:rPr>
          <w:rFonts w:ascii="Calibri" w:eastAsia="Times New Roman" w:hAnsi="Calibri" w:cs="Calibri"/>
          <w:i/>
          <w:color w:val="000000"/>
          <w:sz w:val="20"/>
          <w:szCs w:val="20"/>
          <w:lang w:val="en-US"/>
        </w:rPr>
        <w:t>,</w:t>
      </w:r>
      <w:r w:rsidR="00F23CF9" w:rsidRPr="00653950">
        <w:rPr>
          <w:rFonts w:ascii="Calibri" w:eastAsia="Times New Roman" w:hAnsi="Calibri" w:cs="Calibri"/>
          <w:i/>
          <w:color w:val="000000"/>
          <w:sz w:val="20"/>
          <w:szCs w:val="20"/>
          <w:lang w:val="en-US"/>
        </w:rPr>
        <w:t xml:space="preserve"> </w:t>
      </w:r>
      <w:r w:rsidR="00653950" w:rsidRPr="00653950">
        <w:rPr>
          <w:rFonts w:ascii="Calibri" w:eastAsia="Times New Roman" w:hAnsi="Calibri" w:cs="Calibri"/>
          <w:i/>
          <w:color w:val="000000"/>
          <w:sz w:val="20"/>
          <w:szCs w:val="20"/>
          <w:lang w:val="en-US"/>
        </w:rPr>
        <w:t xml:space="preserve">and </w:t>
      </w:r>
      <w:r w:rsidRPr="00653950">
        <w:rPr>
          <w:rFonts w:ascii="Calibri" w:eastAsia="Times New Roman" w:hAnsi="Calibri" w:cs="Calibri"/>
          <w:i/>
          <w:color w:val="000000"/>
          <w:sz w:val="20"/>
          <w:szCs w:val="20"/>
          <w:lang w:val="en-US"/>
        </w:rPr>
        <w:t>Top management</w:t>
      </w:r>
      <w:r w:rsidR="00F23CF9" w:rsidRPr="00653950">
        <w:rPr>
          <w:rFonts w:ascii="Calibri" w:eastAsia="Times New Roman" w:hAnsi="Calibri" w:cs="Calibri"/>
          <w:i/>
          <w:color w:val="000000"/>
          <w:sz w:val="20"/>
          <w:szCs w:val="20"/>
          <w:lang w:val="en-US"/>
        </w:rPr>
        <w:t xml:space="preserve"> </w:t>
      </w:r>
      <w:r w:rsidR="00653950" w:rsidRPr="00653950">
        <w:rPr>
          <w:rFonts w:ascii="Calibri" w:eastAsia="Times New Roman" w:hAnsi="Calibri" w:cs="Calibri"/>
          <w:i/>
          <w:color w:val="000000"/>
          <w:sz w:val="20"/>
          <w:szCs w:val="20"/>
          <w:lang w:val="en-US"/>
        </w:rPr>
        <w:t xml:space="preserve">are </w:t>
      </w:r>
      <w:r w:rsidR="00F23CF9" w:rsidRPr="00653950">
        <w:rPr>
          <w:rFonts w:ascii="Calibri" w:eastAsia="Times New Roman" w:hAnsi="Calibri" w:cs="Calibri"/>
          <w:i/>
          <w:color w:val="000000"/>
          <w:sz w:val="20"/>
          <w:szCs w:val="20"/>
          <w:lang w:val="en-US"/>
        </w:rPr>
        <w:t xml:space="preserve">not shown because of the small number of </w:t>
      </w:r>
      <w:r w:rsidR="00653950" w:rsidRPr="00653950">
        <w:rPr>
          <w:rFonts w:ascii="Calibri" w:eastAsia="Times New Roman" w:hAnsi="Calibri" w:cs="Calibri"/>
          <w:i/>
          <w:color w:val="000000"/>
          <w:sz w:val="20"/>
          <w:szCs w:val="20"/>
          <w:lang w:val="en-US"/>
        </w:rPr>
        <w:t>job seekers looking for other than full-time employment.</w:t>
      </w:r>
    </w:p>
    <w:p w14:paraId="4836E2A1" w14:textId="3A394D40" w:rsidR="006E3C3E" w:rsidRDefault="00E91BC3" w:rsidP="00EE52B3">
      <w:pPr>
        <w:spacing w:before="240"/>
        <w:jc w:val="both"/>
        <w:rPr>
          <w:lang w:val="en-US"/>
        </w:rPr>
      </w:pPr>
      <w:r w:rsidRPr="00F07F28">
        <w:rPr>
          <w:b/>
          <w:lang w:val="en-US"/>
        </w:rPr>
        <w:t xml:space="preserve">Analysis of resumes posted by female and male job seekers reveals that women are less </w:t>
      </w:r>
      <w:r w:rsidR="00DC211E" w:rsidRPr="00F07F28">
        <w:rPr>
          <w:b/>
          <w:lang w:val="en-US"/>
        </w:rPr>
        <w:t xml:space="preserve">mobile </w:t>
      </w:r>
      <w:r w:rsidR="00D37895" w:rsidRPr="00F07F28">
        <w:rPr>
          <w:b/>
          <w:lang w:val="en-US"/>
        </w:rPr>
        <w:t xml:space="preserve">in the labor market </w:t>
      </w:r>
      <w:r w:rsidR="00DC211E" w:rsidRPr="00F07F28">
        <w:rPr>
          <w:b/>
          <w:lang w:val="en-US"/>
        </w:rPr>
        <w:t>compared to men</w:t>
      </w:r>
      <w:r w:rsidR="00DC211E">
        <w:rPr>
          <w:lang w:val="en-US"/>
        </w:rPr>
        <w:t xml:space="preserve"> – they are</w:t>
      </w:r>
      <w:r w:rsidR="00012505">
        <w:rPr>
          <w:lang w:val="en-US"/>
        </w:rPr>
        <w:t xml:space="preserve"> </w:t>
      </w:r>
      <w:r w:rsidR="00D37895">
        <w:rPr>
          <w:lang w:val="en-US"/>
        </w:rPr>
        <w:t xml:space="preserve">significantly </w:t>
      </w:r>
      <w:r w:rsidR="00012505">
        <w:rPr>
          <w:lang w:val="en-US"/>
        </w:rPr>
        <w:t xml:space="preserve">less </w:t>
      </w:r>
      <w:r>
        <w:rPr>
          <w:lang w:val="en-US"/>
        </w:rPr>
        <w:t>likely to</w:t>
      </w:r>
      <w:r w:rsidR="00BB639C">
        <w:rPr>
          <w:lang w:val="en-US"/>
        </w:rPr>
        <w:t xml:space="preserve"> report willingness to</w:t>
      </w:r>
      <w:r>
        <w:rPr>
          <w:lang w:val="en-US"/>
        </w:rPr>
        <w:t xml:space="preserve"> </w:t>
      </w:r>
      <w:r w:rsidR="00DC211E">
        <w:rPr>
          <w:lang w:val="en-US"/>
        </w:rPr>
        <w:t>move to another city if needed for a job (</w:t>
      </w:r>
      <w:r w:rsidR="00DC211E">
        <w:rPr>
          <w:lang w:val="en-US"/>
        </w:rPr>
        <w:fldChar w:fldCharType="begin"/>
      </w:r>
      <w:r w:rsidR="00DC211E">
        <w:rPr>
          <w:lang w:val="en-US"/>
        </w:rPr>
        <w:instrText xml:space="preserve"> REF _Ref521502073 \h </w:instrText>
      </w:r>
      <w:r w:rsidR="00DC211E">
        <w:rPr>
          <w:lang w:val="en-US"/>
        </w:rPr>
      </w:r>
      <w:r w:rsidR="00DC211E">
        <w:rPr>
          <w:lang w:val="en-US"/>
        </w:rPr>
        <w:fldChar w:fldCharType="separate"/>
      </w:r>
      <w:r w:rsidR="00F07F28">
        <w:t xml:space="preserve">Figure </w:t>
      </w:r>
      <w:r w:rsidR="00F07F28">
        <w:rPr>
          <w:noProof/>
        </w:rPr>
        <w:t>30</w:t>
      </w:r>
      <w:r w:rsidR="00DC211E">
        <w:rPr>
          <w:lang w:val="en-US"/>
        </w:rPr>
        <w:fldChar w:fldCharType="end"/>
      </w:r>
      <w:r w:rsidR="00DC211E">
        <w:rPr>
          <w:lang w:val="en-US"/>
        </w:rPr>
        <w:t xml:space="preserve">) and they </w:t>
      </w:r>
      <w:r w:rsidR="00D37895">
        <w:rPr>
          <w:lang w:val="en-US"/>
        </w:rPr>
        <w:t xml:space="preserve">report lower </w:t>
      </w:r>
      <w:r w:rsidR="00DC211E">
        <w:rPr>
          <w:lang w:val="en-US"/>
        </w:rPr>
        <w:t>availab</w:t>
      </w:r>
      <w:r w:rsidR="00D37895">
        <w:rPr>
          <w:lang w:val="en-US"/>
        </w:rPr>
        <w:t>ility</w:t>
      </w:r>
      <w:r w:rsidR="00DC211E">
        <w:rPr>
          <w:lang w:val="en-US"/>
        </w:rPr>
        <w:t xml:space="preserve"> </w:t>
      </w:r>
      <w:r w:rsidR="00D37895">
        <w:rPr>
          <w:lang w:val="en-US"/>
        </w:rPr>
        <w:t>for</w:t>
      </w:r>
      <w:r w:rsidR="00DC211E">
        <w:rPr>
          <w:lang w:val="en-US"/>
        </w:rPr>
        <w:t xml:space="preserve"> business trips (</w:t>
      </w:r>
      <w:r w:rsidR="00DC211E">
        <w:rPr>
          <w:lang w:val="en-US"/>
        </w:rPr>
        <w:fldChar w:fldCharType="begin"/>
      </w:r>
      <w:r w:rsidR="00DC211E">
        <w:rPr>
          <w:lang w:val="en-US"/>
        </w:rPr>
        <w:instrText xml:space="preserve"> REF _Ref521502075 \h </w:instrText>
      </w:r>
      <w:r w:rsidR="00DC211E">
        <w:rPr>
          <w:lang w:val="en-US"/>
        </w:rPr>
      </w:r>
      <w:r w:rsidR="00DC211E">
        <w:rPr>
          <w:lang w:val="en-US"/>
        </w:rPr>
        <w:fldChar w:fldCharType="separate"/>
      </w:r>
      <w:r w:rsidR="00F07F28">
        <w:t xml:space="preserve">Figure </w:t>
      </w:r>
      <w:r w:rsidR="00F07F28">
        <w:rPr>
          <w:noProof/>
        </w:rPr>
        <w:t>31</w:t>
      </w:r>
      <w:r w:rsidR="00DC211E">
        <w:rPr>
          <w:lang w:val="en-US"/>
        </w:rPr>
        <w:fldChar w:fldCharType="end"/>
      </w:r>
      <w:r w:rsidR="00DC211E">
        <w:rPr>
          <w:lang w:val="en-US"/>
        </w:rPr>
        <w:t xml:space="preserve">). </w:t>
      </w:r>
      <w:r w:rsidR="00D37895">
        <w:rPr>
          <w:lang w:val="en-US"/>
        </w:rPr>
        <w:t xml:space="preserve">Overall, the proportion of job seekers ready to move to another city is quite low (10.9 percent among women and 19.6 percent among men). </w:t>
      </w:r>
      <w:r w:rsidR="00BB639C">
        <w:rPr>
          <w:lang w:val="en-US"/>
        </w:rPr>
        <w:t xml:space="preserve">This </w:t>
      </w:r>
      <w:r w:rsidR="00D37895">
        <w:rPr>
          <w:lang w:val="en-US"/>
        </w:rPr>
        <w:t xml:space="preserve">is not surprising as the vast majority of job seekers in our sample live in the most economically developed cities (Chisinau and </w:t>
      </w:r>
      <w:proofErr w:type="spellStart"/>
      <w:r w:rsidR="00D37895">
        <w:rPr>
          <w:lang w:val="en-US"/>
        </w:rPr>
        <w:t>Balti</w:t>
      </w:r>
      <w:proofErr w:type="spellEnd"/>
      <w:r w:rsidR="00D37895">
        <w:rPr>
          <w:lang w:val="en-US"/>
        </w:rPr>
        <w:t xml:space="preserve">). </w:t>
      </w:r>
      <w:r w:rsidR="008A098F">
        <w:rPr>
          <w:lang w:val="en-US"/>
        </w:rPr>
        <w:t>The cities with the highest mobility potential (over 50 percent of job seekers are ready to relocate of necessary) are</w:t>
      </w:r>
      <w:r w:rsidR="00D37895">
        <w:rPr>
          <w:lang w:val="en-US"/>
        </w:rPr>
        <w:t xml:space="preserve"> </w:t>
      </w:r>
      <w:proofErr w:type="spellStart"/>
      <w:r w:rsidR="008A098F" w:rsidRPr="006E3C3E">
        <w:rPr>
          <w:rFonts w:ascii="Calibri" w:eastAsia="Times New Roman" w:hAnsi="Calibri" w:cs="Calibri"/>
          <w:color w:val="000000"/>
          <w:lang w:val="en-US"/>
        </w:rPr>
        <w:t>Criuleni</w:t>
      </w:r>
      <w:proofErr w:type="spellEnd"/>
      <w:r w:rsidR="008A098F">
        <w:rPr>
          <w:rFonts w:ascii="Calibri" w:eastAsia="Times New Roman" w:hAnsi="Calibri" w:cs="Calibri"/>
          <w:color w:val="000000"/>
          <w:lang w:val="en-US"/>
        </w:rPr>
        <w:t>,</w:t>
      </w:r>
      <w:r w:rsidR="008A098F" w:rsidRPr="008A098F">
        <w:rPr>
          <w:rFonts w:ascii="Calibri" w:eastAsia="Times New Roman" w:hAnsi="Calibri" w:cs="Calibri"/>
          <w:color w:val="000000"/>
          <w:lang w:val="en-US"/>
        </w:rPr>
        <w:t xml:space="preserve"> </w:t>
      </w:r>
      <w:proofErr w:type="spellStart"/>
      <w:r w:rsidR="008A098F" w:rsidRPr="006E3C3E">
        <w:rPr>
          <w:rFonts w:ascii="Calibri" w:eastAsia="Times New Roman" w:hAnsi="Calibri" w:cs="Calibri"/>
          <w:color w:val="000000"/>
          <w:lang w:val="en-US"/>
        </w:rPr>
        <w:t>Leova</w:t>
      </w:r>
      <w:proofErr w:type="spellEnd"/>
      <w:r w:rsidR="008A098F">
        <w:rPr>
          <w:rFonts w:ascii="Calibri" w:eastAsia="Times New Roman" w:hAnsi="Calibri" w:cs="Calibri"/>
          <w:color w:val="000000"/>
          <w:lang w:val="en-US"/>
        </w:rPr>
        <w:t>,</w:t>
      </w:r>
      <w:r w:rsidR="008A098F" w:rsidRPr="008A098F">
        <w:rPr>
          <w:rFonts w:ascii="Calibri" w:eastAsia="Times New Roman" w:hAnsi="Calibri" w:cs="Calibri"/>
          <w:color w:val="000000"/>
          <w:lang w:val="en-US"/>
        </w:rPr>
        <w:t xml:space="preserve"> </w:t>
      </w:r>
      <w:proofErr w:type="spellStart"/>
      <w:r w:rsidR="008A098F" w:rsidRPr="006E3C3E">
        <w:rPr>
          <w:rFonts w:ascii="Calibri" w:eastAsia="Times New Roman" w:hAnsi="Calibri" w:cs="Calibri"/>
          <w:color w:val="000000"/>
          <w:lang w:val="en-US"/>
        </w:rPr>
        <w:t>Hincesti</w:t>
      </w:r>
      <w:proofErr w:type="spellEnd"/>
      <w:r w:rsidR="008A098F">
        <w:rPr>
          <w:rFonts w:ascii="Calibri" w:eastAsia="Times New Roman" w:hAnsi="Calibri" w:cs="Calibri"/>
          <w:color w:val="000000"/>
          <w:lang w:val="en-US"/>
        </w:rPr>
        <w:t>,</w:t>
      </w:r>
      <w:r w:rsidR="008A098F" w:rsidRPr="006E3C3E">
        <w:rPr>
          <w:rFonts w:ascii="Calibri" w:eastAsia="Times New Roman" w:hAnsi="Calibri" w:cs="Calibri"/>
          <w:color w:val="000000"/>
          <w:lang w:val="en-US"/>
        </w:rPr>
        <w:t xml:space="preserve"> </w:t>
      </w:r>
      <w:proofErr w:type="spellStart"/>
      <w:r w:rsidR="008A098F" w:rsidRPr="006E3C3E">
        <w:rPr>
          <w:rFonts w:ascii="Calibri" w:eastAsia="Times New Roman" w:hAnsi="Calibri" w:cs="Calibri"/>
          <w:color w:val="000000"/>
          <w:lang w:val="en-US"/>
        </w:rPr>
        <w:t>Singerei</w:t>
      </w:r>
      <w:proofErr w:type="spellEnd"/>
      <w:r w:rsidR="008A098F">
        <w:rPr>
          <w:rFonts w:ascii="Calibri" w:eastAsia="Times New Roman" w:hAnsi="Calibri" w:cs="Calibri"/>
          <w:color w:val="000000"/>
          <w:lang w:val="en-US"/>
        </w:rPr>
        <w:t>,</w:t>
      </w:r>
      <w:r w:rsidR="008A098F" w:rsidRPr="006E3C3E">
        <w:rPr>
          <w:rFonts w:ascii="Calibri" w:eastAsia="Times New Roman" w:hAnsi="Calibri" w:cs="Calibri"/>
          <w:color w:val="000000"/>
          <w:lang w:val="en-US"/>
        </w:rPr>
        <w:t xml:space="preserve"> </w:t>
      </w:r>
      <w:proofErr w:type="spellStart"/>
      <w:r w:rsidR="008A098F" w:rsidRPr="006E3C3E">
        <w:rPr>
          <w:rFonts w:ascii="Calibri" w:eastAsia="Times New Roman" w:hAnsi="Calibri" w:cs="Calibri"/>
          <w:color w:val="000000"/>
          <w:lang w:val="en-US"/>
        </w:rPr>
        <w:t>Cantemir</w:t>
      </w:r>
      <w:proofErr w:type="spellEnd"/>
      <w:r w:rsidR="008A098F">
        <w:rPr>
          <w:rFonts w:ascii="Calibri" w:eastAsia="Times New Roman" w:hAnsi="Calibri" w:cs="Calibri"/>
          <w:color w:val="000000"/>
          <w:lang w:val="en-US"/>
        </w:rPr>
        <w:t>,</w:t>
      </w:r>
      <w:r w:rsidR="008A098F" w:rsidRPr="006E3C3E">
        <w:rPr>
          <w:rFonts w:ascii="Calibri" w:eastAsia="Times New Roman" w:hAnsi="Calibri" w:cs="Calibri"/>
          <w:color w:val="000000"/>
          <w:lang w:val="en-US"/>
        </w:rPr>
        <w:t xml:space="preserve"> </w:t>
      </w:r>
      <w:proofErr w:type="spellStart"/>
      <w:r w:rsidR="008A098F" w:rsidRPr="006E3C3E">
        <w:rPr>
          <w:rFonts w:ascii="Calibri" w:eastAsia="Times New Roman" w:hAnsi="Calibri" w:cs="Calibri"/>
          <w:color w:val="000000"/>
          <w:lang w:val="en-US"/>
        </w:rPr>
        <w:t>Vulcanesti</w:t>
      </w:r>
      <w:proofErr w:type="spellEnd"/>
      <w:r w:rsidR="008A098F">
        <w:rPr>
          <w:rFonts w:ascii="Calibri" w:eastAsia="Times New Roman" w:hAnsi="Calibri" w:cs="Calibri"/>
          <w:color w:val="000000"/>
          <w:lang w:val="en-US"/>
        </w:rPr>
        <w:t xml:space="preserve">, and </w:t>
      </w:r>
      <w:r w:rsidR="006E3C3E" w:rsidRPr="006E3C3E">
        <w:rPr>
          <w:rFonts w:ascii="Calibri" w:eastAsia="Times New Roman" w:hAnsi="Calibri" w:cs="Calibri"/>
          <w:color w:val="000000"/>
          <w:lang w:val="en-US"/>
        </w:rPr>
        <w:t>Tiraspol</w:t>
      </w:r>
      <w:r w:rsidR="008A098F">
        <w:rPr>
          <w:rFonts w:ascii="Calibri" w:eastAsia="Times New Roman" w:hAnsi="Calibri" w:cs="Calibri"/>
          <w:color w:val="000000"/>
          <w:lang w:val="en-US"/>
        </w:rPr>
        <w:t xml:space="preserve"> but they together account for less than 2 percent of all job seekers in our sample.</w:t>
      </w:r>
      <w:r w:rsidR="00F07F28" w:rsidRPr="00F07F28">
        <w:rPr>
          <w:lang w:val="en-US"/>
        </w:rPr>
        <w:t xml:space="preserve"> </w:t>
      </w:r>
      <w:r w:rsidR="00F07F28">
        <w:rPr>
          <w:lang w:val="en-US"/>
        </w:rPr>
        <w:t>Das et al. (2018) argue that mobility restrictions existing due to social norms, gender-based violence, and perceptions of safety can affect women’s choice of jobs and, therefore, they can contribute to gender inequality and occupational segregation.</w:t>
      </w:r>
    </w:p>
    <w:p w14:paraId="7CA10437" w14:textId="43557554" w:rsidR="00F27333" w:rsidRDefault="00F27333" w:rsidP="00762EBD">
      <w:pPr>
        <w:pStyle w:val="ad"/>
        <w:spacing w:before="240" w:after="0"/>
        <w:jc w:val="left"/>
      </w:pPr>
      <w:bookmarkStart w:id="118" w:name="_Ref521502073"/>
      <w:bookmarkStart w:id="119" w:name="_Toc533211786"/>
      <w:r>
        <w:lastRenderedPageBreak/>
        <w:t xml:space="preserve">Figure </w:t>
      </w:r>
      <w:r>
        <w:fldChar w:fldCharType="begin"/>
      </w:r>
      <w:r>
        <w:instrText xml:space="preserve"> SEQ Figure \* ARABIC </w:instrText>
      </w:r>
      <w:r>
        <w:fldChar w:fldCharType="separate"/>
      </w:r>
      <w:r w:rsidR="007F56F7">
        <w:rPr>
          <w:noProof/>
        </w:rPr>
        <w:t>30</w:t>
      </w:r>
      <w:r>
        <w:fldChar w:fldCharType="end"/>
      </w:r>
      <w:bookmarkEnd w:id="118"/>
      <w:r>
        <w:t xml:space="preserve">: Proportion of job seekers </w:t>
      </w:r>
      <w:r w:rsidR="00E91BC3">
        <w:t xml:space="preserve">ready to move to another city </w:t>
      </w:r>
      <w:r>
        <w:t xml:space="preserve">by gender </w:t>
      </w:r>
      <w:r w:rsidR="0030101A">
        <w:t xml:space="preserve">and socio-demographic characteristics </w:t>
      </w:r>
      <w:r>
        <w:t>(%), 2018</w:t>
      </w:r>
      <w:bookmarkEnd w:id="119"/>
    </w:p>
    <w:p w14:paraId="482BA7FE" w14:textId="77777777" w:rsidR="00E91BC3" w:rsidRDefault="0049615D" w:rsidP="00E91BC3">
      <w:pPr>
        <w:jc w:val="center"/>
      </w:pPr>
      <w:r w:rsidRPr="0049615D">
        <w:rPr>
          <w:noProof/>
          <w:lang w:val="ru-RU" w:eastAsia="ru-RU"/>
        </w:rPr>
        <w:drawing>
          <wp:inline distT="0" distB="0" distL="0" distR="0" wp14:anchorId="089F4FBD" wp14:editId="62C2AECB">
            <wp:extent cx="5016500" cy="2139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16500" cy="2139950"/>
                    </a:xfrm>
                    <a:prstGeom prst="rect">
                      <a:avLst/>
                    </a:prstGeom>
                    <a:noFill/>
                    <a:ln>
                      <a:noFill/>
                    </a:ln>
                  </pic:spPr>
                </pic:pic>
              </a:graphicData>
            </a:graphic>
          </wp:inline>
        </w:drawing>
      </w:r>
    </w:p>
    <w:p w14:paraId="4DD89869" w14:textId="168E5680" w:rsidR="00564D07" w:rsidRDefault="00F07F28" w:rsidP="00EE52B3">
      <w:pPr>
        <w:spacing w:before="240"/>
        <w:jc w:val="both"/>
        <w:rPr>
          <w:lang w:val="en-US"/>
        </w:rPr>
      </w:pPr>
      <w:r w:rsidRPr="00F07F28">
        <w:rPr>
          <w:b/>
          <w:lang w:val="en-US"/>
        </w:rPr>
        <w:t>T</w:t>
      </w:r>
      <w:r w:rsidR="00D37895" w:rsidRPr="00F07F28">
        <w:rPr>
          <w:b/>
          <w:lang w:val="en-US"/>
        </w:rPr>
        <w:t>he gender gap in the readiness to move to another city and in the availability for business trips increases for married individuals and for jobseekers with children</w:t>
      </w:r>
      <w:r w:rsidR="00D37895">
        <w:rPr>
          <w:lang w:val="en-US"/>
        </w:rPr>
        <w:t xml:space="preserve"> because family men appear to be more mobile than their single counterparts while women with family obligations are, on the contrary, less mobile</w:t>
      </w:r>
      <w:r w:rsidR="00066DDC">
        <w:rPr>
          <w:lang w:val="en-US"/>
        </w:rPr>
        <w:t xml:space="preserve"> (</w:t>
      </w:r>
      <w:r w:rsidR="00066DDC">
        <w:rPr>
          <w:lang w:val="en-US"/>
        </w:rPr>
        <w:fldChar w:fldCharType="begin"/>
      </w:r>
      <w:r w:rsidR="00066DDC">
        <w:rPr>
          <w:lang w:val="en-US"/>
        </w:rPr>
        <w:instrText xml:space="preserve"> REF _Ref521502073 \h </w:instrText>
      </w:r>
      <w:r w:rsidR="00066DDC">
        <w:rPr>
          <w:lang w:val="en-US"/>
        </w:rPr>
      </w:r>
      <w:r w:rsidR="00066DDC">
        <w:rPr>
          <w:lang w:val="en-US"/>
        </w:rPr>
        <w:fldChar w:fldCharType="separate"/>
      </w:r>
      <w:r>
        <w:t xml:space="preserve">Figure </w:t>
      </w:r>
      <w:r>
        <w:rPr>
          <w:noProof/>
        </w:rPr>
        <w:t>30</w:t>
      </w:r>
      <w:r w:rsidR="00066DDC">
        <w:rPr>
          <w:lang w:val="en-US"/>
        </w:rPr>
        <w:fldChar w:fldCharType="end"/>
      </w:r>
      <w:r w:rsidR="00066DDC">
        <w:rPr>
          <w:lang w:val="en-US"/>
        </w:rPr>
        <w:t xml:space="preserve"> and </w:t>
      </w:r>
      <w:r w:rsidR="00066DDC">
        <w:rPr>
          <w:lang w:val="en-US"/>
        </w:rPr>
        <w:fldChar w:fldCharType="begin"/>
      </w:r>
      <w:r w:rsidR="00066DDC">
        <w:rPr>
          <w:lang w:val="en-US"/>
        </w:rPr>
        <w:instrText xml:space="preserve"> REF _Ref521502075 \h </w:instrText>
      </w:r>
      <w:r w:rsidR="00066DDC">
        <w:rPr>
          <w:lang w:val="en-US"/>
        </w:rPr>
      </w:r>
      <w:r w:rsidR="00066DDC">
        <w:rPr>
          <w:lang w:val="en-US"/>
        </w:rPr>
        <w:fldChar w:fldCharType="separate"/>
      </w:r>
      <w:r>
        <w:t xml:space="preserve">Figure </w:t>
      </w:r>
      <w:r>
        <w:rPr>
          <w:noProof/>
        </w:rPr>
        <w:t>31</w:t>
      </w:r>
      <w:r w:rsidR="00066DDC">
        <w:rPr>
          <w:lang w:val="en-US"/>
        </w:rPr>
        <w:fldChar w:fldCharType="end"/>
      </w:r>
      <w:r w:rsidR="00066DDC">
        <w:rPr>
          <w:lang w:val="en-US"/>
        </w:rPr>
        <w:t>)</w:t>
      </w:r>
      <w:r w:rsidR="00D37895">
        <w:rPr>
          <w:lang w:val="en-US"/>
        </w:rPr>
        <w:t>. Although young job seekers studying at the moment of posting resumes (students) are expectedly less mobile than individuals not bonded to educational institutions (non-students), the majority of students – 54.2 percent of female and 72 percent of male job seekers – report availability for business trips.</w:t>
      </w:r>
    </w:p>
    <w:p w14:paraId="095BC585" w14:textId="6D993806" w:rsidR="00762EBD" w:rsidRDefault="00762EBD" w:rsidP="00762EBD">
      <w:pPr>
        <w:pStyle w:val="ad"/>
        <w:spacing w:before="240" w:after="0"/>
        <w:jc w:val="left"/>
      </w:pPr>
      <w:bookmarkStart w:id="120" w:name="_Ref521502075"/>
      <w:bookmarkStart w:id="121" w:name="_Toc533211787"/>
      <w:r>
        <w:t xml:space="preserve">Figure </w:t>
      </w:r>
      <w:r>
        <w:fldChar w:fldCharType="begin"/>
      </w:r>
      <w:r>
        <w:instrText xml:space="preserve"> SEQ Figure \* ARABIC </w:instrText>
      </w:r>
      <w:r>
        <w:fldChar w:fldCharType="separate"/>
      </w:r>
      <w:r w:rsidR="007F56F7">
        <w:rPr>
          <w:noProof/>
        </w:rPr>
        <w:t>31</w:t>
      </w:r>
      <w:r>
        <w:fldChar w:fldCharType="end"/>
      </w:r>
      <w:bookmarkEnd w:id="120"/>
      <w:r>
        <w:t xml:space="preserve">: Proportion of job seekers </w:t>
      </w:r>
      <w:r w:rsidR="00E91BC3">
        <w:t xml:space="preserve">available </w:t>
      </w:r>
      <w:r w:rsidR="00012505">
        <w:t>for</w:t>
      </w:r>
      <w:r w:rsidR="00E91BC3">
        <w:t xml:space="preserve"> business trips </w:t>
      </w:r>
      <w:r>
        <w:t>by gender and socio-demographic characteristics (%), 2018</w:t>
      </w:r>
      <w:bookmarkEnd w:id="121"/>
    </w:p>
    <w:p w14:paraId="20B53CD6" w14:textId="77777777" w:rsidR="0049615D" w:rsidRPr="0049615D" w:rsidRDefault="0049615D" w:rsidP="0049615D">
      <w:pPr>
        <w:jc w:val="center"/>
      </w:pPr>
      <w:r w:rsidRPr="0049615D">
        <w:rPr>
          <w:noProof/>
          <w:lang w:val="ru-RU" w:eastAsia="ru-RU"/>
        </w:rPr>
        <w:drawing>
          <wp:inline distT="0" distB="0" distL="0" distR="0" wp14:anchorId="61B8973B" wp14:editId="018EAB72">
            <wp:extent cx="5016500" cy="2139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16500" cy="2139950"/>
                    </a:xfrm>
                    <a:prstGeom prst="rect">
                      <a:avLst/>
                    </a:prstGeom>
                    <a:noFill/>
                    <a:ln>
                      <a:noFill/>
                    </a:ln>
                  </pic:spPr>
                </pic:pic>
              </a:graphicData>
            </a:graphic>
          </wp:inline>
        </w:drawing>
      </w:r>
    </w:p>
    <w:p w14:paraId="63EB9616" w14:textId="77777777" w:rsidR="00E91BC3" w:rsidRPr="00E91BC3" w:rsidRDefault="00E91BC3" w:rsidP="00E91BC3">
      <w:pPr>
        <w:jc w:val="center"/>
      </w:pPr>
    </w:p>
    <w:p w14:paraId="5FE9BA9C" w14:textId="5C55F1B2" w:rsidR="00D668F4" w:rsidRPr="009E3543" w:rsidRDefault="00D668F4" w:rsidP="00D668F4">
      <w:pPr>
        <w:pStyle w:val="2"/>
        <w:numPr>
          <w:ilvl w:val="0"/>
          <w:numId w:val="0"/>
        </w:numPr>
        <w:spacing w:before="360"/>
        <w:rPr>
          <w:color w:val="0070C0"/>
          <w:sz w:val="32"/>
          <w:szCs w:val="32"/>
        </w:rPr>
      </w:pPr>
      <w:bookmarkStart w:id="122" w:name="_Toc520810652"/>
      <w:bookmarkStart w:id="123" w:name="_Toc533211747"/>
      <w:r w:rsidRPr="004A792A">
        <w:rPr>
          <w:color w:val="0070C0"/>
          <w:sz w:val="32"/>
          <w:szCs w:val="32"/>
        </w:rPr>
        <w:t xml:space="preserve">5.3. </w:t>
      </w:r>
      <w:r w:rsidR="00AD4822" w:rsidRPr="009E3543">
        <w:rPr>
          <w:color w:val="0070C0"/>
          <w:sz w:val="32"/>
          <w:szCs w:val="32"/>
        </w:rPr>
        <w:t>Salary expectations</w:t>
      </w:r>
      <w:r w:rsidRPr="009E3543">
        <w:rPr>
          <w:color w:val="0070C0"/>
          <w:sz w:val="32"/>
          <w:szCs w:val="32"/>
        </w:rPr>
        <w:t xml:space="preserve"> of job seekers</w:t>
      </w:r>
      <w:bookmarkEnd w:id="122"/>
      <w:r w:rsidR="006B44F8">
        <w:rPr>
          <w:rStyle w:val="af9"/>
          <w:color w:val="0070C0"/>
          <w:sz w:val="32"/>
          <w:szCs w:val="32"/>
        </w:rPr>
        <w:footnoteReference w:id="37"/>
      </w:r>
      <w:bookmarkEnd w:id="123"/>
    </w:p>
    <w:p w14:paraId="24A8CCBD" w14:textId="6AB871B5" w:rsidR="003A21EE" w:rsidRPr="009E3543" w:rsidRDefault="00180F5A" w:rsidP="00733C35">
      <w:pPr>
        <w:jc w:val="both"/>
      </w:pPr>
      <w:r w:rsidRPr="006B44F8">
        <w:rPr>
          <w:b/>
        </w:rPr>
        <w:t xml:space="preserve">Women tend to report </w:t>
      </w:r>
      <w:r w:rsidR="007C491B" w:rsidRPr="006B44F8">
        <w:rPr>
          <w:b/>
        </w:rPr>
        <w:t>a numerical value</w:t>
      </w:r>
      <w:r w:rsidRPr="006B44F8">
        <w:rPr>
          <w:b/>
        </w:rPr>
        <w:t xml:space="preserve"> </w:t>
      </w:r>
      <w:r w:rsidR="007C491B" w:rsidRPr="006B44F8">
        <w:rPr>
          <w:b/>
        </w:rPr>
        <w:t xml:space="preserve">for </w:t>
      </w:r>
      <w:r w:rsidR="006B44F8">
        <w:rPr>
          <w:b/>
        </w:rPr>
        <w:t xml:space="preserve">expected salary </w:t>
      </w:r>
      <w:r w:rsidRPr="006B44F8">
        <w:rPr>
          <w:b/>
        </w:rPr>
        <w:t xml:space="preserve">more often than men but overall one in three job seekers </w:t>
      </w:r>
      <w:r w:rsidR="000B357E" w:rsidRPr="006B44F8">
        <w:rPr>
          <w:b/>
        </w:rPr>
        <w:t>prefer</w:t>
      </w:r>
      <w:r w:rsidRPr="006B44F8">
        <w:rPr>
          <w:b/>
        </w:rPr>
        <w:t xml:space="preserve"> </w:t>
      </w:r>
      <w:r w:rsidR="004B5E9A" w:rsidRPr="006B44F8">
        <w:rPr>
          <w:b/>
        </w:rPr>
        <w:t>to write “</w:t>
      </w:r>
      <w:r w:rsidR="007C491B" w:rsidRPr="006B44F8">
        <w:rPr>
          <w:b/>
        </w:rPr>
        <w:t>negotiable</w:t>
      </w:r>
      <w:r w:rsidR="004B5E9A" w:rsidRPr="006B44F8">
        <w:rPr>
          <w:b/>
        </w:rPr>
        <w:t xml:space="preserve">” </w:t>
      </w:r>
      <w:r w:rsidR="00B245ED" w:rsidRPr="006B44F8">
        <w:rPr>
          <w:b/>
        </w:rPr>
        <w:t xml:space="preserve">instead of </w:t>
      </w:r>
      <w:r w:rsidR="007C491B" w:rsidRPr="006B44F8">
        <w:rPr>
          <w:b/>
        </w:rPr>
        <w:t xml:space="preserve">a specific </w:t>
      </w:r>
      <w:r w:rsidR="00B245ED" w:rsidRPr="006B44F8">
        <w:rPr>
          <w:b/>
        </w:rPr>
        <w:t>amount in local currency</w:t>
      </w:r>
      <w:r w:rsidR="00B245ED" w:rsidRPr="009E3543">
        <w:t xml:space="preserve"> (</w:t>
      </w:r>
      <w:r w:rsidR="00B245ED" w:rsidRPr="009E3543">
        <w:fldChar w:fldCharType="begin"/>
      </w:r>
      <w:r w:rsidR="00B245ED" w:rsidRPr="009E3543">
        <w:instrText xml:space="preserve"> REF _Ref521570653 \h </w:instrText>
      </w:r>
      <w:r w:rsidR="009E3543">
        <w:instrText xml:space="preserve"> \* MERGEFORMAT </w:instrText>
      </w:r>
      <w:r w:rsidR="00B245ED" w:rsidRPr="009E3543">
        <w:fldChar w:fldCharType="separate"/>
      </w:r>
      <w:r w:rsidR="00206AA9" w:rsidRPr="009E3543">
        <w:rPr>
          <w:lang w:val="en-US"/>
        </w:rPr>
        <w:t xml:space="preserve">Table </w:t>
      </w:r>
      <w:r w:rsidR="00206AA9">
        <w:rPr>
          <w:noProof/>
          <w:lang w:val="en-US"/>
        </w:rPr>
        <w:lastRenderedPageBreak/>
        <w:t>11</w:t>
      </w:r>
      <w:r w:rsidR="00B245ED" w:rsidRPr="009E3543">
        <w:fldChar w:fldCharType="end"/>
      </w:r>
      <w:r w:rsidR="00B245ED" w:rsidRPr="009E3543">
        <w:t>).</w:t>
      </w:r>
      <w:r w:rsidR="00DF298A" w:rsidRPr="009E3543">
        <w:rPr>
          <w:rStyle w:val="af9"/>
        </w:rPr>
        <w:footnoteReference w:id="38"/>
      </w:r>
      <w:r w:rsidR="00B245ED" w:rsidRPr="009E3543">
        <w:t xml:space="preserve"> The average </w:t>
      </w:r>
      <w:r w:rsidR="00EB5013" w:rsidRPr="009E3543">
        <w:t>expected salary is</w:t>
      </w:r>
      <w:r w:rsidR="00B245ED" w:rsidRPr="009E3543">
        <w:t xml:space="preserve"> 6</w:t>
      </w:r>
      <w:r w:rsidR="007C491B">
        <w:t>,</w:t>
      </w:r>
      <w:r w:rsidR="00B245ED" w:rsidRPr="009E3543">
        <w:t>166 MDL</w:t>
      </w:r>
      <w:r w:rsidR="007C491B">
        <w:t>,</w:t>
      </w:r>
      <w:r w:rsidR="00B245ED" w:rsidRPr="009E3543">
        <w:t xml:space="preserve"> which is slightly above the average wage in the Moldovan economy in the first quarter of 2018 (5906.5 MDL).</w:t>
      </w:r>
      <w:r w:rsidR="00B245ED" w:rsidRPr="009E3543">
        <w:rPr>
          <w:rStyle w:val="af9"/>
        </w:rPr>
        <w:footnoteReference w:id="39"/>
      </w:r>
      <w:r w:rsidR="00FD5B74" w:rsidRPr="009E3543">
        <w:t xml:space="preserve"> If we exclude </w:t>
      </w:r>
      <w:r w:rsidR="006D4290">
        <w:t xml:space="preserve">presumably </w:t>
      </w:r>
      <w:r w:rsidR="00FD5B74" w:rsidRPr="009E3543">
        <w:t xml:space="preserve">small values </w:t>
      </w:r>
      <w:r w:rsidR="006D4290">
        <w:t xml:space="preserve">for a monthly wage (below </w:t>
      </w:r>
      <w:r w:rsidR="00FD5B74" w:rsidRPr="009E3543">
        <w:t>2</w:t>
      </w:r>
      <w:r w:rsidR="007C491B">
        <w:t>,</w:t>
      </w:r>
      <w:r w:rsidR="00FD5B74" w:rsidRPr="009E3543">
        <w:t>000 MDL</w:t>
      </w:r>
      <w:r w:rsidR="006D4290">
        <w:t>)</w:t>
      </w:r>
      <w:r w:rsidR="00FD5B74" w:rsidRPr="009E3543">
        <w:t xml:space="preserve">, the average </w:t>
      </w:r>
      <w:r w:rsidR="00EB5013" w:rsidRPr="009E3543">
        <w:t>salary i</w:t>
      </w:r>
      <w:r w:rsidR="00FD5B74" w:rsidRPr="009E3543">
        <w:t>ncreases to 6</w:t>
      </w:r>
      <w:r w:rsidR="007C491B">
        <w:t>,</w:t>
      </w:r>
      <w:r w:rsidR="00FD5B74" w:rsidRPr="009E3543">
        <w:t>373 MDL.</w:t>
      </w:r>
      <w:r w:rsidR="00F222BE" w:rsidRPr="009E3543">
        <w:t xml:space="preserve"> </w:t>
      </w:r>
    </w:p>
    <w:p w14:paraId="7AC32EDF" w14:textId="01CB1CA8" w:rsidR="000327F4" w:rsidRPr="009E3543" w:rsidRDefault="000327F4" w:rsidP="000327F4">
      <w:pPr>
        <w:pStyle w:val="ad"/>
        <w:spacing w:before="240"/>
        <w:jc w:val="left"/>
        <w:rPr>
          <w:lang w:val="en-US"/>
        </w:rPr>
      </w:pPr>
      <w:bookmarkStart w:id="124" w:name="_Ref521570653"/>
      <w:bookmarkStart w:id="125" w:name="_Toc533211801"/>
      <w:r w:rsidRPr="009E3543">
        <w:rPr>
          <w:lang w:val="en-US"/>
        </w:rPr>
        <w:t xml:space="preserve">Table </w:t>
      </w:r>
      <w:r w:rsidR="007B7CCA">
        <w:rPr>
          <w:lang w:val="en-US"/>
        </w:rPr>
        <w:fldChar w:fldCharType="begin"/>
      </w:r>
      <w:r w:rsidR="007B7CCA">
        <w:rPr>
          <w:lang w:val="en-US"/>
        </w:rPr>
        <w:instrText xml:space="preserve"> SEQ Table \* ARABIC </w:instrText>
      </w:r>
      <w:r w:rsidR="007B7CCA">
        <w:rPr>
          <w:lang w:val="en-US"/>
        </w:rPr>
        <w:fldChar w:fldCharType="separate"/>
      </w:r>
      <w:r w:rsidR="007B7CCA">
        <w:rPr>
          <w:noProof/>
          <w:lang w:val="en-US"/>
        </w:rPr>
        <w:t>11</w:t>
      </w:r>
      <w:r w:rsidR="007B7CCA">
        <w:rPr>
          <w:lang w:val="en-US"/>
        </w:rPr>
        <w:fldChar w:fldCharType="end"/>
      </w:r>
      <w:bookmarkEnd w:id="124"/>
      <w:r w:rsidRPr="009E3543">
        <w:rPr>
          <w:lang w:val="en-US"/>
        </w:rPr>
        <w:t xml:space="preserve">: </w:t>
      </w:r>
      <w:r w:rsidR="00EB5013" w:rsidRPr="009E3543">
        <w:rPr>
          <w:lang w:val="en-US"/>
        </w:rPr>
        <w:t>Salary expectations</w:t>
      </w:r>
      <w:r w:rsidRPr="009E3543">
        <w:rPr>
          <w:lang w:val="en-US"/>
        </w:rPr>
        <w:t xml:space="preserve"> </w:t>
      </w:r>
      <w:r w:rsidR="00EB5013" w:rsidRPr="009E3543">
        <w:rPr>
          <w:lang w:val="en-US"/>
        </w:rPr>
        <w:t>of female and male job seekers</w:t>
      </w:r>
      <w:r w:rsidRPr="009E3543">
        <w:rPr>
          <w:lang w:val="en-US"/>
        </w:rPr>
        <w:t>, 2018</w:t>
      </w:r>
      <w:bookmarkEnd w:id="125"/>
    </w:p>
    <w:tbl>
      <w:tblPr>
        <w:tblW w:w="9161" w:type="dxa"/>
        <w:tblLayout w:type="fixed"/>
        <w:tblLook w:val="04A0" w:firstRow="1" w:lastRow="0" w:firstColumn="1" w:lastColumn="0" w:noHBand="0" w:noVBand="1"/>
      </w:tblPr>
      <w:tblGrid>
        <w:gridCol w:w="2127"/>
        <w:gridCol w:w="3685"/>
        <w:gridCol w:w="1116"/>
        <w:gridCol w:w="1116"/>
        <w:gridCol w:w="1117"/>
      </w:tblGrid>
      <w:tr w:rsidR="000327F4" w:rsidRPr="009E3543" w14:paraId="109467ED" w14:textId="77777777" w:rsidTr="000D077F">
        <w:tc>
          <w:tcPr>
            <w:tcW w:w="2127" w:type="dxa"/>
            <w:tcBorders>
              <w:top w:val="single" w:sz="4" w:space="0" w:color="auto"/>
              <w:bottom w:val="single" w:sz="4" w:space="0" w:color="auto"/>
            </w:tcBorders>
            <w:shd w:val="clear" w:color="auto" w:fill="auto"/>
            <w:noWrap/>
            <w:vAlign w:val="bottom"/>
            <w:hideMark/>
          </w:tcPr>
          <w:p w14:paraId="2CEA1467" w14:textId="77777777" w:rsidR="000327F4" w:rsidRPr="009E3543" w:rsidRDefault="000327F4" w:rsidP="00B245ED">
            <w:pPr>
              <w:spacing w:before="0"/>
              <w:rPr>
                <w:rFonts w:eastAsia="Times New Roman" w:cstheme="minorHAnsi"/>
                <w:b/>
                <w:sz w:val="20"/>
                <w:szCs w:val="20"/>
                <w:lang w:val="en-US"/>
              </w:rPr>
            </w:pPr>
            <w:r w:rsidRPr="009E3543">
              <w:rPr>
                <w:rFonts w:eastAsia="Times New Roman" w:cstheme="minorHAnsi"/>
                <w:b/>
                <w:sz w:val="20"/>
                <w:szCs w:val="20"/>
                <w:lang w:val="en-US"/>
              </w:rPr>
              <w:t>Characteristic</w:t>
            </w:r>
          </w:p>
        </w:tc>
        <w:tc>
          <w:tcPr>
            <w:tcW w:w="3685" w:type="dxa"/>
            <w:tcBorders>
              <w:top w:val="single" w:sz="4" w:space="0" w:color="auto"/>
              <w:bottom w:val="single" w:sz="4" w:space="0" w:color="auto"/>
            </w:tcBorders>
            <w:shd w:val="clear" w:color="auto" w:fill="auto"/>
            <w:noWrap/>
            <w:vAlign w:val="bottom"/>
            <w:hideMark/>
          </w:tcPr>
          <w:p w14:paraId="2B1D82C5" w14:textId="77777777" w:rsidR="000327F4" w:rsidRPr="009E3543" w:rsidRDefault="000327F4" w:rsidP="00B245ED">
            <w:pPr>
              <w:spacing w:before="0"/>
              <w:rPr>
                <w:rFonts w:eastAsia="Times New Roman" w:cstheme="minorHAnsi"/>
                <w:b/>
                <w:sz w:val="20"/>
                <w:szCs w:val="20"/>
                <w:lang w:val="en-US"/>
              </w:rPr>
            </w:pPr>
            <w:r w:rsidRPr="009E3543">
              <w:rPr>
                <w:rFonts w:eastAsia="Times New Roman" w:cstheme="minorHAnsi"/>
                <w:b/>
                <w:sz w:val="20"/>
                <w:szCs w:val="20"/>
                <w:lang w:val="en-US"/>
              </w:rPr>
              <w:t>Statistics</w:t>
            </w:r>
          </w:p>
        </w:tc>
        <w:tc>
          <w:tcPr>
            <w:tcW w:w="1116" w:type="dxa"/>
            <w:tcBorders>
              <w:top w:val="single" w:sz="4" w:space="0" w:color="auto"/>
              <w:bottom w:val="single" w:sz="4" w:space="0" w:color="auto"/>
            </w:tcBorders>
            <w:shd w:val="clear" w:color="auto" w:fill="auto"/>
            <w:noWrap/>
            <w:vAlign w:val="bottom"/>
            <w:hideMark/>
          </w:tcPr>
          <w:p w14:paraId="262E80C2" w14:textId="77777777" w:rsidR="000327F4" w:rsidRPr="009E3543" w:rsidRDefault="000327F4" w:rsidP="00B245ED">
            <w:pPr>
              <w:spacing w:before="0"/>
              <w:jc w:val="center"/>
              <w:rPr>
                <w:rFonts w:eastAsia="Times New Roman" w:cstheme="minorHAnsi"/>
                <w:b/>
                <w:color w:val="000000"/>
                <w:sz w:val="20"/>
                <w:szCs w:val="20"/>
                <w:lang w:val="en-US"/>
              </w:rPr>
            </w:pPr>
            <w:r w:rsidRPr="009E3543">
              <w:rPr>
                <w:rFonts w:eastAsia="Times New Roman" w:cstheme="minorHAnsi"/>
                <w:b/>
                <w:color w:val="000000"/>
                <w:sz w:val="20"/>
                <w:szCs w:val="20"/>
                <w:lang w:val="en-US"/>
              </w:rPr>
              <w:t>Female</w:t>
            </w:r>
          </w:p>
        </w:tc>
        <w:tc>
          <w:tcPr>
            <w:tcW w:w="1116" w:type="dxa"/>
            <w:tcBorders>
              <w:top w:val="single" w:sz="4" w:space="0" w:color="auto"/>
              <w:bottom w:val="single" w:sz="4" w:space="0" w:color="auto"/>
            </w:tcBorders>
            <w:shd w:val="clear" w:color="auto" w:fill="auto"/>
            <w:noWrap/>
            <w:vAlign w:val="bottom"/>
            <w:hideMark/>
          </w:tcPr>
          <w:p w14:paraId="610E4700" w14:textId="77777777" w:rsidR="000327F4" w:rsidRPr="009E3543" w:rsidRDefault="000327F4" w:rsidP="00B245ED">
            <w:pPr>
              <w:spacing w:before="0"/>
              <w:jc w:val="center"/>
              <w:rPr>
                <w:rFonts w:eastAsia="Times New Roman" w:cstheme="minorHAnsi"/>
                <w:b/>
                <w:color w:val="000000"/>
                <w:sz w:val="20"/>
                <w:szCs w:val="20"/>
                <w:lang w:val="en-US"/>
              </w:rPr>
            </w:pPr>
            <w:r w:rsidRPr="009E3543">
              <w:rPr>
                <w:rFonts w:eastAsia="Times New Roman" w:cstheme="minorHAnsi"/>
                <w:b/>
                <w:color w:val="000000"/>
                <w:sz w:val="20"/>
                <w:szCs w:val="20"/>
                <w:lang w:val="en-US"/>
              </w:rPr>
              <w:t>Male</w:t>
            </w:r>
          </w:p>
        </w:tc>
        <w:tc>
          <w:tcPr>
            <w:tcW w:w="1117" w:type="dxa"/>
            <w:tcBorders>
              <w:top w:val="single" w:sz="4" w:space="0" w:color="auto"/>
              <w:bottom w:val="single" w:sz="4" w:space="0" w:color="auto"/>
            </w:tcBorders>
            <w:shd w:val="clear" w:color="auto" w:fill="auto"/>
            <w:noWrap/>
            <w:vAlign w:val="bottom"/>
            <w:hideMark/>
          </w:tcPr>
          <w:p w14:paraId="7BC6B180" w14:textId="77777777" w:rsidR="000327F4" w:rsidRPr="009E3543" w:rsidRDefault="000327F4" w:rsidP="00B245ED">
            <w:pPr>
              <w:spacing w:before="0"/>
              <w:jc w:val="center"/>
              <w:rPr>
                <w:rFonts w:eastAsia="Times New Roman" w:cstheme="minorHAnsi"/>
                <w:b/>
                <w:color w:val="000000"/>
                <w:sz w:val="20"/>
                <w:szCs w:val="20"/>
                <w:lang w:val="en-US"/>
              </w:rPr>
            </w:pPr>
            <w:r w:rsidRPr="009E3543">
              <w:rPr>
                <w:rFonts w:eastAsia="Times New Roman" w:cstheme="minorHAnsi"/>
                <w:b/>
                <w:color w:val="000000"/>
                <w:sz w:val="20"/>
                <w:szCs w:val="20"/>
                <w:lang w:val="en-US"/>
              </w:rPr>
              <w:t>Total</w:t>
            </w:r>
          </w:p>
        </w:tc>
      </w:tr>
      <w:tr w:rsidR="000327F4" w:rsidRPr="009E3543" w14:paraId="672E82B6" w14:textId="77777777" w:rsidTr="000D077F">
        <w:tc>
          <w:tcPr>
            <w:tcW w:w="5812" w:type="dxa"/>
            <w:gridSpan w:val="2"/>
            <w:tcBorders>
              <w:top w:val="single" w:sz="4" w:space="0" w:color="auto"/>
            </w:tcBorders>
            <w:shd w:val="clear" w:color="auto" w:fill="auto"/>
            <w:noWrap/>
          </w:tcPr>
          <w:p w14:paraId="28639C48" w14:textId="77777777" w:rsidR="000327F4" w:rsidRPr="009E3543" w:rsidRDefault="000327F4" w:rsidP="00CC10CB">
            <w:pPr>
              <w:spacing w:before="0"/>
              <w:rPr>
                <w:rFonts w:eastAsia="Times New Roman" w:cstheme="minorHAnsi"/>
                <w:color w:val="000000"/>
                <w:sz w:val="20"/>
                <w:szCs w:val="20"/>
                <w:lang w:val="en-US"/>
              </w:rPr>
            </w:pPr>
            <w:r w:rsidRPr="009E3543">
              <w:rPr>
                <w:rFonts w:eastAsia="Times New Roman" w:cstheme="minorHAnsi"/>
                <w:bCs/>
                <w:color w:val="000000"/>
                <w:sz w:val="20"/>
                <w:szCs w:val="20"/>
                <w:lang w:val="en-US"/>
              </w:rPr>
              <w:t>Job seekers reporting “</w:t>
            </w:r>
            <w:r w:rsidR="007C491B">
              <w:rPr>
                <w:rFonts w:eastAsia="Times New Roman" w:cstheme="minorHAnsi"/>
                <w:bCs/>
                <w:color w:val="000000"/>
                <w:sz w:val="20"/>
                <w:szCs w:val="20"/>
                <w:lang w:val="en-US"/>
              </w:rPr>
              <w:t>Negotiable</w:t>
            </w:r>
            <w:r w:rsidRPr="009E3543">
              <w:rPr>
                <w:rFonts w:eastAsia="Times New Roman" w:cstheme="minorHAnsi"/>
                <w:bCs/>
                <w:color w:val="000000"/>
                <w:sz w:val="20"/>
                <w:szCs w:val="20"/>
                <w:lang w:val="en-US"/>
              </w:rPr>
              <w:t xml:space="preserve">” for </w:t>
            </w:r>
            <w:r w:rsidR="00CC10CB" w:rsidRPr="009E3543">
              <w:rPr>
                <w:rFonts w:eastAsia="Times New Roman" w:cstheme="minorHAnsi"/>
                <w:bCs/>
                <w:color w:val="000000"/>
                <w:sz w:val="20"/>
                <w:szCs w:val="20"/>
                <w:lang w:val="en-US"/>
              </w:rPr>
              <w:t>salary</w:t>
            </w:r>
            <w:r w:rsidRPr="009E3543">
              <w:rPr>
                <w:rFonts w:eastAsia="Times New Roman" w:cstheme="minorHAnsi"/>
                <w:bCs/>
                <w:color w:val="000000"/>
                <w:sz w:val="20"/>
                <w:szCs w:val="20"/>
                <w:lang w:val="en-US"/>
              </w:rPr>
              <w:t xml:space="preserve"> (</w:t>
            </w:r>
            <w:r w:rsidRPr="009E3543">
              <w:rPr>
                <w:rFonts w:ascii="Calibri" w:hAnsi="Calibri" w:cs="Calibri"/>
                <w:color w:val="000000"/>
                <w:sz w:val="20"/>
                <w:szCs w:val="20"/>
                <w:lang w:val="en-US"/>
              </w:rPr>
              <w:t>% of all job seekers)</w:t>
            </w:r>
          </w:p>
        </w:tc>
        <w:tc>
          <w:tcPr>
            <w:tcW w:w="1116" w:type="dxa"/>
            <w:tcBorders>
              <w:top w:val="single" w:sz="4" w:space="0" w:color="auto"/>
            </w:tcBorders>
            <w:shd w:val="clear" w:color="auto" w:fill="auto"/>
            <w:noWrap/>
          </w:tcPr>
          <w:p w14:paraId="106F3DF1" w14:textId="77777777" w:rsidR="000327F4" w:rsidRPr="009E3543" w:rsidRDefault="000327F4" w:rsidP="000327F4">
            <w:pPr>
              <w:spacing w:before="0"/>
              <w:jc w:val="center"/>
              <w:rPr>
                <w:rFonts w:ascii="Calibri" w:hAnsi="Calibri" w:cs="Calibri"/>
                <w:color w:val="000000"/>
                <w:sz w:val="20"/>
                <w:szCs w:val="20"/>
                <w:lang w:val="en-US"/>
              </w:rPr>
            </w:pPr>
            <w:r w:rsidRPr="009E3543">
              <w:rPr>
                <w:sz w:val="20"/>
                <w:szCs w:val="20"/>
              </w:rPr>
              <w:t>27.7</w:t>
            </w:r>
          </w:p>
        </w:tc>
        <w:tc>
          <w:tcPr>
            <w:tcW w:w="1116" w:type="dxa"/>
            <w:tcBorders>
              <w:top w:val="single" w:sz="4" w:space="0" w:color="auto"/>
            </w:tcBorders>
            <w:shd w:val="clear" w:color="auto" w:fill="auto"/>
            <w:noWrap/>
          </w:tcPr>
          <w:p w14:paraId="16A7FA7B" w14:textId="77777777" w:rsidR="000327F4" w:rsidRPr="009E3543" w:rsidRDefault="000327F4" w:rsidP="000327F4">
            <w:pPr>
              <w:spacing w:before="0"/>
              <w:jc w:val="center"/>
              <w:rPr>
                <w:rFonts w:ascii="Calibri" w:hAnsi="Calibri" w:cs="Calibri"/>
                <w:color w:val="000000"/>
                <w:sz w:val="20"/>
                <w:szCs w:val="20"/>
                <w:lang w:val="en-US"/>
              </w:rPr>
            </w:pPr>
            <w:r w:rsidRPr="009E3543">
              <w:rPr>
                <w:sz w:val="20"/>
                <w:szCs w:val="20"/>
              </w:rPr>
              <w:t>35.7</w:t>
            </w:r>
          </w:p>
        </w:tc>
        <w:tc>
          <w:tcPr>
            <w:tcW w:w="1117" w:type="dxa"/>
            <w:tcBorders>
              <w:top w:val="single" w:sz="4" w:space="0" w:color="auto"/>
            </w:tcBorders>
            <w:shd w:val="clear" w:color="auto" w:fill="auto"/>
            <w:noWrap/>
          </w:tcPr>
          <w:p w14:paraId="4540EF70" w14:textId="77777777" w:rsidR="000327F4" w:rsidRPr="009E3543" w:rsidRDefault="000327F4" w:rsidP="000327F4">
            <w:pPr>
              <w:spacing w:before="0"/>
              <w:jc w:val="center"/>
              <w:rPr>
                <w:rFonts w:ascii="Calibri" w:hAnsi="Calibri" w:cs="Calibri"/>
                <w:color w:val="000000"/>
                <w:sz w:val="20"/>
                <w:szCs w:val="20"/>
                <w:lang w:val="en-US"/>
              </w:rPr>
            </w:pPr>
            <w:r w:rsidRPr="009E3543">
              <w:rPr>
                <w:sz w:val="20"/>
                <w:szCs w:val="20"/>
              </w:rPr>
              <w:t>32.5</w:t>
            </w:r>
          </w:p>
        </w:tc>
      </w:tr>
      <w:tr w:rsidR="00AD419D" w:rsidRPr="009E3543" w14:paraId="5F045068" w14:textId="77777777" w:rsidTr="00BE3B8D">
        <w:tc>
          <w:tcPr>
            <w:tcW w:w="5812" w:type="dxa"/>
            <w:gridSpan w:val="2"/>
            <w:tcBorders>
              <w:bottom w:val="single" w:sz="4" w:space="0" w:color="auto"/>
            </w:tcBorders>
            <w:shd w:val="clear" w:color="auto" w:fill="auto"/>
            <w:noWrap/>
          </w:tcPr>
          <w:p w14:paraId="7E5976F3" w14:textId="77777777" w:rsidR="00AD419D" w:rsidRPr="009E3543" w:rsidRDefault="00AD419D" w:rsidP="00CC10CB">
            <w:pPr>
              <w:spacing w:before="0"/>
              <w:rPr>
                <w:rFonts w:eastAsia="Times New Roman" w:cstheme="minorHAnsi"/>
                <w:color w:val="000000"/>
                <w:sz w:val="20"/>
                <w:szCs w:val="20"/>
                <w:lang w:val="en-US"/>
              </w:rPr>
            </w:pPr>
            <w:r w:rsidRPr="009E3543">
              <w:rPr>
                <w:rFonts w:eastAsia="Times New Roman" w:cstheme="minorHAnsi"/>
                <w:bCs/>
                <w:color w:val="000000"/>
                <w:sz w:val="20"/>
                <w:szCs w:val="20"/>
                <w:lang w:val="en-US"/>
              </w:rPr>
              <w:t xml:space="preserve">Job seekers reporting </w:t>
            </w:r>
            <w:r w:rsidR="00CC10CB" w:rsidRPr="009E3543">
              <w:rPr>
                <w:rFonts w:eastAsia="Times New Roman" w:cstheme="minorHAnsi"/>
                <w:bCs/>
                <w:color w:val="000000"/>
                <w:sz w:val="20"/>
                <w:szCs w:val="20"/>
                <w:lang w:val="en-US"/>
              </w:rPr>
              <w:t>salary</w:t>
            </w:r>
            <w:r w:rsidRPr="009E3543">
              <w:rPr>
                <w:rFonts w:eastAsia="Times New Roman" w:cstheme="minorHAnsi"/>
                <w:bCs/>
                <w:color w:val="000000"/>
                <w:sz w:val="20"/>
                <w:szCs w:val="20"/>
                <w:lang w:val="en-US"/>
              </w:rPr>
              <w:t xml:space="preserve"> under 2</w:t>
            </w:r>
            <w:r w:rsidR="007C491B">
              <w:rPr>
                <w:rFonts w:eastAsia="Times New Roman" w:cstheme="minorHAnsi"/>
                <w:bCs/>
                <w:color w:val="000000"/>
                <w:sz w:val="20"/>
                <w:szCs w:val="20"/>
                <w:lang w:val="en-US"/>
              </w:rPr>
              <w:t>,</w:t>
            </w:r>
            <w:r w:rsidRPr="009E3543">
              <w:rPr>
                <w:rFonts w:eastAsia="Times New Roman" w:cstheme="minorHAnsi"/>
                <w:bCs/>
                <w:color w:val="000000"/>
                <w:sz w:val="20"/>
                <w:szCs w:val="20"/>
                <w:lang w:val="en-US"/>
              </w:rPr>
              <w:t>000 MDL (</w:t>
            </w:r>
            <w:r w:rsidRPr="009E3543">
              <w:rPr>
                <w:rFonts w:ascii="Calibri" w:hAnsi="Calibri" w:cs="Calibri"/>
                <w:color w:val="000000"/>
                <w:sz w:val="20"/>
                <w:szCs w:val="20"/>
                <w:lang w:val="en-US"/>
              </w:rPr>
              <w:t>% of all job seekers)</w:t>
            </w:r>
          </w:p>
        </w:tc>
        <w:tc>
          <w:tcPr>
            <w:tcW w:w="1116" w:type="dxa"/>
            <w:tcBorders>
              <w:bottom w:val="single" w:sz="4" w:space="0" w:color="auto"/>
            </w:tcBorders>
            <w:shd w:val="clear" w:color="auto" w:fill="auto"/>
            <w:noWrap/>
            <w:vAlign w:val="bottom"/>
          </w:tcPr>
          <w:p w14:paraId="49354BA0" w14:textId="77777777" w:rsidR="00AD419D" w:rsidRPr="009E3543" w:rsidRDefault="00AD419D" w:rsidP="00AD419D">
            <w:pPr>
              <w:spacing w:before="0"/>
              <w:jc w:val="center"/>
              <w:rPr>
                <w:sz w:val="20"/>
                <w:szCs w:val="20"/>
              </w:rPr>
            </w:pPr>
            <w:r w:rsidRPr="009E3543">
              <w:rPr>
                <w:rFonts w:ascii="Calibri" w:hAnsi="Calibri" w:cs="Calibri"/>
                <w:color w:val="000000"/>
                <w:sz w:val="20"/>
                <w:szCs w:val="20"/>
              </w:rPr>
              <w:t>2.6</w:t>
            </w:r>
          </w:p>
        </w:tc>
        <w:tc>
          <w:tcPr>
            <w:tcW w:w="1116" w:type="dxa"/>
            <w:tcBorders>
              <w:bottom w:val="single" w:sz="4" w:space="0" w:color="auto"/>
            </w:tcBorders>
            <w:shd w:val="clear" w:color="auto" w:fill="auto"/>
            <w:noWrap/>
            <w:vAlign w:val="bottom"/>
          </w:tcPr>
          <w:p w14:paraId="1CA32300" w14:textId="77777777" w:rsidR="00AD419D" w:rsidRPr="009E3543" w:rsidRDefault="00AD419D" w:rsidP="00AD419D">
            <w:pPr>
              <w:spacing w:before="0"/>
              <w:jc w:val="center"/>
              <w:rPr>
                <w:sz w:val="20"/>
                <w:szCs w:val="20"/>
              </w:rPr>
            </w:pPr>
            <w:r w:rsidRPr="009E3543">
              <w:rPr>
                <w:rFonts w:ascii="Calibri" w:hAnsi="Calibri" w:cs="Calibri"/>
                <w:color w:val="000000"/>
                <w:sz w:val="20"/>
                <w:szCs w:val="20"/>
              </w:rPr>
              <w:t>2.2</w:t>
            </w:r>
          </w:p>
        </w:tc>
        <w:tc>
          <w:tcPr>
            <w:tcW w:w="1117" w:type="dxa"/>
            <w:tcBorders>
              <w:bottom w:val="single" w:sz="4" w:space="0" w:color="auto"/>
            </w:tcBorders>
            <w:shd w:val="clear" w:color="auto" w:fill="auto"/>
            <w:noWrap/>
            <w:vAlign w:val="bottom"/>
          </w:tcPr>
          <w:p w14:paraId="398283BA" w14:textId="77777777" w:rsidR="00AD419D" w:rsidRPr="009E3543" w:rsidRDefault="00AD419D" w:rsidP="00AD419D">
            <w:pPr>
              <w:spacing w:before="0"/>
              <w:jc w:val="center"/>
              <w:rPr>
                <w:sz w:val="20"/>
                <w:szCs w:val="20"/>
              </w:rPr>
            </w:pPr>
            <w:r w:rsidRPr="009E3543">
              <w:rPr>
                <w:rFonts w:ascii="Calibri" w:hAnsi="Calibri" w:cs="Calibri"/>
                <w:color w:val="000000"/>
                <w:sz w:val="20"/>
                <w:szCs w:val="20"/>
              </w:rPr>
              <w:t>2.4</w:t>
            </w:r>
          </w:p>
        </w:tc>
      </w:tr>
      <w:tr w:rsidR="00651E4A" w:rsidRPr="009E3543" w14:paraId="6721327F" w14:textId="77777777" w:rsidTr="00B245ED">
        <w:tc>
          <w:tcPr>
            <w:tcW w:w="2127" w:type="dxa"/>
            <w:vMerge w:val="restart"/>
            <w:tcBorders>
              <w:top w:val="single" w:sz="4" w:space="0" w:color="auto"/>
            </w:tcBorders>
            <w:shd w:val="clear" w:color="auto" w:fill="auto"/>
            <w:noWrap/>
          </w:tcPr>
          <w:p w14:paraId="438D9DD1" w14:textId="77777777" w:rsidR="00651E4A" w:rsidRPr="009E3543" w:rsidRDefault="00DF298A" w:rsidP="00DF298A">
            <w:pPr>
              <w:spacing w:before="0"/>
              <w:rPr>
                <w:rFonts w:eastAsia="Times New Roman" w:cstheme="minorHAnsi"/>
                <w:bCs/>
                <w:color w:val="000000"/>
                <w:sz w:val="20"/>
                <w:szCs w:val="20"/>
                <w:lang w:val="en-US"/>
              </w:rPr>
            </w:pPr>
            <w:r w:rsidRPr="009E3543">
              <w:rPr>
                <w:rFonts w:eastAsia="Times New Roman" w:cstheme="minorHAnsi"/>
                <w:bCs/>
                <w:color w:val="000000"/>
                <w:sz w:val="20"/>
                <w:szCs w:val="20"/>
                <w:lang w:val="en-US"/>
              </w:rPr>
              <w:t xml:space="preserve">Salary expectation (only </w:t>
            </w:r>
            <w:r w:rsidR="00651E4A" w:rsidRPr="009E3543">
              <w:rPr>
                <w:rFonts w:eastAsia="Times New Roman" w:cstheme="minorHAnsi"/>
                <w:bCs/>
                <w:color w:val="000000"/>
                <w:sz w:val="20"/>
                <w:szCs w:val="20"/>
                <w:lang w:val="en-US"/>
              </w:rPr>
              <w:t xml:space="preserve">jobseekers reporting </w:t>
            </w:r>
            <w:r w:rsidR="00CC10CB" w:rsidRPr="009E3543">
              <w:rPr>
                <w:rFonts w:eastAsia="Times New Roman" w:cstheme="minorHAnsi"/>
                <w:bCs/>
                <w:color w:val="000000"/>
                <w:sz w:val="20"/>
                <w:szCs w:val="20"/>
                <w:lang w:val="en-US"/>
              </w:rPr>
              <w:t>salary</w:t>
            </w:r>
            <w:r w:rsidR="00651E4A" w:rsidRPr="009E3543">
              <w:rPr>
                <w:rFonts w:eastAsia="Times New Roman" w:cstheme="minorHAnsi"/>
                <w:bCs/>
                <w:color w:val="000000"/>
                <w:sz w:val="20"/>
                <w:szCs w:val="20"/>
                <w:lang w:val="en-US"/>
              </w:rPr>
              <w:t xml:space="preserve"> of at least 2</w:t>
            </w:r>
            <w:r w:rsidR="007C491B">
              <w:rPr>
                <w:rFonts w:eastAsia="Times New Roman" w:cstheme="minorHAnsi"/>
                <w:bCs/>
                <w:color w:val="000000"/>
                <w:sz w:val="20"/>
                <w:szCs w:val="20"/>
                <w:lang w:val="en-US"/>
              </w:rPr>
              <w:t>,</w:t>
            </w:r>
            <w:r w:rsidR="00651E4A" w:rsidRPr="009E3543">
              <w:rPr>
                <w:rFonts w:eastAsia="Times New Roman" w:cstheme="minorHAnsi"/>
                <w:bCs/>
                <w:color w:val="000000"/>
                <w:sz w:val="20"/>
                <w:szCs w:val="20"/>
                <w:lang w:val="en-US"/>
              </w:rPr>
              <w:t>000 MDL</w:t>
            </w:r>
            <w:r w:rsidRPr="009E3543">
              <w:rPr>
                <w:rFonts w:eastAsia="Times New Roman" w:cstheme="minorHAnsi"/>
                <w:bCs/>
                <w:color w:val="000000"/>
                <w:sz w:val="20"/>
                <w:szCs w:val="20"/>
                <w:lang w:val="en-US"/>
              </w:rPr>
              <w:t>)</w:t>
            </w:r>
          </w:p>
        </w:tc>
        <w:tc>
          <w:tcPr>
            <w:tcW w:w="3685" w:type="dxa"/>
            <w:tcBorders>
              <w:top w:val="single" w:sz="4" w:space="0" w:color="auto"/>
            </w:tcBorders>
            <w:shd w:val="clear" w:color="auto" w:fill="auto"/>
            <w:noWrap/>
          </w:tcPr>
          <w:p w14:paraId="2AEC3451" w14:textId="77777777" w:rsidR="00651E4A" w:rsidRPr="009E3543" w:rsidRDefault="00651E4A" w:rsidP="00651E4A">
            <w:pPr>
              <w:spacing w:before="0"/>
              <w:rPr>
                <w:rFonts w:ascii="Calibri" w:hAnsi="Calibri" w:cs="Calibri"/>
                <w:color w:val="000000"/>
              </w:rPr>
            </w:pPr>
            <w:r w:rsidRPr="009E3543">
              <w:rPr>
                <w:rFonts w:eastAsia="Times New Roman" w:cstheme="minorHAnsi"/>
                <w:color w:val="000000"/>
                <w:sz w:val="20"/>
                <w:szCs w:val="20"/>
                <w:lang w:val="en-US"/>
              </w:rPr>
              <w:t>Mean (MDL)</w:t>
            </w:r>
          </w:p>
        </w:tc>
        <w:tc>
          <w:tcPr>
            <w:tcW w:w="1116" w:type="dxa"/>
            <w:tcBorders>
              <w:top w:val="single" w:sz="4" w:space="0" w:color="auto"/>
            </w:tcBorders>
            <w:shd w:val="clear" w:color="auto" w:fill="auto"/>
            <w:noWrap/>
            <w:vAlign w:val="bottom"/>
          </w:tcPr>
          <w:p w14:paraId="429FD5A7"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5</w:t>
            </w:r>
            <w:r w:rsidR="007C491B">
              <w:rPr>
                <w:rFonts w:ascii="Calibri" w:hAnsi="Calibri" w:cs="Calibri"/>
                <w:color w:val="000000"/>
                <w:sz w:val="20"/>
                <w:szCs w:val="20"/>
              </w:rPr>
              <w:t>,</w:t>
            </w:r>
            <w:r w:rsidRPr="009E3543">
              <w:rPr>
                <w:rFonts w:ascii="Calibri" w:hAnsi="Calibri" w:cs="Calibri"/>
                <w:color w:val="000000"/>
                <w:sz w:val="20"/>
                <w:szCs w:val="20"/>
              </w:rPr>
              <w:t>684</w:t>
            </w:r>
          </w:p>
        </w:tc>
        <w:tc>
          <w:tcPr>
            <w:tcW w:w="1116" w:type="dxa"/>
            <w:tcBorders>
              <w:top w:val="single" w:sz="4" w:space="0" w:color="auto"/>
            </w:tcBorders>
            <w:shd w:val="clear" w:color="auto" w:fill="auto"/>
            <w:noWrap/>
            <w:vAlign w:val="bottom"/>
          </w:tcPr>
          <w:p w14:paraId="08D4336D"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6</w:t>
            </w:r>
            <w:r w:rsidR="007C491B">
              <w:rPr>
                <w:rFonts w:ascii="Calibri" w:hAnsi="Calibri" w:cs="Calibri"/>
                <w:color w:val="000000"/>
                <w:sz w:val="20"/>
                <w:szCs w:val="20"/>
              </w:rPr>
              <w:t>,</w:t>
            </w:r>
            <w:r w:rsidRPr="009E3543">
              <w:rPr>
                <w:rFonts w:ascii="Calibri" w:hAnsi="Calibri" w:cs="Calibri"/>
                <w:color w:val="000000"/>
                <w:sz w:val="20"/>
                <w:szCs w:val="20"/>
              </w:rPr>
              <w:t>898</w:t>
            </w:r>
          </w:p>
        </w:tc>
        <w:tc>
          <w:tcPr>
            <w:tcW w:w="1117" w:type="dxa"/>
            <w:tcBorders>
              <w:top w:val="single" w:sz="4" w:space="0" w:color="auto"/>
            </w:tcBorders>
            <w:shd w:val="clear" w:color="auto" w:fill="auto"/>
            <w:noWrap/>
            <w:vAlign w:val="bottom"/>
          </w:tcPr>
          <w:p w14:paraId="4FC58236"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6</w:t>
            </w:r>
            <w:r w:rsidR="007C491B">
              <w:rPr>
                <w:rFonts w:ascii="Calibri" w:hAnsi="Calibri" w:cs="Calibri"/>
                <w:color w:val="000000"/>
                <w:sz w:val="20"/>
                <w:szCs w:val="20"/>
              </w:rPr>
              <w:t>,</w:t>
            </w:r>
            <w:r w:rsidRPr="009E3543">
              <w:rPr>
                <w:rFonts w:ascii="Calibri" w:hAnsi="Calibri" w:cs="Calibri"/>
                <w:color w:val="000000"/>
                <w:sz w:val="20"/>
                <w:szCs w:val="20"/>
              </w:rPr>
              <w:t>373</w:t>
            </w:r>
          </w:p>
        </w:tc>
      </w:tr>
      <w:tr w:rsidR="00651E4A" w:rsidRPr="009E3543" w14:paraId="24599F49" w14:textId="77777777" w:rsidTr="00B245ED">
        <w:tc>
          <w:tcPr>
            <w:tcW w:w="2127" w:type="dxa"/>
            <w:vMerge/>
            <w:shd w:val="clear" w:color="auto" w:fill="auto"/>
            <w:noWrap/>
          </w:tcPr>
          <w:p w14:paraId="7F9B2D04" w14:textId="77777777" w:rsidR="00651E4A" w:rsidRPr="009E3543" w:rsidRDefault="00651E4A" w:rsidP="00651E4A">
            <w:pPr>
              <w:spacing w:before="0"/>
              <w:rPr>
                <w:rFonts w:eastAsia="Times New Roman" w:cstheme="minorHAnsi"/>
                <w:bCs/>
                <w:color w:val="000000"/>
                <w:sz w:val="20"/>
                <w:szCs w:val="20"/>
                <w:lang w:val="en-US"/>
              </w:rPr>
            </w:pPr>
          </w:p>
        </w:tc>
        <w:tc>
          <w:tcPr>
            <w:tcW w:w="3685" w:type="dxa"/>
            <w:shd w:val="clear" w:color="auto" w:fill="auto"/>
            <w:noWrap/>
          </w:tcPr>
          <w:p w14:paraId="7F1AEE75" w14:textId="77777777" w:rsidR="00651E4A" w:rsidRPr="009E3543" w:rsidRDefault="00651E4A" w:rsidP="00651E4A">
            <w:pPr>
              <w:spacing w:before="0"/>
              <w:rPr>
                <w:rFonts w:ascii="Calibri" w:hAnsi="Calibri" w:cs="Calibri"/>
                <w:color w:val="000000"/>
              </w:rPr>
            </w:pPr>
            <w:r w:rsidRPr="009E3543">
              <w:rPr>
                <w:rFonts w:eastAsia="Times New Roman" w:cstheme="minorHAnsi"/>
                <w:color w:val="000000"/>
                <w:sz w:val="20"/>
                <w:szCs w:val="20"/>
                <w:lang w:val="en-US"/>
              </w:rPr>
              <w:t>SD (MDL)</w:t>
            </w:r>
          </w:p>
        </w:tc>
        <w:tc>
          <w:tcPr>
            <w:tcW w:w="1116" w:type="dxa"/>
            <w:shd w:val="clear" w:color="auto" w:fill="auto"/>
            <w:noWrap/>
            <w:vAlign w:val="bottom"/>
          </w:tcPr>
          <w:p w14:paraId="473AF005"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5</w:t>
            </w:r>
            <w:r w:rsidR="007C491B">
              <w:rPr>
                <w:rFonts w:ascii="Calibri" w:hAnsi="Calibri" w:cs="Calibri"/>
                <w:color w:val="000000"/>
                <w:sz w:val="20"/>
                <w:szCs w:val="20"/>
              </w:rPr>
              <w:t>,</w:t>
            </w:r>
            <w:r w:rsidRPr="009E3543">
              <w:rPr>
                <w:rFonts w:ascii="Calibri" w:hAnsi="Calibri" w:cs="Calibri"/>
                <w:color w:val="000000"/>
                <w:sz w:val="20"/>
                <w:szCs w:val="20"/>
              </w:rPr>
              <w:t>729</w:t>
            </w:r>
          </w:p>
        </w:tc>
        <w:tc>
          <w:tcPr>
            <w:tcW w:w="1116" w:type="dxa"/>
            <w:shd w:val="clear" w:color="auto" w:fill="auto"/>
            <w:noWrap/>
            <w:vAlign w:val="bottom"/>
          </w:tcPr>
          <w:p w14:paraId="3B16D0D9"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5</w:t>
            </w:r>
            <w:r w:rsidR="007C491B">
              <w:rPr>
                <w:rFonts w:ascii="Calibri" w:hAnsi="Calibri" w:cs="Calibri"/>
                <w:color w:val="000000"/>
                <w:sz w:val="20"/>
                <w:szCs w:val="20"/>
              </w:rPr>
              <w:t>,</w:t>
            </w:r>
            <w:r w:rsidRPr="009E3543">
              <w:rPr>
                <w:rFonts w:ascii="Calibri" w:hAnsi="Calibri" w:cs="Calibri"/>
                <w:color w:val="000000"/>
                <w:sz w:val="20"/>
                <w:szCs w:val="20"/>
              </w:rPr>
              <w:t>238</w:t>
            </w:r>
          </w:p>
        </w:tc>
        <w:tc>
          <w:tcPr>
            <w:tcW w:w="1117" w:type="dxa"/>
            <w:shd w:val="clear" w:color="auto" w:fill="auto"/>
            <w:noWrap/>
            <w:vAlign w:val="bottom"/>
          </w:tcPr>
          <w:p w14:paraId="7556F749"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5</w:t>
            </w:r>
            <w:r w:rsidR="007C491B">
              <w:rPr>
                <w:rFonts w:ascii="Calibri" w:hAnsi="Calibri" w:cs="Calibri"/>
                <w:color w:val="000000"/>
                <w:sz w:val="20"/>
                <w:szCs w:val="20"/>
              </w:rPr>
              <w:t>,</w:t>
            </w:r>
            <w:r w:rsidRPr="009E3543">
              <w:rPr>
                <w:rFonts w:ascii="Calibri" w:hAnsi="Calibri" w:cs="Calibri"/>
                <w:color w:val="000000"/>
                <w:sz w:val="20"/>
                <w:szCs w:val="20"/>
              </w:rPr>
              <w:t>488</w:t>
            </w:r>
          </w:p>
        </w:tc>
      </w:tr>
      <w:tr w:rsidR="00651E4A" w:rsidRPr="009E3543" w14:paraId="3029C694" w14:textId="77777777" w:rsidTr="00B245ED">
        <w:tc>
          <w:tcPr>
            <w:tcW w:w="2127" w:type="dxa"/>
            <w:vMerge/>
            <w:shd w:val="clear" w:color="auto" w:fill="auto"/>
            <w:noWrap/>
          </w:tcPr>
          <w:p w14:paraId="1D407F6D" w14:textId="77777777" w:rsidR="00651E4A" w:rsidRPr="009E3543" w:rsidRDefault="00651E4A" w:rsidP="00651E4A">
            <w:pPr>
              <w:spacing w:before="0"/>
              <w:rPr>
                <w:rFonts w:eastAsia="Times New Roman" w:cstheme="minorHAnsi"/>
                <w:bCs/>
                <w:color w:val="000000"/>
                <w:sz w:val="20"/>
                <w:szCs w:val="20"/>
                <w:lang w:val="en-US"/>
              </w:rPr>
            </w:pPr>
          </w:p>
        </w:tc>
        <w:tc>
          <w:tcPr>
            <w:tcW w:w="3685" w:type="dxa"/>
            <w:shd w:val="clear" w:color="auto" w:fill="auto"/>
            <w:noWrap/>
          </w:tcPr>
          <w:p w14:paraId="4E652C26" w14:textId="77777777" w:rsidR="00651E4A" w:rsidRPr="009E3543" w:rsidRDefault="00651E4A" w:rsidP="00651E4A">
            <w:pPr>
              <w:spacing w:before="0"/>
              <w:rPr>
                <w:rFonts w:ascii="Calibri" w:hAnsi="Calibri" w:cs="Calibri"/>
                <w:color w:val="000000"/>
              </w:rPr>
            </w:pPr>
            <w:r w:rsidRPr="009E3543">
              <w:rPr>
                <w:rFonts w:eastAsia="Times New Roman" w:cstheme="minorHAnsi"/>
                <w:color w:val="000000"/>
                <w:sz w:val="20"/>
                <w:szCs w:val="20"/>
                <w:lang w:val="en-US"/>
              </w:rPr>
              <w:t>Median (MDL)</w:t>
            </w:r>
          </w:p>
        </w:tc>
        <w:tc>
          <w:tcPr>
            <w:tcW w:w="1116" w:type="dxa"/>
            <w:shd w:val="clear" w:color="auto" w:fill="auto"/>
            <w:noWrap/>
            <w:vAlign w:val="bottom"/>
          </w:tcPr>
          <w:p w14:paraId="1A5B8673"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5</w:t>
            </w:r>
            <w:r w:rsidR="007C491B">
              <w:rPr>
                <w:rFonts w:ascii="Calibri" w:hAnsi="Calibri" w:cs="Calibri"/>
                <w:color w:val="000000"/>
                <w:sz w:val="20"/>
                <w:szCs w:val="20"/>
              </w:rPr>
              <w:t>,</w:t>
            </w:r>
            <w:r w:rsidRPr="009E3543">
              <w:rPr>
                <w:rFonts w:ascii="Calibri" w:hAnsi="Calibri" w:cs="Calibri"/>
                <w:color w:val="000000"/>
                <w:sz w:val="20"/>
                <w:szCs w:val="20"/>
              </w:rPr>
              <w:t>000</w:t>
            </w:r>
          </w:p>
        </w:tc>
        <w:tc>
          <w:tcPr>
            <w:tcW w:w="1116" w:type="dxa"/>
            <w:shd w:val="clear" w:color="auto" w:fill="auto"/>
            <w:noWrap/>
            <w:vAlign w:val="bottom"/>
          </w:tcPr>
          <w:p w14:paraId="444198AF"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6</w:t>
            </w:r>
            <w:r w:rsidR="007C491B">
              <w:rPr>
                <w:rFonts w:ascii="Calibri" w:hAnsi="Calibri" w:cs="Calibri"/>
                <w:color w:val="000000"/>
                <w:sz w:val="20"/>
                <w:szCs w:val="20"/>
              </w:rPr>
              <w:t>,</w:t>
            </w:r>
            <w:r w:rsidRPr="009E3543">
              <w:rPr>
                <w:rFonts w:ascii="Calibri" w:hAnsi="Calibri" w:cs="Calibri"/>
                <w:color w:val="000000"/>
                <w:sz w:val="20"/>
                <w:szCs w:val="20"/>
              </w:rPr>
              <w:t>000</w:t>
            </w:r>
          </w:p>
        </w:tc>
        <w:tc>
          <w:tcPr>
            <w:tcW w:w="1117" w:type="dxa"/>
            <w:shd w:val="clear" w:color="auto" w:fill="auto"/>
            <w:noWrap/>
            <w:vAlign w:val="bottom"/>
          </w:tcPr>
          <w:p w14:paraId="238B402D"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5</w:t>
            </w:r>
            <w:r w:rsidR="007C491B">
              <w:rPr>
                <w:rFonts w:ascii="Calibri" w:hAnsi="Calibri" w:cs="Calibri"/>
                <w:color w:val="000000"/>
                <w:sz w:val="20"/>
                <w:szCs w:val="20"/>
              </w:rPr>
              <w:t>,</w:t>
            </w:r>
            <w:r w:rsidRPr="009E3543">
              <w:rPr>
                <w:rFonts w:ascii="Calibri" w:hAnsi="Calibri" w:cs="Calibri"/>
                <w:color w:val="000000"/>
                <w:sz w:val="20"/>
                <w:szCs w:val="20"/>
              </w:rPr>
              <w:t>000</w:t>
            </w:r>
          </w:p>
        </w:tc>
      </w:tr>
      <w:tr w:rsidR="00651E4A" w:rsidRPr="009E3543" w14:paraId="7473C0A2" w14:textId="77777777" w:rsidTr="00B245ED">
        <w:tc>
          <w:tcPr>
            <w:tcW w:w="2127" w:type="dxa"/>
            <w:vMerge/>
            <w:shd w:val="clear" w:color="auto" w:fill="auto"/>
            <w:noWrap/>
          </w:tcPr>
          <w:p w14:paraId="4DB3F980" w14:textId="77777777" w:rsidR="00651E4A" w:rsidRPr="009E3543" w:rsidRDefault="00651E4A" w:rsidP="00651E4A">
            <w:pPr>
              <w:spacing w:before="0"/>
              <w:rPr>
                <w:rFonts w:eastAsia="Times New Roman" w:cstheme="minorHAnsi"/>
                <w:bCs/>
                <w:color w:val="000000"/>
                <w:sz w:val="20"/>
                <w:szCs w:val="20"/>
                <w:lang w:val="en-US"/>
              </w:rPr>
            </w:pPr>
          </w:p>
        </w:tc>
        <w:tc>
          <w:tcPr>
            <w:tcW w:w="3685" w:type="dxa"/>
            <w:shd w:val="clear" w:color="auto" w:fill="auto"/>
            <w:noWrap/>
          </w:tcPr>
          <w:p w14:paraId="0C778642" w14:textId="77777777" w:rsidR="00651E4A" w:rsidRPr="009E3543" w:rsidRDefault="00651E4A" w:rsidP="00651E4A">
            <w:pPr>
              <w:spacing w:before="0"/>
              <w:rPr>
                <w:rFonts w:ascii="Calibri" w:hAnsi="Calibri" w:cs="Calibri"/>
                <w:color w:val="000000"/>
                <w:sz w:val="20"/>
                <w:szCs w:val="20"/>
                <w:lang w:val="en-US"/>
              </w:rPr>
            </w:pPr>
            <w:r w:rsidRPr="009E3543">
              <w:rPr>
                <w:rFonts w:eastAsia="Times New Roman" w:cstheme="minorHAnsi"/>
                <w:color w:val="000000"/>
                <w:sz w:val="20"/>
                <w:szCs w:val="20"/>
                <w:lang w:val="en-US"/>
              </w:rPr>
              <w:t>Min (MDL)</w:t>
            </w:r>
          </w:p>
        </w:tc>
        <w:tc>
          <w:tcPr>
            <w:tcW w:w="1116" w:type="dxa"/>
            <w:shd w:val="clear" w:color="auto" w:fill="auto"/>
            <w:noWrap/>
            <w:vAlign w:val="bottom"/>
          </w:tcPr>
          <w:p w14:paraId="606654E3"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2</w:t>
            </w:r>
            <w:r w:rsidR="007C491B">
              <w:rPr>
                <w:rFonts w:ascii="Calibri" w:hAnsi="Calibri" w:cs="Calibri"/>
                <w:color w:val="000000"/>
                <w:sz w:val="20"/>
                <w:szCs w:val="20"/>
              </w:rPr>
              <w:t>,</w:t>
            </w:r>
            <w:r w:rsidRPr="009E3543">
              <w:rPr>
                <w:rFonts w:ascii="Calibri" w:hAnsi="Calibri" w:cs="Calibri"/>
                <w:color w:val="000000"/>
                <w:sz w:val="20"/>
                <w:szCs w:val="20"/>
              </w:rPr>
              <w:t>000</w:t>
            </w:r>
          </w:p>
        </w:tc>
        <w:tc>
          <w:tcPr>
            <w:tcW w:w="1116" w:type="dxa"/>
            <w:shd w:val="clear" w:color="auto" w:fill="auto"/>
            <w:noWrap/>
            <w:vAlign w:val="bottom"/>
          </w:tcPr>
          <w:p w14:paraId="50D36A2C"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2</w:t>
            </w:r>
            <w:r w:rsidR="007C491B">
              <w:rPr>
                <w:rFonts w:ascii="Calibri" w:hAnsi="Calibri" w:cs="Calibri"/>
                <w:color w:val="000000"/>
                <w:sz w:val="20"/>
                <w:szCs w:val="20"/>
              </w:rPr>
              <w:t>,</w:t>
            </w:r>
            <w:r w:rsidRPr="009E3543">
              <w:rPr>
                <w:rFonts w:ascii="Calibri" w:hAnsi="Calibri" w:cs="Calibri"/>
                <w:color w:val="000000"/>
                <w:sz w:val="20"/>
                <w:szCs w:val="20"/>
              </w:rPr>
              <w:t>000</w:t>
            </w:r>
          </w:p>
        </w:tc>
        <w:tc>
          <w:tcPr>
            <w:tcW w:w="1117" w:type="dxa"/>
            <w:shd w:val="clear" w:color="auto" w:fill="auto"/>
            <w:noWrap/>
            <w:vAlign w:val="bottom"/>
          </w:tcPr>
          <w:p w14:paraId="599CEE6D"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2</w:t>
            </w:r>
            <w:r w:rsidR="007C491B">
              <w:rPr>
                <w:rFonts w:ascii="Calibri" w:hAnsi="Calibri" w:cs="Calibri"/>
                <w:color w:val="000000"/>
                <w:sz w:val="20"/>
                <w:szCs w:val="20"/>
              </w:rPr>
              <w:t>,</w:t>
            </w:r>
            <w:r w:rsidRPr="009E3543">
              <w:rPr>
                <w:rFonts w:ascii="Calibri" w:hAnsi="Calibri" w:cs="Calibri"/>
                <w:color w:val="000000"/>
                <w:sz w:val="20"/>
                <w:szCs w:val="20"/>
              </w:rPr>
              <w:t>000</w:t>
            </w:r>
          </w:p>
        </w:tc>
      </w:tr>
      <w:tr w:rsidR="00651E4A" w:rsidRPr="009E3543" w14:paraId="41C67FC5" w14:textId="77777777" w:rsidTr="00BE3B8D">
        <w:tc>
          <w:tcPr>
            <w:tcW w:w="2127" w:type="dxa"/>
            <w:vMerge/>
            <w:tcBorders>
              <w:bottom w:val="single" w:sz="4" w:space="0" w:color="auto"/>
            </w:tcBorders>
            <w:shd w:val="clear" w:color="auto" w:fill="auto"/>
            <w:noWrap/>
          </w:tcPr>
          <w:p w14:paraId="17B1FC6B" w14:textId="77777777" w:rsidR="00651E4A" w:rsidRPr="009E3543" w:rsidRDefault="00651E4A" w:rsidP="00651E4A">
            <w:pPr>
              <w:spacing w:before="0"/>
              <w:rPr>
                <w:rFonts w:eastAsia="Times New Roman" w:cstheme="minorHAnsi"/>
                <w:bCs/>
                <w:color w:val="000000"/>
                <w:sz w:val="20"/>
                <w:szCs w:val="20"/>
                <w:lang w:val="en-US"/>
              </w:rPr>
            </w:pPr>
          </w:p>
        </w:tc>
        <w:tc>
          <w:tcPr>
            <w:tcW w:w="3685" w:type="dxa"/>
            <w:tcBorders>
              <w:bottom w:val="single" w:sz="4" w:space="0" w:color="auto"/>
            </w:tcBorders>
            <w:shd w:val="clear" w:color="auto" w:fill="auto"/>
            <w:noWrap/>
          </w:tcPr>
          <w:p w14:paraId="222D4833" w14:textId="77777777" w:rsidR="00651E4A" w:rsidRPr="009E3543" w:rsidRDefault="00651E4A" w:rsidP="00651E4A">
            <w:pPr>
              <w:spacing w:before="0"/>
              <w:rPr>
                <w:rFonts w:ascii="Calibri" w:hAnsi="Calibri" w:cs="Calibri"/>
                <w:color w:val="000000"/>
                <w:sz w:val="20"/>
                <w:szCs w:val="20"/>
                <w:lang w:val="en-US"/>
              </w:rPr>
            </w:pPr>
            <w:r w:rsidRPr="009E3543">
              <w:rPr>
                <w:rFonts w:eastAsia="Times New Roman" w:cstheme="minorHAnsi"/>
                <w:color w:val="000000"/>
                <w:sz w:val="20"/>
                <w:szCs w:val="20"/>
                <w:lang w:val="en-US"/>
              </w:rPr>
              <w:t>Max (MDL)</w:t>
            </w:r>
          </w:p>
        </w:tc>
        <w:tc>
          <w:tcPr>
            <w:tcW w:w="1116" w:type="dxa"/>
            <w:tcBorders>
              <w:bottom w:val="single" w:sz="4" w:space="0" w:color="auto"/>
            </w:tcBorders>
            <w:shd w:val="clear" w:color="auto" w:fill="auto"/>
            <w:noWrap/>
            <w:vAlign w:val="bottom"/>
          </w:tcPr>
          <w:p w14:paraId="3E379043"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100</w:t>
            </w:r>
            <w:r w:rsidR="007C491B">
              <w:rPr>
                <w:rFonts w:ascii="Calibri" w:hAnsi="Calibri" w:cs="Calibri"/>
                <w:color w:val="000000"/>
                <w:sz w:val="20"/>
                <w:szCs w:val="20"/>
              </w:rPr>
              <w:t>,</w:t>
            </w:r>
            <w:r w:rsidRPr="009E3543">
              <w:rPr>
                <w:rFonts w:ascii="Calibri" w:hAnsi="Calibri" w:cs="Calibri"/>
                <w:color w:val="000000"/>
                <w:sz w:val="20"/>
                <w:szCs w:val="20"/>
              </w:rPr>
              <w:t>000</w:t>
            </w:r>
          </w:p>
        </w:tc>
        <w:tc>
          <w:tcPr>
            <w:tcW w:w="1116" w:type="dxa"/>
            <w:tcBorders>
              <w:bottom w:val="single" w:sz="4" w:space="0" w:color="auto"/>
            </w:tcBorders>
            <w:shd w:val="clear" w:color="auto" w:fill="auto"/>
            <w:noWrap/>
            <w:vAlign w:val="bottom"/>
          </w:tcPr>
          <w:p w14:paraId="74A63BF8"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100</w:t>
            </w:r>
            <w:r w:rsidR="007C491B">
              <w:rPr>
                <w:rFonts w:ascii="Calibri" w:hAnsi="Calibri" w:cs="Calibri"/>
                <w:color w:val="000000"/>
                <w:sz w:val="20"/>
                <w:szCs w:val="20"/>
              </w:rPr>
              <w:t>,</w:t>
            </w:r>
            <w:r w:rsidRPr="009E3543">
              <w:rPr>
                <w:rFonts w:ascii="Calibri" w:hAnsi="Calibri" w:cs="Calibri"/>
                <w:color w:val="000000"/>
                <w:sz w:val="20"/>
                <w:szCs w:val="20"/>
              </w:rPr>
              <w:t>000</w:t>
            </w:r>
          </w:p>
        </w:tc>
        <w:tc>
          <w:tcPr>
            <w:tcW w:w="1117" w:type="dxa"/>
            <w:tcBorders>
              <w:bottom w:val="single" w:sz="4" w:space="0" w:color="auto"/>
            </w:tcBorders>
            <w:shd w:val="clear" w:color="auto" w:fill="auto"/>
            <w:noWrap/>
            <w:vAlign w:val="bottom"/>
          </w:tcPr>
          <w:p w14:paraId="28578CEF" w14:textId="77777777" w:rsidR="00651E4A" w:rsidRPr="009E3543" w:rsidRDefault="00651E4A" w:rsidP="00651E4A">
            <w:pPr>
              <w:spacing w:before="0"/>
              <w:jc w:val="center"/>
              <w:rPr>
                <w:rFonts w:ascii="Calibri" w:hAnsi="Calibri" w:cs="Calibri"/>
                <w:color w:val="000000"/>
                <w:sz w:val="20"/>
                <w:szCs w:val="20"/>
              </w:rPr>
            </w:pPr>
            <w:r w:rsidRPr="009E3543">
              <w:rPr>
                <w:rFonts w:ascii="Calibri" w:hAnsi="Calibri" w:cs="Calibri"/>
                <w:color w:val="000000"/>
                <w:sz w:val="20"/>
                <w:szCs w:val="20"/>
              </w:rPr>
              <w:t>100</w:t>
            </w:r>
            <w:r w:rsidR="007C491B">
              <w:rPr>
                <w:rFonts w:ascii="Calibri" w:hAnsi="Calibri" w:cs="Calibri"/>
                <w:color w:val="000000"/>
                <w:sz w:val="20"/>
                <w:szCs w:val="20"/>
              </w:rPr>
              <w:t>,</w:t>
            </w:r>
            <w:r w:rsidRPr="009E3543">
              <w:rPr>
                <w:rFonts w:ascii="Calibri" w:hAnsi="Calibri" w:cs="Calibri"/>
                <w:color w:val="000000"/>
                <w:sz w:val="20"/>
                <w:szCs w:val="20"/>
              </w:rPr>
              <w:t>000</w:t>
            </w:r>
          </w:p>
        </w:tc>
      </w:tr>
    </w:tbl>
    <w:p w14:paraId="77208553" w14:textId="1C4A4D3C" w:rsidR="00BE3B8D" w:rsidRDefault="00BE3B8D" w:rsidP="00BE3B8D">
      <w:pPr>
        <w:jc w:val="both"/>
      </w:pPr>
      <w:r w:rsidRPr="006B44F8">
        <w:rPr>
          <w:b/>
        </w:rPr>
        <w:t>Job seekers looking for a job in Top management and Work abroad expect much higher salary than in the other sectors</w:t>
      </w:r>
      <w:r w:rsidR="006B44F8">
        <w:rPr>
          <w:b/>
        </w:rPr>
        <w:t xml:space="preserve"> </w:t>
      </w:r>
      <w:r w:rsidR="006B44F8" w:rsidRPr="009E3543">
        <w:t>(</w:t>
      </w:r>
      <w:r w:rsidR="006B44F8" w:rsidRPr="009E3543">
        <w:fldChar w:fldCharType="begin"/>
      </w:r>
      <w:r w:rsidR="006B44F8" w:rsidRPr="009E3543">
        <w:instrText xml:space="preserve"> REF _Ref521573283 \h </w:instrText>
      </w:r>
      <w:r w:rsidR="006B44F8">
        <w:instrText xml:space="preserve"> \* MERGEFORMAT </w:instrText>
      </w:r>
      <w:r w:rsidR="006B44F8" w:rsidRPr="009E3543">
        <w:fldChar w:fldCharType="separate"/>
      </w:r>
      <w:r w:rsidR="006B44F8">
        <w:t xml:space="preserve">Figure </w:t>
      </w:r>
      <w:r w:rsidR="006B44F8">
        <w:rPr>
          <w:noProof/>
        </w:rPr>
        <w:t>32</w:t>
      </w:r>
      <w:r w:rsidR="006B44F8" w:rsidRPr="009E3543">
        <w:fldChar w:fldCharType="end"/>
      </w:r>
      <w:r w:rsidR="006B44F8">
        <w:t>)</w:t>
      </w:r>
      <w:r w:rsidRPr="009E3543">
        <w:t>, but variation in salary expectations is also very large (</w:t>
      </w:r>
      <w:r w:rsidR="006B44F8">
        <w:fldChar w:fldCharType="begin"/>
      </w:r>
      <w:r w:rsidR="006B44F8">
        <w:instrText xml:space="preserve"> REF _Ref533209493 \h </w:instrText>
      </w:r>
      <w:r w:rsidR="006B44F8">
        <w:fldChar w:fldCharType="separate"/>
      </w:r>
      <w:r w:rsidR="006B44F8">
        <w:t xml:space="preserve">Figure </w:t>
      </w:r>
      <w:r w:rsidR="006B44F8">
        <w:rPr>
          <w:noProof/>
        </w:rPr>
        <w:t>33</w:t>
      </w:r>
      <w:r w:rsidR="006B44F8">
        <w:fldChar w:fldCharType="end"/>
      </w:r>
      <w:r w:rsidRPr="009E3543">
        <w:t xml:space="preserve">). Young individuals looking for </w:t>
      </w:r>
      <w:r w:rsidR="007C491B">
        <w:t>W</w:t>
      </w:r>
      <w:r w:rsidRPr="009E3543">
        <w:t>ork for students are the least demanding in terms of wages.</w:t>
      </w:r>
    </w:p>
    <w:p w14:paraId="35A7BC69" w14:textId="6981CA7D" w:rsidR="00D668F4" w:rsidRDefault="002F7B83" w:rsidP="00A116ED">
      <w:pPr>
        <w:pStyle w:val="ad"/>
        <w:spacing w:before="240" w:after="0"/>
        <w:jc w:val="left"/>
        <w:rPr>
          <w:lang w:val="en-US"/>
        </w:rPr>
      </w:pPr>
      <w:bookmarkStart w:id="126" w:name="_Ref521573283"/>
      <w:bookmarkStart w:id="127" w:name="_Toc533211788"/>
      <w:r>
        <w:t xml:space="preserve">Figure </w:t>
      </w:r>
      <w:r>
        <w:fldChar w:fldCharType="begin"/>
      </w:r>
      <w:r>
        <w:instrText xml:space="preserve"> SEQ Figure \* ARABIC </w:instrText>
      </w:r>
      <w:r>
        <w:fldChar w:fldCharType="separate"/>
      </w:r>
      <w:r w:rsidR="007F56F7">
        <w:rPr>
          <w:noProof/>
        </w:rPr>
        <w:t>32</w:t>
      </w:r>
      <w:r>
        <w:fldChar w:fldCharType="end"/>
      </w:r>
      <w:bookmarkEnd w:id="126"/>
      <w:r>
        <w:t xml:space="preserve">: </w:t>
      </w:r>
      <w:r w:rsidR="00C67B06">
        <w:t xml:space="preserve">Average </w:t>
      </w:r>
      <w:r w:rsidR="00C370F4">
        <w:t>salary expectations</w:t>
      </w:r>
      <w:r w:rsidR="00C67B06">
        <w:t xml:space="preserve"> and g</w:t>
      </w:r>
      <w:r w:rsidR="00BE5E8F">
        <w:t xml:space="preserve">ender gap </w:t>
      </w:r>
      <w:r>
        <w:t>among job seekers by sector (MDL), 2018</w:t>
      </w:r>
      <w:r w:rsidRPr="002F7B83">
        <w:rPr>
          <w:vertAlign w:val="superscript"/>
        </w:rPr>
        <w:t>*</w:t>
      </w:r>
      <w:bookmarkEnd w:id="127"/>
    </w:p>
    <w:p w14:paraId="7EF3DA56" w14:textId="77777777" w:rsidR="002F7B83" w:rsidRDefault="0049615D" w:rsidP="00D668F4">
      <w:pPr>
        <w:rPr>
          <w:i/>
          <w:sz w:val="20"/>
          <w:szCs w:val="20"/>
          <w:lang w:val="en-US"/>
        </w:rPr>
      </w:pPr>
      <w:r w:rsidRPr="0049615D">
        <w:rPr>
          <w:noProof/>
          <w:lang w:val="ru-RU" w:eastAsia="ru-RU"/>
        </w:rPr>
        <w:drawing>
          <wp:inline distT="0" distB="0" distL="0" distR="0" wp14:anchorId="5953F54D" wp14:editId="04F6705B">
            <wp:extent cx="5733415" cy="2687360"/>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3415" cy="2687360"/>
                    </a:xfrm>
                    <a:prstGeom prst="rect">
                      <a:avLst/>
                    </a:prstGeom>
                    <a:noFill/>
                    <a:ln>
                      <a:noFill/>
                    </a:ln>
                  </pic:spPr>
                </pic:pic>
              </a:graphicData>
            </a:graphic>
          </wp:inline>
        </w:drawing>
      </w:r>
      <w:r w:rsidR="002F7B83" w:rsidRPr="002F7B83">
        <w:rPr>
          <w:i/>
          <w:sz w:val="20"/>
          <w:szCs w:val="20"/>
          <w:lang w:val="en-US"/>
        </w:rPr>
        <w:t>Note: Job seekers with reservation wage of at least 2000 MDL.</w:t>
      </w:r>
      <w:r w:rsidR="003A21EE">
        <w:rPr>
          <w:i/>
          <w:sz w:val="20"/>
          <w:szCs w:val="20"/>
          <w:lang w:val="en-US"/>
        </w:rPr>
        <w:t xml:space="preserve"> </w:t>
      </w:r>
      <w:r w:rsidR="003A21EE" w:rsidRPr="003A21EE">
        <w:rPr>
          <w:i/>
          <w:sz w:val="20"/>
          <w:szCs w:val="20"/>
          <w:lang w:val="en-US"/>
        </w:rPr>
        <w:t>Sectors are or</w:t>
      </w:r>
      <w:r w:rsidR="00825F21">
        <w:rPr>
          <w:i/>
          <w:sz w:val="20"/>
          <w:szCs w:val="20"/>
          <w:lang w:val="en-US"/>
        </w:rPr>
        <w:t xml:space="preserve">dered by the gender gap in the </w:t>
      </w:r>
      <w:r w:rsidR="00825F21" w:rsidRPr="003A21EE">
        <w:rPr>
          <w:i/>
          <w:sz w:val="20"/>
          <w:szCs w:val="20"/>
        </w:rPr>
        <w:t>average</w:t>
      </w:r>
      <w:r w:rsidR="003A21EE" w:rsidRPr="003A21EE">
        <w:rPr>
          <w:i/>
          <w:sz w:val="20"/>
          <w:szCs w:val="20"/>
        </w:rPr>
        <w:t xml:space="preserve"> reservation wage</w:t>
      </w:r>
      <w:r w:rsidR="003A21EE" w:rsidRPr="003A21EE">
        <w:rPr>
          <w:i/>
          <w:sz w:val="20"/>
          <w:szCs w:val="20"/>
          <w:lang w:val="en-US"/>
        </w:rPr>
        <w:t>.</w:t>
      </w:r>
    </w:p>
    <w:p w14:paraId="281DD6E3" w14:textId="5C05323F" w:rsidR="00C72640" w:rsidRDefault="00207B9A" w:rsidP="00CF4D62">
      <w:pPr>
        <w:jc w:val="both"/>
        <w:rPr>
          <w:color w:val="000000"/>
        </w:rPr>
      </w:pPr>
      <w:r>
        <w:rPr>
          <w:b/>
        </w:rPr>
        <w:t xml:space="preserve">Female jobseekers </w:t>
      </w:r>
      <w:r w:rsidR="00CF4D62" w:rsidRPr="00207B9A">
        <w:rPr>
          <w:b/>
        </w:rPr>
        <w:t xml:space="preserve">expect, on average, 17.6 percent lower wages </w:t>
      </w:r>
      <w:r>
        <w:rPr>
          <w:b/>
        </w:rPr>
        <w:t>compared to males</w:t>
      </w:r>
      <w:r w:rsidR="00CF4D62" w:rsidRPr="009E3543">
        <w:t xml:space="preserve"> (</w:t>
      </w:r>
      <w:r w:rsidR="00CF4D62" w:rsidRPr="009E3543">
        <w:fldChar w:fldCharType="begin"/>
      </w:r>
      <w:r w:rsidR="00CF4D62" w:rsidRPr="009E3543">
        <w:instrText xml:space="preserve"> REF _Ref521570653 \h </w:instrText>
      </w:r>
      <w:r w:rsidR="009E3543">
        <w:instrText xml:space="preserve"> \* MERGEFORMAT </w:instrText>
      </w:r>
      <w:r w:rsidR="00CF4D62" w:rsidRPr="009E3543">
        <w:fldChar w:fldCharType="separate"/>
      </w:r>
      <w:r w:rsidR="00206AA9" w:rsidRPr="009E3543">
        <w:rPr>
          <w:lang w:val="en-US"/>
        </w:rPr>
        <w:t xml:space="preserve">Table </w:t>
      </w:r>
      <w:r w:rsidR="00206AA9">
        <w:rPr>
          <w:noProof/>
          <w:lang w:val="en-US"/>
        </w:rPr>
        <w:t>11</w:t>
      </w:r>
      <w:r w:rsidR="00CF4D62" w:rsidRPr="009E3543">
        <w:fldChar w:fldCharType="end"/>
      </w:r>
      <w:r w:rsidR="00CF4D62" w:rsidRPr="009E3543">
        <w:t xml:space="preserve">). </w:t>
      </w:r>
      <w:r w:rsidR="00C72640" w:rsidRPr="009E3543">
        <w:rPr>
          <w:color w:val="000000"/>
        </w:rPr>
        <w:t>The unadjusted gender gap in the mean expected salary appears to be higher than the actual pay gap in monthly net wage among employees in 2016 (12.6 percent). Thus, female job</w:t>
      </w:r>
      <w:r w:rsidR="007C491B">
        <w:rPr>
          <w:color w:val="000000"/>
        </w:rPr>
        <w:t xml:space="preserve"> </w:t>
      </w:r>
      <w:r w:rsidR="00C72640" w:rsidRPr="009E3543">
        <w:rPr>
          <w:color w:val="000000"/>
        </w:rPr>
        <w:t xml:space="preserve">seekers </w:t>
      </w:r>
      <w:r w:rsidR="007C491B">
        <w:rPr>
          <w:color w:val="000000"/>
        </w:rPr>
        <w:t>expect</w:t>
      </w:r>
      <w:r w:rsidR="007C491B" w:rsidRPr="009E3543">
        <w:rPr>
          <w:color w:val="000000"/>
        </w:rPr>
        <w:t xml:space="preserve"> </w:t>
      </w:r>
      <w:r w:rsidR="00C72640" w:rsidRPr="009E3543">
        <w:rPr>
          <w:color w:val="000000"/>
        </w:rPr>
        <w:t xml:space="preserve">on average much lower wages than men, probably because of imperfect </w:t>
      </w:r>
      <w:r w:rsidR="00C72640" w:rsidRPr="00F16097">
        <w:rPr>
          <w:color w:val="000000"/>
        </w:rPr>
        <w:t>information about wage offer</w:t>
      </w:r>
      <w:r w:rsidR="00C72640" w:rsidRPr="00F16097">
        <w:t xml:space="preserve"> </w:t>
      </w:r>
      <w:r w:rsidR="00C72640" w:rsidRPr="00F16097">
        <w:rPr>
          <w:color w:val="000000"/>
        </w:rPr>
        <w:lastRenderedPageBreak/>
        <w:t>and lower reservation wage</w:t>
      </w:r>
      <w:r w:rsidR="007C491B">
        <w:rPr>
          <w:color w:val="000000"/>
        </w:rPr>
        <w:t>s</w:t>
      </w:r>
      <w:r w:rsidR="00C72640" w:rsidRPr="00F16097">
        <w:rPr>
          <w:color w:val="000000"/>
        </w:rPr>
        <w:t xml:space="preserve">. But differences in the </w:t>
      </w:r>
      <w:proofErr w:type="spellStart"/>
      <w:r w:rsidR="00C72640" w:rsidRPr="00F16097">
        <w:rPr>
          <w:color w:val="000000"/>
        </w:rPr>
        <w:t>sectoral</w:t>
      </w:r>
      <w:proofErr w:type="spellEnd"/>
      <w:r w:rsidR="00C72640" w:rsidRPr="00F16097">
        <w:rPr>
          <w:color w:val="000000"/>
        </w:rPr>
        <w:t xml:space="preserve"> and occupational composition</w:t>
      </w:r>
      <w:r w:rsidR="00C72640" w:rsidRPr="009E3543">
        <w:rPr>
          <w:color w:val="000000"/>
        </w:rPr>
        <w:t xml:space="preserve"> of employed population in 2016 and the sample of job seekers in 2018 might also contribute to the observed difference in the pay gap.</w:t>
      </w:r>
    </w:p>
    <w:p w14:paraId="1BC990EB" w14:textId="443FAEC1" w:rsidR="00D3716D" w:rsidRDefault="00CF4D62" w:rsidP="00C72640">
      <w:pPr>
        <w:jc w:val="both"/>
        <w:rPr>
          <w:color w:val="000000"/>
        </w:rPr>
      </w:pPr>
      <w:r w:rsidRPr="00207B9A">
        <w:rPr>
          <w:b/>
        </w:rPr>
        <w:t xml:space="preserve">But the unadjusted gender gap in the mean expected salary varies </w:t>
      </w:r>
      <w:r w:rsidR="007C491B" w:rsidRPr="00207B9A">
        <w:rPr>
          <w:b/>
        </w:rPr>
        <w:t>greatly by</w:t>
      </w:r>
      <w:r w:rsidRPr="00207B9A">
        <w:rPr>
          <w:b/>
        </w:rPr>
        <w:t xml:space="preserve"> sector – from </w:t>
      </w:r>
      <w:r w:rsidR="007C491B" w:rsidRPr="00207B9A">
        <w:rPr>
          <w:b/>
        </w:rPr>
        <w:t xml:space="preserve">negative </w:t>
      </w:r>
      <w:r w:rsidRPr="00207B9A">
        <w:rPr>
          <w:b/>
        </w:rPr>
        <w:t xml:space="preserve">41.3 percent in private households with employed persons to </w:t>
      </w:r>
      <w:r w:rsidR="007C491B" w:rsidRPr="00207B9A">
        <w:rPr>
          <w:b/>
        </w:rPr>
        <w:t xml:space="preserve">positive </w:t>
      </w:r>
      <w:r w:rsidRPr="00207B9A">
        <w:rPr>
          <w:rFonts w:ascii="Calibri" w:eastAsia="Times New Roman" w:hAnsi="Calibri" w:cs="Calibri"/>
          <w:b/>
          <w:color w:val="000000"/>
          <w:lang w:val="en-US"/>
        </w:rPr>
        <w:t>33.5 percent in Financial and insurance activities and 36.4 percent reported by individuals willing to work abroad</w:t>
      </w:r>
      <w:r w:rsidRPr="009E3543">
        <w:rPr>
          <w:rFonts w:ascii="Calibri" w:eastAsia="Times New Roman" w:hAnsi="Calibri" w:cs="Calibri"/>
          <w:color w:val="000000"/>
          <w:lang w:val="en-US"/>
        </w:rPr>
        <w:t xml:space="preserve"> (</w:t>
      </w:r>
      <w:r w:rsidRPr="009E3543">
        <w:rPr>
          <w:rFonts w:ascii="Calibri" w:eastAsia="Times New Roman" w:hAnsi="Calibri" w:cs="Calibri"/>
          <w:color w:val="000000"/>
          <w:lang w:val="en-US"/>
        </w:rPr>
        <w:fldChar w:fldCharType="begin"/>
      </w:r>
      <w:r w:rsidRPr="009E3543">
        <w:rPr>
          <w:rFonts w:ascii="Calibri" w:eastAsia="Times New Roman" w:hAnsi="Calibri" w:cs="Calibri"/>
          <w:color w:val="000000"/>
          <w:lang w:val="en-US"/>
        </w:rPr>
        <w:instrText xml:space="preserve"> REF _Ref521573283 \h </w:instrText>
      </w:r>
      <w:r w:rsidR="009E3543">
        <w:rPr>
          <w:rFonts w:ascii="Calibri" w:eastAsia="Times New Roman" w:hAnsi="Calibri" w:cs="Calibri"/>
          <w:color w:val="000000"/>
          <w:lang w:val="en-US"/>
        </w:rPr>
        <w:instrText xml:space="preserve"> \* MERGEFORMAT </w:instrText>
      </w:r>
      <w:r w:rsidRPr="009E3543">
        <w:rPr>
          <w:rFonts w:ascii="Calibri" w:eastAsia="Times New Roman" w:hAnsi="Calibri" w:cs="Calibri"/>
          <w:color w:val="000000"/>
          <w:lang w:val="en-US"/>
        </w:rPr>
      </w:r>
      <w:r w:rsidRPr="009E3543">
        <w:rPr>
          <w:rFonts w:ascii="Calibri" w:eastAsia="Times New Roman" w:hAnsi="Calibri" w:cs="Calibri"/>
          <w:color w:val="000000"/>
          <w:lang w:val="en-US"/>
        </w:rPr>
        <w:fldChar w:fldCharType="separate"/>
      </w:r>
      <w:r w:rsidR="00207B9A">
        <w:t xml:space="preserve">Figure </w:t>
      </w:r>
      <w:r w:rsidR="00207B9A">
        <w:rPr>
          <w:noProof/>
        </w:rPr>
        <w:t>32</w:t>
      </w:r>
      <w:r w:rsidRPr="009E3543">
        <w:rPr>
          <w:rFonts w:ascii="Calibri" w:eastAsia="Times New Roman" w:hAnsi="Calibri" w:cs="Calibri"/>
          <w:color w:val="000000"/>
          <w:lang w:val="en-US"/>
        </w:rPr>
        <w:fldChar w:fldCharType="end"/>
      </w:r>
      <w:r w:rsidRPr="009E3543">
        <w:rPr>
          <w:rFonts w:ascii="Calibri" w:eastAsia="Times New Roman" w:hAnsi="Calibri" w:cs="Calibri"/>
          <w:color w:val="000000"/>
          <w:lang w:val="en-US"/>
        </w:rPr>
        <w:t xml:space="preserve">). The negative gap in four sectors suggests that women expect on average higher salaries than men. All these sectors are female-dominated (see </w:t>
      </w:r>
      <w:r w:rsidRPr="009E3543">
        <w:rPr>
          <w:rFonts w:ascii="Calibri" w:eastAsia="Times New Roman" w:hAnsi="Calibri" w:cs="Calibri"/>
          <w:color w:val="000000"/>
          <w:lang w:val="en-US"/>
        </w:rPr>
        <w:fldChar w:fldCharType="begin"/>
      </w:r>
      <w:r w:rsidRPr="009E3543">
        <w:rPr>
          <w:rFonts w:ascii="Calibri" w:eastAsia="Times New Roman" w:hAnsi="Calibri" w:cs="Calibri"/>
          <w:color w:val="000000"/>
          <w:lang w:val="en-US"/>
        </w:rPr>
        <w:instrText xml:space="preserve"> REF _Ref521328186 \h  \* MERGEFORMAT </w:instrText>
      </w:r>
      <w:r w:rsidRPr="009E3543">
        <w:rPr>
          <w:rFonts w:ascii="Calibri" w:eastAsia="Times New Roman" w:hAnsi="Calibri" w:cs="Calibri"/>
          <w:color w:val="000000"/>
          <w:lang w:val="en-US"/>
        </w:rPr>
      </w:r>
      <w:r w:rsidRPr="009E3543">
        <w:rPr>
          <w:rFonts w:ascii="Calibri" w:eastAsia="Times New Roman" w:hAnsi="Calibri" w:cs="Calibri"/>
          <w:color w:val="000000"/>
          <w:lang w:val="en-US"/>
        </w:rPr>
        <w:fldChar w:fldCharType="separate"/>
      </w:r>
      <w:r w:rsidR="00207B9A" w:rsidRPr="00F42BAA">
        <w:t xml:space="preserve">Figure </w:t>
      </w:r>
      <w:r w:rsidR="00207B9A">
        <w:rPr>
          <w:noProof/>
        </w:rPr>
        <w:t>26</w:t>
      </w:r>
      <w:r w:rsidRPr="009E3543">
        <w:rPr>
          <w:rFonts w:ascii="Calibri" w:eastAsia="Times New Roman" w:hAnsi="Calibri" w:cs="Calibri"/>
          <w:color w:val="000000"/>
          <w:lang w:val="en-US"/>
        </w:rPr>
        <w:fldChar w:fldCharType="end"/>
      </w:r>
      <w:r w:rsidRPr="009E3543">
        <w:rPr>
          <w:rFonts w:ascii="Calibri" w:eastAsia="Times New Roman" w:hAnsi="Calibri" w:cs="Calibri"/>
          <w:color w:val="000000"/>
          <w:lang w:val="en-US"/>
        </w:rPr>
        <w:t>), so female job seekers may feel their comparative advantage and expect higher salaries than men.</w:t>
      </w:r>
      <w:r w:rsidR="00C72640">
        <w:rPr>
          <w:rFonts w:ascii="Calibri" w:eastAsia="Times New Roman" w:hAnsi="Calibri" w:cs="Calibri"/>
          <w:color w:val="000000"/>
          <w:lang w:val="en-US"/>
        </w:rPr>
        <w:t xml:space="preserve"> </w:t>
      </w:r>
      <w:r w:rsidR="00C72640" w:rsidRPr="006D4290">
        <w:rPr>
          <w:rFonts w:ascii="Calibri" w:eastAsia="Times New Roman" w:hAnsi="Calibri" w:cs="Calibri"/>
          <w:color w:val="000000"/>
          <w:lang w:val="en-US"/>
        </w:rPr>
        <w:t>W</w:t>
      </w:r>
      <w:proofErr w:type="spellStart"/>
      <w:r w:rsidR="00C72640" w:rsidRPr="006D4290">
        <w:rPr>
          <w:color w:val="000000"/>
        </w:rPr>
        <w:t>ider</w:t>
      </w:r>
      <w:proofErr w:type="spellEnd"/>
      <w:r w:rsidR="00C72640" w:rsidRPr="006D4290">
        <w:rPr>
          <w:color w:val="000000"/>
        </w:rPr>
        <w:t xml:space="preserve"> confidence intervals along with lower </w:t>
      </w:r>
      <w:r w:rsidR="00C72640" w:rsidRPr="006D4290">
        <w:t>expected salary reported by women in many sectors</w:t>
      </w:r>
      <w:r w:rsidR="00C72640" w:rsidRPr="006D4290">
        <w:rPr>
          <w:color w:val="000000"/>
        </w:rPr>
        <w:t xml:space="preserve"> (</w:t>
      </w:r>
      <w:r w:rsidR="00207B9A">
        <w:rPr>
          <w:color w:val="000000"/>
        </w:rPr>
        <w:fldChar w:fldCharType="begin"/>
      </w:r>
      <w:r w:rsidR="00207B9A">
        <w:rPr>
          <w:color w:val="000000"/>
        </w:rPr>
        <w:instrText xml:space="preserve"> REF _Ref533209493 \h </w:instrText>
      </w:r>
      <w:r w:rsidR="00207B9A">
        <w:rPr>
          <w:color w:val="000000"/>
        </w:rPr>
      </w:r>
      <w:r w:rsidR="00207B9A">
        <w:rPr>
          <w:color w:val="000000"/>
        </w:rPr>
        <w:fldChar w:fldCharType="separate"/>
      </w:r>
      <w:r w:rsidR="00207B9A">
        <w:t xml:space="preserve">Figure </w:t>
      </w:r>
      <w:r w:rsidR="00207B9A">
        <w:rPr>
          <w:noProof/>
        </w:rPr>
        <w:t>33</w:t>
      </w:r>
      <w:r w:rsidR="00207B9A">
        <w:rPr>
          <w:color w:val="000000"/>
        </w:rPr>
        <w:fldChar w:fldCharType="end"/>
      </w:r>
      <w:r w:rsidR="00C72640" w:rsidRPr="006D4290">
        <w:rPr>
          <w:color w:val="000000"/>
        </w:rPr>
        <w:t xml:space="preserve">) </w:t>
      </w:r>
      <w:r w:rsidR="007C491B">
        <w:t>provide</w:t>
      </w:r>
      <w:r w:rsidR="00C72640" w:rsidRPr="006D4290">
        <w:t xml:space="preserve"> </w:t>
      </w:r>
      <w:r w:rsidR="007C491B">
        <w:t>additional</w:t>
      </w:r>
      <w:r w:rsidR="007C491B" w:rsidRPr="006D4290">
        <w:t xml:space="preserve"> </w:t>
      </w:r>
      <w:r w:rsidR="00C72640" w:rsidRPr="006D4290">
        <w:t>evidence of imperfect information for women</w:t>
      </w:r>
      <w:r w:rsidR="00C72640" w:rsidRPr="006D4290">
        <w:rPr>
          <w:color w:val="000000"/>
        </w:rPr>
        <w:t xml:space="preserve"> compared to men.</w:t>
      </w:r>
    </w:p>
    <w:p w14:paraId="785CA5EA" w14:textId="5A20088A" w:rsidR="009B6AC4" w:rsidRDefault="006B44F8" w:rsidP="00207B9A">
      <w:pPr>
        <w:pStyle w:val="ad"/>
        <w:spacing w:before="240" w:after="0"/>
        <w:jc w:val="left"/>
        <w:rPr>
          <w:lang w:val="en-US"/>
        </w:rPr>
      </w:pPr>
      <w:bookmarkStart w:id="128" w:name="_Ref533209493"/>
      <w:bookmarkStart w:id="129" w:name="_Toc533211789"/>
      <w:r>
        <w:t xml:space="preserve">Figure </w:t>
      </w:r>
      <w:r>
        <w:fldChar w:fldCharType="begin"/>
      </w:r>
      <w:r>
        <w:instrText xml:space="preserve"> SEQ Figure \* ARABIC </w:instrText>
      </w:r>
      <w:r>
        <w:fldChar w:fldCharType="separate"/>
      </w:r>
      <w:r>
        <w:rPr>
          <w:noProof/>
        </w:rPr>
        <w:t>33</w:t>
      </w:r>
      <w:r>
        <w:fldChar w:fldCharType="end"/>
      </w:r>
      <w:bookmarkEnd w:id="128"/>
      <w:r w:rsidR="009B6AC4">
        <w:t xml:space="preserve">: </w:t>
      </w:r>
      <w:r w:rsidR="009B6AC4" w:rsidRPr="001608B9">
        <w:t>Average salary expected by female and male job seekers</w:t>
      </w:r>
      <w:r w:rsidR="009B6AC4">
        <w:t xml:space="preserve"> by sector (MDL), 2018</w:t>
      </w:r>
      <w:bookmarkEnd w:id="129"/>
    </w:p>
    <w:p w14:paraId="1555F480" w14:textId="77777777" w:rsidR="009B6AC4" w:rsidRPr="004A792A" w:rsidRDefault="009B6AC4" w:rsidP="009B6AC4">
      <w:pPr>
        <w:rPr>
          <w:lang w:val="en-US"/>
        </w:rPr>
      </w:pPr>
      <w:r w:rsidRPr="00F6006F">
        <w:rPr>
          <w:noProof/>
          <w:lang w:val="ru-RU" w:eastAsia="ru-RU"/>
        </w:rPr>
        <w:drawing>
          <wp:inline distT="0" distB="0" distL="0" distR="0" wp14:anchorId="718A218C" wp14:editId="5B35E255">
            <wp:extent cx="5733415" cy="3074334"/>
            <wp:effectExtent l="0" t="0" r="63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3415" cy="3074334"/>
                    </a:xfrm>
                    <a:prstGeom prst="rect">
                      <a:avLst/>
                    </a:prstGeom>
                    <a:noFill/>
                    <a:ln>
                      <a:noFill/>
                    </a:ln>
                  </pic:spPr>
                </pic:pic>
              </a:graphicData>
            </a:graphic>
          </wp:inline>
        </w:drawing>
      </w:r>
    </w:p>
    <w:p w14:paraId="1D919AF5" w14:textId="77777777" w:rsidR="009B6AC4" w:rsidRDefault="009B6AC4" w:rsidP="009B6AC4">
      <w:pPr>
        <w:rPr>
          <w:i/>
          <w:sz w:val="20"/>
          <w:szCs w:val="20"/>
          <w:lang w:val="en-US"/>
        </w:rPr>
      </w:pPr>
      <w:r>
        <w:rPr>
          <w:i/>
          <w:sz w:val="20"/>
          <w:szCs w:val="20"/>
          <w:lang w:val="en-US"/>
        </w:rPr>
        <w:t xml:space="preserve">Note: Job seekers with expected salary </w:t>
      </w:r>
      <w:r w:rsidRPr="002F7B83">
        <w:rPr>
          <w:i/>
          <w:sz w:val="20"/>
          <w:szCs w:val="20"/>
          <w:lang w:val="en-US"/>
        </w:rPr>
        <w:t>of at least 2000 MDL.</w:t>
      </w:r>
      <w:r>
        <w:rPr>
          <w:i/>
          <w:sz w:val="20"/>
          <w:szCs w:val="20"/>
          <w:lang w:val="en-US"/>
        </w:rPr>
        <w:t xml:space="preserve"> The figures show mean wages with 95% confidence intervals.</w:t>
      </w:r>
    </w:p>
    <w:p w14:paraId="75F27547" w14:textId="77777777" w:rsidR="009B6AC4" w:rsidRPr="007C445F" w:rsidRDefault="009B6AC4" w:rsidP="002C48C3">
      <w:pPr>
        <w:spacing w:before="60"/>
        <w:jc w:val="both"/>
        <w:rPr>
          <w:i/>
          <w:sz w:val="20"/>
          <w:szCs w:val="20"/>
          <w:lang w:val="en-US"/>
        </w:rPr>
      </w:pPr>
      <w:r w:rsidRPr="007C445F">
        <w:rPr>
          <w:i/>
          <w:sz w:val="20"/>
          <w:szCs w:val="20"/>
          <w:lang w:val="en-US"/>
        </w:rPr>
        <w:t xml:space="preserve">Key for sectors: </w:t>
      </w:r>
      <w:r w:rsidRPr="005D79AC">
        <w:rPr>
          <w:i/>
          <w:sz w:val="20"/>
          <w:szCs w:val="20"/>
          <w:lang w:val="en-US"/>
        </w:rPr>
        <w:t>1 =</w:t>
      </w:r>
      <w:r w:rsidRPr="005D79AC">
        <w:rPr>
          <w:rFonts w:ascii="Calibri" w:eastAsia="Times New Roman" w:hAnsi="Calibri" w:cs="Calibri"/>
          <w:i/>
          <w:color w:val="000000"/>
          <w:sz w:val="20"/>
          <w:szCs w:val="20"/>
          <w:lang w:val="en-US"/>
        </w:rPr>
        <w:t xml:space="preserve"> </w:t>
      </w:r>
      <w:r w:rsidRPr="007C445F">
        <w:rPr>
          <w:rFonts w:ascii="Calibri" w:eastAsia="Times New Roman" w:hAnsi="Calibri" w:cs="Calibri"/>
          <w:i/>
          <w:color w:val="000000"/>
          <w:sz w:val="20"/>
          <w:szCs w:val="20"/>
          <w:lang w:val="en-US"/>
        </w:rPr>
        <w:t>Industry</w:t>
      </w:r>
      <w:r w:rsidRPr="005D79AC">
        <w:rPr>
          <w:rFonts w:ascii="Calibri" w:eastAsia="Times New Roman" w:hAnsi="Calibri" w:cs="Calibri"/>
          <w:i/>
          <w:color w:val="000000"/>
          <w:sz w:val="20"/>
          <w:szCs w:val="20"/>
          <w:lang w:val="en-US"/>
        </w:rPr>
        <w:t xml:space="preserve">, 2 = </w:t>
      </w:r>
      <w:r w:rsidRPr="007C445F">
        <w:rPr>
          <w:rFonts w:ascii="Calibri" w:eastAsia="Times New Roman" w:hAnsi="Calibri" w:cs="Calibri"/>
          <w:i/>
          <w:color w:val="000000"/>
          <w:sz w:val="20"/>
          <w:szCs w:val="20"/>
          <w:lang w:val="en-US"/>
        </w:rPr>
        <w:t>Construction</w:t>
      </w:r>
      <w:r w:rsidRPr="005D79AC">
        <w:rPr>
          <w:rFonts w:ascii="Calibri" w:eastAsia="Times New Roman" w:hAnsi="Calibri" w:cs="Calibri"/>
          <w:i/>
          <w:color w:val="000000"/>
          <w:sz w:val="20"/>
          <w:szCs w:val="20"/>
          <w:lang w:val="en-US"/>
        </w:rPr>
        <w:t xml:space="preserve">, 3 = </w:t>
      </w:r>
      <w:r w:rsidRPr="007C445F">
        <w:rPr>
          <w:rFonts w:ascii="Calibri" w:eastAsia="Times New Roman" w:hAnsi="Calibri" w:cs="Calibri"/>
          <w:i/>
          <w:color w:val="000000"/>
          <w:sz w:val="20"/>
          <w:szCs w:val="20"/>
          <w:lang w:val="en-US"/>
        </w:rPr>
        <w:t>Trade</w:t>
      </w:r>
      <w:r w:rsidRPr="005D79AC">
        <w:rPr>
          <w:rFonts w:ascii="Calibri" w:eastAsia="Times New Roman" w:hAnsi="Calibri" w:cs="Calibri"/>
          <w:i/>
          <w:color w:val="000000"/>
          <w:sz w:val="20"/>
          <w:szCs w:val="20"/>
          <w:lang w:val="en-US"/>
        </w:rPr>
        <w:t xml:space="preserve">, 4 = </w:t>
      </w:r>
      <w:r w:rsidRPr="007C445F">
        <w:rPr>
          <w:rFonts w:ascii="Calibri" w:eastAsia="Times New Roman" w:hAnsi="Calibri" w:cs="Calibri"/>
          <w:i/>
          <w:color w:val="000000"/>
          <w:sz w:val="20"/>
          <w:szCs w:val="20"/>
          <w:lang w:val="en-US"/>
        </w:rPr>
        <w:t>Transportation and storage</w:t>
      </w:r>
      <w:r w:rsidRPr="005D79AC">
        <w:rPr>
          <w:rFonts w:ascii="Calibri" w:eastAsia="Times New Roman" w:hAnsi="Calibri" w:cs="Calibri"/>
          <w:i/>
          <w:color w:val="000000"/>
          <w:sz w:val="20"/>
          <w:szCs w:val="20"/>
          <w:lang w:val="en-US"/>
        </w:rPr>
        <w:t xml:space="preserve">, 5 = </w:t>
      </w:r>
      <w:r w:rsidRPr="007C445F">
        <w:rPr>
          <w:rFonts w:ascii="Calibri" w:eastAsia="Times New Roman" w:hAnsi="Calibri" w:cs="Calibri"/>
          <w:i/>
          <w:color w:val="000000"/>
          <w:sz w:val="20"/>
          <w:szCs w:val="20"/>
          <w:lang w:val="en-US"/>
        </w:rPr>
        <w:t>Accommodation and food service activities</w:t>
      </w:r>
      <w:r w:rsidRPr="005D79AC">
        <w:rPr>
          <w:rFonts w:ascii="Calibri" w:eastAsia="Times New Roman" w:hAnsi="Calibri" w:cs="Calibri"/>
          <w:i/>
          <w:color w:val="000000"/>
          <w:sz w:val="20"/>
          <w:szCs w:val="20"/>
          <w:lang w:val="en-US"/>
        </w:rPr>
        <w:t xml:space="preserve">, 6 = </w:t>
      </w:r>
      <w:r w:rsidRPr="007C445F">
        <w:rPr>
          <w:rFonts w:ascii="Calibri" w:eastAsia="Times New Roman" w:hAnsi="Calibri" w:cs="Calibri"/>
          <w:i/>
          <w:color w:val="000000"/>
          <w:sz w:val="20"/>
          <w:szCs w:val="20"/>
          <w:lang w:val="en-US"/>
        </w:rPr>
        <w:t>Information and communication</w:t>
      </w:r>
      <w:r w:rsidRPr="005D79AC">
        <w:rPr>
          <w:rFonts w:ascii="Calibri" w:eastAsia="Times New Roman" w:hAnsi="Calibri" w:cs="Calibri"/>
          <w:i/>
          <w:color w:val="000000"/>
          <w:sz w:val="20"/>
          <w:szCs w:val="20"/>
          <w:lang w:val="en-US"/>
        </w:rPr>
        <w:t xml:space="preserve">, 7 = Financial and insurance activities, </w:t>
      </w:r>
      <w:r w:rsidRPr="005D79AC">
        <w:rPr>
          <w:rFonts w:ascii="Calibri" w:eastAsia="Times New Roman" w:hAnsi="Calibri" w:cs="Calibri"/>
          <w:i/>
          <w:color w:val="000000"/>
          <w:sz w:val="20"/>
          <w:szCs w:val="20"/>
          <w:lang w:val="en-US"/>
        </w:rPr>
        <w:br/>
        <w:t xml:space="preserve">8 = </w:t>
      </w:r>
      <w:r w:rsidRPr="007C445F">
        <w:rPr>
          <w:rFonts w:ascii="Calibri" w:eastAsia="Times New Roman" w:hAnsi="Calibri" w:cs="Calibri"/>
          <w:i/>
          <w:color w:val="000000"/>
          <w:sz w:val="20"/>
          <w:szCs w:val="20"/>
          <w:lang w:val="en-US"/>
        </w:rPr>
        <w:t>Real estate activities</w:t>
      </w:r>
      <w:r w:rsidRPr="005D79AC">
        <w:rPr>
          <w:rFonts w:ascii="Calibri" w:eastAsia="Times New Roman" w:hAnsi="Calibri" w:cs="Calibri"/>
          <w:i/>
          <w:color w:val="000000"/>
          <w:sz w:val="20"/>
          <w:szCs w:val="20"/>
          <w:lang w:val="en-US"/>
        </w:rPr>
        <w:t xml:space="preserve">, 9 = </w:t>
      </w:r>
      <w:r w:rsidRPr="007C445F">
        <w:rPr>
          <w:rFonts w:ascii="Calibri" w:eastAsia="Times New Roman" w:hAnsi="Calibri" w:cs="Calibri"/>
          <w:i/>
          <w:color w:val="000000"/>
          <w:sz w:val="20"/>
          <w:szCs w:val="20"/>
          <w:lang w:val="en-US"/>
        </w:rPr>
        <w:t>Professional, administrative and support service activities</w:t>
      </w:r>
      <w:r w:rsidRPr="005D79AC">
        <w:rPr>
          <w:rFonts w:ascii="Calibri" w:eastAsia="Times New Roman" w:hAnsi="Calibri" w:cs="Calibri"/>
          <w:i/>
          <w:color w:val="000000"/>
          <w:sz w:val="20"/>
          <w:szCs w:val="20"/>
          <w:lang w:val="en-US"/>
        </w:rPr>
        <w:t xml:space="preserve">, 10 = </w:t>
      </w:r>
      <w:r w:rsidRPr="007C445F">
        <w:rPr>
          <w:rFonts w:ascii="Calibri" w:eastAsia="Times New Roman" w:hAnsi="Calibri" w:cs="Calibri"/>
          <w:i/>
          <w:color w:val="000000"/>
          <w:sz w:val="20"/>
          <w:szCs w:val="20"/>
          <w:lang w:val="en-US"/>
        </w:rPr>
        <w:t>Public administration</w:t>
      </w:r>
      <w:r w:rsidRPr="005D79AC">
        <w:rPr>
          <w:rFonts w:ascii="Calibri" w:eastAsia="Times New Roman" w:hAnsi="Calibri" w:cs="Calibri"/>
          <w:i/>
          <w:color w:val="000000"/>
          <w:sz w:val="20"/>
          <w:szCs w:val="20"/>
          <w:lang w:val="en-US"/>
        </w:rPr>
        <w:t xml:space="preserve">, 11 = </w:t>
      </w:r>
      <w:r w:rsidRPr="007C445F">
        <w:rPr>
          <w:rFonts w:ascii="Calibri" w:eastAsia="Times New Roman" w:hAnsi="Calibri" w:cs="Calibri"/>
          <w:i/>
          <w:color w:val="000000"/>
          <w:sz w:val="20"/>
          <w:szCs w:val="20"/>
          <w:lang w:val="en-US"/>
        </w:rPr>
        <w:t>Education</w:t>
      </w:r>
      <w:r w:rsidRPr="005D79AC">
        <w:rPr>
          <w:rFonts w:ascii="Calibri" w:eastAsia="Times New Roman" w:hAnsi="Calibri" w:cs="Calibri"/>
          <w:i/>
          <w:color w:val="000000"/>
          <w:sz w:val="20"/>
          <w:szCs w:val="20"/>
          <w:lang w:val="en-US"/>
        </w:rPr>
        <w:t xml:space="preserve">, 12 = </w:t>
      </w:r>
      <w:r w:rsidRPr="007C445F">
        <w:rPr>
          <w:rFonts w:ascii="Calibri" w:eastAsia="Times New Roman" w:hAnsi="Calibri" w:cs="Calibri"/>
          <w:i/>
          <w:color w:val="000000"/>
          <w:sz w:val="20"/>
          <w:szCs w:val="20"/>
          <w:lang w:val="en-US"/>
        </w:rPr>
        <w:t>Health care</w:t>
      </w:r>
      <w:r w:rsidRPr="005D79AC">
        <w:rPr>
          <w:rFonts w:ascii="Calibri" w:eastAsia="Times New Roman" w:hAnsi="Calibri" w:cs="Calibri"/>
          <w:i/>
          <w:color w:val="000000"/>
          <w:sz w:val="20"/>
          <w:szCs w:val="20"/>
          <w:lang w:val="en-US"/>
        </w:rPr>
        <w:t xml:space="preserve">, 13 = </w:t>
      </w:r>
      <w:r w:rsidRPr="007C445F">
        <w:rPr>
          <w:rFonts w:ascii="Calibri" w:eastAsia="Times New Roman" w:hAnsi="Calibri" w:cs="Calibri"/>
          <w:i/>
          <w:color w:val="000000"/>
          <w:sz w:val="20"/>
          <w:szCs w:val="20"/>
          <w:lang w:val="en-US"/>
        </w:rPr>
        <w:t>Arts, entertainment and recreation</w:t>
      </w:r>
      <w:r w:rsidRPr="005D79AC">
        <w:rPr>
          <w:rFonts w:ascii="Calibri" w:eastAsia="Times New Roman" w:hAnsi="Calibri" w:cs="Calibri"/>
          <w:i/>
          <w:color w:val="000000"/>
          <w:sz w:val="20"/>
          <w:szCs w:val="20"/>
          <w:lang w:val="en-US"/>
        </w:rPr>
        <w:t xml:space="preserve">, 14 = </w:t>
      </w:r>
      <w:r w:rsidRPr="007C445F">
        <w:rPr>
          <w:rFonts w:ascii="Calibri" w:eastAsia="Times New Roman" w:hAnsi="Calibri" w:cs="Calibri"/>
          <w:i/>
          <w:color w:val="000000"/>
          <w:sz w:val="20"/>
          <w:szCs w:val="20"/>
          <w:lang w:val="en-US"/>
        </w:rPr>
        <w:t>Other service activities</w:t>
      </w:r>
      <w:r w:rsidRPr="005D79AC">
        <w:rPr>
          <w:rFonts w:ascii="Calibri" w:eastAsia="Times New Roman" w:hAnsi="Calibri" w:cs="Calibri"/>
          <w:i/>
          <w:color w:val="000000"/>
          <w:sz w:val="20"/>
          <w:szCs w:val="20"/>
          <w:lang w:val="en-US"/>
        </w:rPr>
        <w:t xml:space="preserve">, 15 = </w:t>
      </w:r>
      <w:r w:rsidRPr="007C445F">
        <w:rPr>
          <w:rFonts w:ascii="Calibri" w:eastAsia="Times New Roman" w:hAnsi="Calibri" w:cs="Calibri"/>
          <w:i/>
          <w:color w:val="000000"/>
          <w:sz w:val="20"/>
          <w:szCs w:val="20"/>
          <w:lang w:val="en-US"/>
        </w:rPr>
        <w:t>Private households with employed persons</w:t>
      </w:r>
      <w:r w:rsidRPr="005D79AC">
        <w:rPr>
          <w:rFonts w:ascii="Calibri" w:eastAsia="Times New Roman" w:hAnsi="Calibri" w:cs="Calibri"/>
          <w:i/>
          <w:color w:val="000000"/>
          <w:sz w:val="20"/>
          <w:szCs w:val="20"/>
          <w:lang w:val="en-US"/>
        </w:rPr>
        <w:t xml:space="preserve">, 16 = </w:t>
      </w:r>
      <w:r w:rsidRPr="007C445F">
        <w:rPr>
          <w:rFonts w:ascii="Calibri" w:eastAsia="Times New Roman" w:hAnsi="Calibri" w:cs="Calibri"/>
          <w:i/>
          <w:color w:val="000000"/>
          <w:sz w:val="20"/>
          <w:szCs w:val="20"/>
          <w:lang w:val="en-US"/>
        </w:rPr>
        <w:t>Work for students</w:t>
      </w:r>
      <w:r w:rsidRPr="005D79AC">
        <w:rPr>
          <w:rFonts w:ascii="Calibri" w:eastAsia="Times New Roman" w:hAnsi="Calibri" w:cs="Calibri"/>
          <w:i/>
          <w:color w:val="000000"/>
          <w:sz w:val="20"/>
          <w:szCs w:val="20"/>
          <w:lang w:val="en-US"/>
        </w:rPr>
        <w:t xml:space="preserve">, 17 = </w:t>
      </w:r>
      <w:r w:rsidRPr="007C445F">
        <w:rPr>
          <w:rFonts w:ascii="Calibri" w:eastAsia="Times New Roman" w:hAnsi="Calibri" w:cs="Calibri"/>
          <w:i/>
          <w:color w:val="000000"/>
          <w:sz w:val="20"/>
          <w:szCs w:val="20"/>
          <w:lang w:val="en-US"/>
        </w:rPr>
        <w:t>Work from home</w:t>
      </w:r>
      <w:r w:rsidRPr="005D79AC">
        <w:rPr>
          <w:rFonts w:ascii="Calibri" w:eastAsia="Times New Roman" w:hAnsi="Calibri" w:cs="Calibri"/>
          <w:i/>
          <w:color w:val="000000"/>
          <w:sz w:val="20"/>
          <w:szCs w:val="20"/>
          <w:lang w:val="en-US"/>
        </w:rPr>
        <w:t xml:space="preserve">, </w:t>
      </w:r>
      <w:r w:rsidRPr="005D79AC">
        <w:rPr>
          <w:rFonts w:ascii="Calibri" w:eastAsia="Times New Roman" w:hAnsi="Calibri" w:cs="Calibri"/>
          <w:i/>
          <w:color w:val="000000"/>
          <w:sz w:val="20"/>
          <w:szCs w:val="20"/>
          <w:lang w:val="en-US"/>
        </w:rPr>
        <w:br/>
        <w:t xml:space="preserve">18 = </w:t>
      </w:r>
      <w:r w:rsidRPr="007C445F">
        <w:rPr>
          <w:rFonts w:ascii="Calibri" w:eastAsia="Times New Roman" w:hAnsi="Calibri" w:cs="Calibri"/>
          <w:i/>
          <w:color w:val="000000"/>
          <w:sz w:val="20"/>
          <w:szCs w:val="20"/>
          <w:lang w:val="en-US"/>
        </w:rPr>
        <w:t>Work abroad</w:t>
      </w:r>
      <w:r w:rsidRPr="005D79AC">
        <w:rPr>
          <w:rFonts w:ascii="Calibri" w:eastAsia="Times New Roman" w:hAnsi="Calibri" w:cs="Calibri"/>
          <w:i/>
          <w:color w:val="000000"/>
          <w:sz w:val="20"/>
          <w:szCs w:val="20"/>
          <w:lang w:val="en-US"/>
        </w:rPr>
        <w:t xml:space="preserve">, 19 = </w:t>
      </w:r>
      <w:r w:rsidRPr="007C445F">
        <w:rPr>
          <w:rFonts w:ascii="Calibri" w:eastAsia="Times New Roman" w:hAnsi="Calibri" w:cs="Calibri"/>
          <w:i/>
          <w:color w:val="000000"/>
          <w:sz w:val="20"/>
          <w:szCs w:val="20"/>
          <w:lang w:val="en-US"/>
        </w:rPr>
        <w:t>Top management</w:t>
      </w:r>
      <w:r>
        <w:rPr>
          <w:rFonts w:ascii="Calibri" w:eastAsia="Times New Roman" w:hAnsi="Calibri" w:cs="Calibri"/>
          <w:color w:val="000000"/>
          <w:sz w:val="20"/>
          <w:szCs w:val="20"/>
          <w:lang w:val="en-US"/>
        </w:rPr>
        <w:t>.</w:t>
      </w:r>
    </w:p>
    <w:p w14:paraId="3304A6B6" w14:textId="77777777" w:rsidR="009B6AC4" w:rsidRPr="009E3543" w:rsidRDefault="009B6AC4" w:rsidP="00C72640">
      <w:pPr>
        <w:jc w:val="both"/>
        <w:rPr>
          <w:color w:val="000000"/>
        </w:rPr>
      </w:pPr>
    </w:p>
    <w:p w14:paraId="1EC941AB" w14:textId="1EC488CD" w:rsidR="00300677" w:rsidRPr="009E3543" w:rsidRDefault="002C48C3" w:rsidP="00CD3DB8">
      <w:pPr>
        <w:jc w:val="both"/>
        <w:rPr>
          <w:rFonts w:ascii="Arial" w:hAnsi="Arial" w:cs="Arial"/>
          <w:color w:val="545454"/>
          <w:shd w:val="clear" w:color="auto" w:fill="FFFFFF"/>
        </w:rPr>
      </w:pPr>
      <w:r w:rsidRPr="002C48C3">
        <w:rPr>
          <w:b/>
        </w:rPr>
        <w:t>A</w:t>
      </w:r>
      <w:r w:rsidR="00465699" w:rsidRPr="002C48C3">
        <w:rPr>
          <w:b/>
        </w:rPr>
        <w:t>fter controlling for family status, human capital</w:t>
      </w:r>
      <w:r w:rsidR="007C491B" w:rsidRPr="002C48C3">
        <w:rPr>
          <w:b/>
        </w:rPr>
        <w:t>,</w:t>
      </w:r>
      <w:r w:rsidR="00465699" w:rsidRPr="002C48C3">
        <w:rPr>
          <w:b/>
        </w:rPr>
        <w:t xml:space="preserve"> and job characteristics, women</w:t>
      </w:r>
      <w:r w:rsidR="00814F47" w:rsidRPr="002C48C3">
        <w:rPr>
          <w:b/>
        </w:rPr>
        <w:t>’s</w:t>
      </w:r>
      <w:r w:rsidR="00465699" w:rsidRPr="002C48C3">
        <w:rPr>
          <w:b/>
        </w:rPr>
        <w:t xml:space="preserve"> </w:t>
      </w:r>
      <w:r w:rsidR="00EC08EC" w:rsidRPr="002C48C3">
        <w:rPr>
          <w:b/>
        </w:rPr>
        <w:t>expect</w:t>
      </w:r>
      <w:r w:rsidR="00814F47" w:rsidRPr="002C48C3">
        <w:rPr>
          <w:b/>
        </w:rPr>
        <w:t>ed salary is</w:t>
      </w:r>
      <w:r w:rsidR="00465699" w:rsidRPr="002C48C3">
        <w:rPr>
          <w:b/>
        </w:rPr>
        <w:t xml:space="preserve"> on average 1</w:t>
      </w:r>
      <w:r w:rsidR="00CF2502" w:rsidRPr="002C48C3">
        <w:rPr>
          <w:b/>
        </w:rPr>
        <w:t>3.5</w:t>
      </w:r>
      <w:r w:rsidR="00465699" w:rsidRPr="002C48C3">
        <w:rPr>
          <w:b/>
        </w:rPr>
        <w:t xml:space="preserve"> percent lower than </w:t>
      </w:r>
      <w:r w:rsidR="00814F47" w:rsidRPr="002C48C3">
        <w:rPr>
          <w:b/>
        </w:rPr>
        <w:t xml:space="preserve">that of </w:t>
      </w:r>
      <w:r w:rsidR="00465699" w:rsidRPr="002C48C3">
        <w:rPr>
          <w:b/>
        </w:rPr>
        <w:t>men</w:t>
      </w:r>
      <w:r w:rsidR="00300677" w:rsidRPr="009E3543">
        <w:t xml:space="preserve"> (</w:t>
      </w:r>
      <w:r w:rsidR="00300677" w:rsidRPr="009E3543">
        <w:fldChar w:fldCharType="begin"/>
      </w:r>
      <w:r w:rsidR="00300677" w:rsidRPr="009E3543">
        <w:instrText xml:space="preserve"> REF _Ref521583739 \h </w:instrText>
      </w:r>
      <w:r w:rsidR="009E3543">
        <w:instrText xml:space="preserve"> \* MERGEFORMAT </w:instrText>
      </w:r>
      <w:r w:rsidR="00300677" w:rsidRPr="009E3543">
        <w:fldChar w:fldCharType="separate"/>
      </w:r>
      <w:r>
        <w:t xml:space="preserve">Table </w:t>
      </w:r>
      <w:r>
        <w:rPr>
          <w:noProof/>
        </w:rPr>
        <w:t>A-13</w:t>
      </w:r>
      <w:r w:rsidR="00300677" w:rsidRPr="009E3543">
        <w:fldChar w:fldCharType="end"/>
      </w:r>
      <w:r w:rsidR="00CF2502" w:rsidRPr="009E3543">
        <w:t>, model 1</w:t>
      </w:r>
      <w:r w:rsidR="00300677" w:rsidRPr="009E3543">
        <w:t xml:space="preserve">). Most explanatory variables have a similar effect on the expected salaries of women and men, except for the marital status: </w:t>
      </w:r>
      <w:r w:rsidR="00465699" w:rsidRPr="009E3543">
        <w:t xml:space="preserve">married </w:t>
      </w:r>
      <w:r w:rsidR="00300677" w:rsidRPr="009E3543">
        <w:t xml:space="preserve">women are likely to expect </w:t>
      </w:r>
      <w:r w:rsidR="009B2938" w:rsidRPr="009E3543">
        <w:t xml:space="preserve">on average </w:t>
      </w:r>
      <w:r w:rsidR="00300677" w:rsidRPr="009E3543">
        <w:t>lower wages than unmarried women, wh</w:t>
      </w:r>
      <w:r w:rsidR="00CF2502" w:rsidRPr="009E3543">
        <w:t>ereas</w:t>
      </w:r>
      <w:r w:rsidR="00300677" w:rsidRPr="009E3543">
        <w:t xml:space="preserve"> </w:t>
      </w:r>
      <w:r w:rsidR="00CF2502" w:rsidRPr="009E3543">
        <w:t xml:space="preserve">married men, on the contrary, </w:t>
      </w:r>
      <w:r w:rsidR="00814F47" w:rsidRPr="009E3543">
        <w:t xml:space="preserve">would like to get </w:t>
      </w:r>
      <w:r w:rsidR="00CF2502" w:rsidRPr="009E3543">
        <w:t>higher salary compared to their single counterparts</w:t>
      </w:r>
      <w:r w:rsidR="00465699" w:rsidRPr="009E3543">
        <w:t>.</w:t>
      </w:r>
      <w:r w:rsidR="00300677" w:rsidRPr="009E3543">
        <w:t xml:space="preserve"> This finding supports a traditional paradigm of the family with a breadwinner role fulfilled by</w:t>
      </w:r>
      <w:r w:rsidR="00814F47" w:rsidRPr="009E3543">
        <w:t xml:space="preserve"> a</w:t>
      </w:r>
      <w:r w:rsidR="00300677" w:rsidRPr="009E3543">
        <w:t xml:space="preserve"> m</w:t>
      </w:r>
      <w:r w:rsidR="00814F47" w:rsidRPr="009E3543">
        <w:t>a</w:t>
      </w:r>
      <w:r w:rsidR="00300677" w:rsidRPr="009E3543">
        <w:t xml:space="preserve">n and an adder worker role </w:t>
      </w:r>
      <w:r w:rsidR="00814F47" w:rsidRPr="009E3543">
        <w:t xml:space="preserve">played by a </w:t>
      </w:r>
      <w:r w:rsidR="004112E2" w:rsidRPr="009E3543">
        <w:t>wom</w:t>
      </w:r>
      <w:r w:rsidR="00814F47" w:rsidRPr="009E3543">
        <w:t>a</w:t>
      </w:r>
      <w:r w:rsidR="004112E2" w:rsidRPr="009E3543">
        <w:t>n.</w:t>
      </w:r>
      <w:r w:rsidR="009B2938" w:rsidRPr="009E3543">
        <w:t xml:space="preserve"> Currently employed job seekers tend to expect </w:t>
      </w:r>
      <w:r w:rsidR="00295F12" w:rsidRPr="009E3543">
        <w:t xml:space="preserve">higher salary than </w:t>
      </w:r>
      <w:r w:rsidR="00CF2502" w:rsidRPr="009E3543">
        <w:t xml:space="preserve">non-employed </w:t>
      </w:r>
      <w:r w:rsidR="00295F12" w:rsidRPr="009E3543">
        <w:t xml:space="preserve">individuals overall, but the presence of children somewhat decreases salary expectations among male job seekers looking for a better or secondary job (an interaction between the current employment status and a dummy variable for children has a negative sign but it is </w:t>
      </w:r>
      <w:r w:rsidR="00295F12" w:rsidRPr="009E3543">
        <w:lastRenderedPageBreak/>
        <w:t xml:space="preserve">insignificant in the model for women). </w:t>
      </w:r>
      <w:r w:rsidR="00CF2502" w:rsidRPr="009E3543">
        <w:t xml:space="preserve">Both men and women looking for full-time work, ready to relocate or available for business trips expect to get on average higher salary than job candidates seeking for more flexible arrangements and who are less mobile. These salary expectations are in line with the theories of compensating wage differentials and hedonic wage theory according to which workers </w:t>
      </w:r>
      <w:r w:rsidR="00DE1047" w:rsidRPr="009E3543">
        <w:t xml:space="preserve">can command higher wages to accept jobs with </w:t>
      </w:r>
      <w:r w:rsidR="00D3716D" w:rsidRPr="009E3543">
        <w:t xml:space="preserve">less attractive </w:t>
      </w:r>
      <w:r w:rsidR="00DE1047" w:rsidRPr="009E3543">
        <w:t>characteristics</w:t>
      </w:r>
      <w:r w:rsidR="00CF2502" w:rsidRPr="009E3543">
        <w:rPr>
          <w:rFonts w:ascii="Arial" w:hAnsi="Arial" w:cs="Arial"/>
          <w:color w:val="545454"/>
          <w:shd w:val="clear" w:color="auto" w:fill="FFFFFF"/>
        </w:rPr>
        <w:t>.</w:t>
      </w:r>
    </w:p>
    <w:p w14:paraId="29E8FCBD" w14:textId="2858975E" w:rsidR="00245B58" w:rsidRPr="009E3543" w:rsidRDefault="00245B58" w:rsidP="00245B58">
      <w:pPr>
        <w:jc w:val="both"/>
      </w:pPr>
      <w:r w:rsidRPr="000A4CCC">
        <w:rPr>
          <w:b/>
        </w:rPr>
        <w:t>A Field-type decomposition of the contribution of different factors to the inequality in salary expectations reveals that work experience is the most important factor accounting for over 10 percent of wage variation</w:t>
      </w:r>
      <w:r w:rsidRPr="009E3543">
        <w:t xml:space="preserve"> (</w:t>
      </w:r>
      <w:r w:rsidRPr="009E3543">
        <w:fldChar w:fldCharType="begin"/>
      </w:r>
      <w:r w:rsidRPr="009E3543">
        <w:instrText xml:space="preserve"> REF _Ref521585036 \h </w:instrText>
      </w:r>
      <w:r w:rsidR="009E3543">
        <w:instrText xml:space="preserve"> \* MERGEFORMAT </w:instrText>
      </w:r>
      <w:r w:rsidRPr="009E3543">
        <w:fldChar w:fldCharType="separate"/>
      </w:r>
      <w:r w:rsidR="002C48C3" w:rsidRPr="009E3543">
        <w:t xml:space="preserve">Figure </w:t>
      </w:r>
      <w:r w:rsidR="002C48C3">
        <w:rPr>
          <w:noProof/>
        </w:rPr>
        <w:t>33</w:t>
      </w:r>
      <w:r w:rsidRPr="009E3543">
        <w:fldChar w:fldCharType="end"/>
      </w:r>
      <w:r w:rsidRPr="009E3543">
        <w:t>). Desired type of job, availability of job candidates for business trips and their readiness to relocate are factors which together account for 7 percent of variation in salaries expected by male and female job seekers. Education and languages, followed by sector and occupation, also play an important role in determining the level of wage that job seekers would like to get.</w:t>
      </w:r>
    </w:p>
    <w:p w14:paraId="6A349A4D" w14:textId="69B3C2E5" w:rsidR="00834AE8" w:rsidRPr="00834AE8" w:rsidRDefault="00834AE8" w:rsidP="004E058C">
      <w:pPr>
        <w:pStyle w:val="ad"/>
        <w:spacing w:before="240" w:after="0"/>
        <w:jc w:val="left"/>
        <w:rPr>
          <w:sz w:val="20"/>
          <w:szCs w:val="20"/>
          <w:lang w:val="en-US"/>
        </w:rPr>
      </w:pPr>
      <w:bookmarkStart w:id="130" w:name="_Ref521585036"/>
      <w:bookmarkStart w:id="131" w:name="_Toc533211790"/>
      <w:r w:rsidRPr="009E3543">
        <w:t xml:space="preserve">Figure </w:t>
      </w:r>
      <w:r w:rsidRPr="009E3543">
        <w:fldChar w:fldCharType="begin"/>
      </w:r>
      <w:r w:rsidRPr="009E3543">
        <w:instrText xml:space="preserve"> SEQ Figure \* ARABIC </w:instrText>
      </w:r>
      <w:r w:rsidRPr="009E3543">
        <w:fldChar w:fldCharType="separate"/>
      </w:r>
      <w:r w:rsidR="007F56F7">
        <w:rPr>
          <w:noProof/>
        </w:rPr>
        <w:t>33</w:t>
      </w:r>
      <w:r w:rsidRPr="009E3543">
        <w:fldChar w:fldCharType="end"/>
      </w:r>
      <w:bookmarkEnd w:id="130"/>
      <w:r w:rsidRPr="009E3543">
        <w:t xml:space="preserve">: </w:t>
      </w:r>
      <w:r w:rsidR="004E058C" w:rsidRPr="009E3543">
        <w:t>Percentage contribution</w:t>
      </w:r>
      <w:r w:rsidR="00300677" w:rsidRPr="009E3543">
        <w:t xml:space="preserve"> of factors to the variance in expected salary</w:t>
      </w:r>
      <w:r w:rsidR="004E058C" w:rsidRPr="009E3543">
        <w:t xml:space="preserve"> (%), 2018</w:t>
      </w:r>
      <w:bookmarkEnd w:id="131"/>
    </w:p>
    <w:p w14:paraId="7F106C49" w14:textId="77777777" w:rsidR="00834AE8" w:rsidRDefault="00FA79D1" w:rsidP="00834AE8">
      <w:pPr>
        <w:jc w:val="center"/>
        <w:rPr>
          <w:sz w:val="20"/>
          <w:szCs w:val="20"/>
          <w:lang w:val="en-US"/>
        </w:rPr>
      </w:pPr>
      <w:r w:rsidRPr="00FA79D1">
        <w:rPr>
          <w:noProof/>
          <w:lang w:val="ru-RU" w:eastAsia="ru-RU"/>
        </w:rPr>
        <w:drawing>
          <wp:inline distT="0" distB="0" distL="0" distR="0" wp14:anchorId="7D4108C7" wp14:editId="42FAC390">
            <wp:extent cx="4578350" cy="25463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8350" cy="2546350"/>
                    </a:xfrm>
                    <a:prstGeom prst="rect">
                      <a:avLst/>
                    </a:prstGeom>
                    <a:noFill/>
                    <a:ln>
                      <a:noFill/>
                    </a:ln>
                  </pic:spPr>
                </pic:pic>
              </a:graphicData>
            </a:graphic>
          </wp:inline>
        </w:drawing>
      </w:r>
    </w:p>
    <w:p w14:paraId="34173770" w14:textId="77777777" w:rsidR="00591E97" w:rsidRDefault="004E058C" w:rsidP="007F26DA">
      <w:pPr>
        <w:autoSpaceDE w:val="0"/>
        <w:autoSpaceDN w:val="0"/>
        <w:adjustRightInd w:val="0"/>
        <w:jc w:val="both"/>
        <w:rPr>
          <w:bCs/>
          <w:i/>
          <w:sz w:val="20"/>
          <w:szCs w:val="20"/>
        </w:rPr>
      </w:pPr>
      <w:r w:rsidRPr="00471AC1">
        <w:rPr>
          <w:i/>
          <w:sz w:val="20"/>
          <w:szCs w:val="20"/>
          <w:lang w:val="en-US"/>
        </w:rPr>
        <w:t>Note: Results obtained using regression-based decomposition according to the Field’s approach (Fields, 200</w:t>
      </w:r>
      <w:r w:rsidR="00471AC1" w:rsidRPr="00471AC1">
        <w:rPr>
          <w:i/>
          <w:sz w:val="20"/>
          <w:szCs w:val="20"/>
          <w:lang w:val="en-US"/>
        </w:rPr>
        <w:t>3</w:t>
      </w:r>
      <w:r w:rsidRPr="00471AC1">
        <w:rPr>
          <w:i/>
          <w:sz w:val="20"/>
          <w:szCs w:val="20"/>
          <w:lang w:val="en-US"/>
        </w:rPr>
        <w:t xml:space="preserve">) where the dependent variable is the log of </w:t>
      </w:r>
      <w:r w:rsidR="00471AC1" w:rsidRPr="00471AC1">
        <w:rPr>
          <w:i/>
          <w:sz w:val="20"/>
          <w:szCs w:val="20"/>
          <w:lang w:val="en-US"/>
        </w:rPr>
        <w:t>reservation wages</w:t>
      </w:r>
      <w:r w:rsidRPr="00471AC1">
        <w:rPr>
          <w:i/>
          <w:sz w:val="20"/>
          <w:szCs w:val="20"/>
          <w:lang w:val="en-US"/>
        </w:rPr>
        <w:t xml:space="preserve">. </w:t>
      </w:r>
      <w:r w:rsidR="00471AC1" w:rsidRPr="00471AC1">
        <w:rPr>
          <w:i/>
          <w:sz w:val="20"/>
          <w:szCs w:val="20"/>
          <w:lang w:val="en-US"/>
        </w:rPr>
        <w:t xml:space="preserve">Regression results are provided in </w:t>
      </w:r>
      <w:r w:rsidR="00471AC1" w:rsidRPr="00471AC1">
        <w:rPr>
          <w:i/>
          <w:sz w:val="20"/>
          <w:szCs w:val="20"/>
          <w:lang w:val="en-US"/>
        </w:rPr>
        <w:fldChar w:fldCharType="begin"/>
      </w:r>
      <w:r w:rsidR="00471AC1" w:rsidRPr="00471AC1">
        <w:rPr>
          <w:i/>
          <w:sz w:val="20"/>
          <w:szCs w:val="20"/>
          <w:lang w:val="en-US"/>
        </w:rPr>
        <w:instrText xml:space="preserve"> REF _Ref521583739 \h  \* MERGEFORMAT </w:instrText>
      </w:r>
      <w:r w:rsidR="00471AC1" w:rsidRPr="00471AC1">
        <w:rPr>
          <w:i/>
          <w:sz w:val="20"/>
          <w:szCs w:val="20"/>
          <w:lang w:val="en-US"/>
        </w:rPr>
      </w:r>
      <w:r w:rsidR="00471AC1" w:rsidRPr="00471AC1">
        <w:rPr>
          <w:i/>
          <w:sz w:val="20"/>
          <w:szCs w:val="20"/>
          <w:lang w:val="en-US"/>
        </w:rPr>
        <w:fldChar w:fldCharType="separate"/>
      </w:r>
      <w:r w:rsidR="00206AA9" w:rsidRPr="00206AA9">
        <w:rPr>
          <w:i/>
          <w:sz w:val="20"/>
          <w:szCs w:val="20"/>
        </w:rPr>
        <w:t xml:space="preserve">Annex </w:t>
      </w:r>
      <w:r w:rsidR="00206AA9" w:rsidRPr="00206AA9">
        <w:rPr>
          <w:i/>
          <w:noProof/>
          <w:sz w:val="20"/>
          <w:szCs w:val="20"/>
        </w:rPr>
        <w:t>14</w:t>
      </w:r>
      <w:r w:rsidR="00471AC1" w:rsidRPr="00471AC1">
        <w:rPr>
          <w:i/>
          <w:sz w:val="20"/>
          <w:szCs w:val="20"/>
          <w:lang w:val="en-US"/>
        </w:rPr>
        <w:fldChar w:fldCharType="end"/>
      </w:r>
      <w:r w:rsidR="00DE1047">
        <w:rPr>
          <w:i/>
          <w:sz w:val="20"/>
          <w:szCs w:val="20"/>
          <w:lang w:val="en-US"/>
        </w:rPr>
        <w:t xml:space="preserve"> (model 1 without interaction terms)</w:t>
      </w:r>
      <w:r w:rsidR="00471AC1" w:rsidRPr="00471AC1">
        <w:rPr>
          <w:i/>
          <w:sz w:val="20"/>
          <w:szCs w:val="20"/>
          <w:lang w:val="en-US"/>
        </w:rPr>
        <w:t xml:space="preserve">. </w:t>
      </w:r>
      <w:r w:rsidRPr="00471AC1">
        <w:rPr>
          <w:i/>
          <w:sz w:val="20"/>
          <w:szCs w:val="20"/>
          <w:lang w:val="en-US"/>
        </w:rPr>
        <w:t>The height of each bar represents</w:t>
      </w:r>
      <w:r w:rsidR="00471AC1" w:rsidRPr="00471AC1">
        <w:rPr>
          <w:i/>
          <w:sz w:val="20"/>
          <w:szCs w:val="20"/>
          <w:lang w:val="en-US"/>
        </w:rPr>
        <w:t xml:space="preserve"> </w:t>
      </w:r>
      <w:r w:rsidRPr="00471AC1">
        <w:rPr>
          <w:i/>
          <w:sz w:val="20"/>
          <w:szCs w:val="20"/>
          <w:lang w:val="en-US"/>
        </w:rPr>
        <w:t>the total variation in wages explained by the data used for that regression (coefficient of determination = R2). The subcomponents of each bar</w:t>
      </w:r>
      <w:r w:rsidR="00471AC1" w:rsidRPr="00471AC1">
        <w:rPr>
          <w:i/>
          <w:sz w:val="20"/>
          <w:szCs w:val="20"/>
          <w:lang w:val="en-US"/>
        </w:rPr>
        <w:t xml:space="preserve"> </w:t>
      </w:r>
      <w:r w:rsidR="00AC4518">
        <w:rPr>
          <w:i/>
          <w:sz w:val="20"/>
          <w:szCs w:val="20"/>
          <w:lang w:val="en-US"/>
        </w:rPr>
        <w:t>s</w:t>
      </w:r>
      <w:r w:rsidRPr="00471AC1">
        <w:rPr>
          <w:bCs/>
          <w:i/>
          <w:sz w:val="20"/>
          <w:szCs w:val="20"/>
          <w:lang w:val="en-US"/>
        </w:rPr>
        <w:t>how the contribution of each factor</w:t>
      </w:r>
      <w:r w:rsidR="00AC4518">
        <w:rPr>
          <w:bCs/>
          <w:i/>
          <w:sz w:val="20"/>
          <w:szCs w:val="20"/>
          <w:lang w:val="en-US"/>
        </w:rPr>
        <w:t xml:space="preserve"> (or set of factors)</w:t>
      </w:r>
      <w:r w:rsidRPr="00471AC1">
        <w:rPr>
          <w:bCs/>
          <w:i/>
          <w:sz w:val="20"/>
          <w:szCs w:val="20"/>
          <w:lang w:val="en-US"/>
        </w:rPr>
        <w:t xml:space="preserve"> to total wage variation.</w:t>
      </w:r>
      <w:r w:rsidRPr="00471AC1">
        <w:rPr>
          <w:bCs/>
          <w:i/>
          <w:sz w:val="20"/>
          <w:szCs w:val="20"/>
        </w:rPr>
        <w:t xml:space="preserve"> </w:t>
      </w:r>
      <w:r w:rsidR="00471AC1" w:rsidRPr="00471AC1">
        <w:rPr>
          <w:bCs/>
          <w:i/>
          <w:sz w:val="20"/>
          <w:szCs w:val="20"/>
        </w:rPr>
        <w:t xml:space="preserve">Family status includes marital status and presence of children, </w:t>
      </w:r>
      <w:r w:rsidRPr="00471AC1">
        <w:rPr>
          <w:bCs/>
          <w:i/>
          <w:sz w:val="20"/>
          <w:szCs w:val="20"/>
        </w:rPr>
        <w:t>Education</w:t>
      </w:r>
      <w:r w:rsidR="00471AC1" w:rsidRPr="00471AC1">
        <w:rPr>
          <w:bCs/>
          <w:i/>
          <w:sz w:val="20"/>
          <w:szCs w:val="20"/>
        </w:rPr>
        <w:t xml:space="preserve"> and languages </w:t>
      </w:r>
      <w:r w:rsidRPr="00471AC1">
        <w:rPr>
          <w:bCs/>
          <w:i/>
          <w:sz w:val="20"/>
          <w:szCs w:val="20"/>
        </w:rPr>
        <w:t xml:space="preserve">= </w:t>
      </w:r>
      <w:r w:rsidR="00471AC1" w:rsidRPr="00471AC1">
        <w:rPr>
          <w:bCs/>
          <w:i/>
          <w:sz w:val="20"/>
          <w:szCs w:val="20"/>
        </w:rPr>
        <w:t xml:space="preserve">dummy variables for the level of education, number of languages and Romanian as a native language, </w:t>
      </w:r>
      <w:r w:rsidR="00196E05">
        <w:rPr>
          <w:bCs/>
          <w:i/>
          <w:sz w:val="20"/>
          <w:szCs w:val="20"/>
        </w:rPr>
        <w:t>Work e</w:t>
      </w:r>
      <w:r w:rsidR="00471AC1" w:rsidRPr="00471AC1">
        <w:rPr>
          <w:bCs/>
          <w:i/>
          <w:sz w:val="20"/>
          <w:szCs w:val="20"/>
        </w:rPr>
        <w:t>xperience= Experience and experience squared</w:t>
      </w:r>
      <w:r w:rsidR="00DE1047">
        <w:rPr>
          <w:bCs/>
          <w:i/>
          <w:sz w:val="20"/>
          <w:szCs w:val="20"/>
        </w:rPr>
        <w:t xml:space="preserve">, </w:t>
      </w:r>
      <w:r w:rsidR="00196E05">
        <w:rPr>
          <w:bCs/>
          <w:i/>
          <w:sz w:val="20"/>
          <w:szCs w:val="20"/>
        </w:rPr>
        <w:t xml:space="preserve">number of employment episodes, currently employed or long-term unemployed, </w:t>
      </w:r>
      <w:r w:rsidR="00DE1047">
        <w:rPr>
          <w:bCs/>
          <w:i/>
          <w:sz w:val="20"/>
          <w:szCs w:val="20"/>
        </w:rPr>
        <w:t>Occupation includes occupation dummies , Sector includes sector dummies, Other characteristics=Type of job (full-time</w:t>
      </w:r>
      <w:r w:rsidR="00FA79D1">
        <w:rPr>
          <w:bCs/>
          <w:i/>
          <w:sz w:val="20"/>
          <w:szCs w:val="20"/>
        </w:rPr>
        <w:t xml:space="preserve"> vs. other</w:t>
      </w:r>
      <w:r w:rsidR="00DE1047">
        <w:rPr>
          <w:bCs/>
          <w:i/>
          <w:sz w:val="20"/>
          <w:szCs w:val="20"/>
        </w:rPr>
        <w:t>), availability for business trips and readiness to move to another city</w:t>
      </w:r>
      <w:r w:rsidR="00471AC1" w:rsidRPr="00471AC1">
        <w:rPr>
          <w:bCs/>
          <w:i/>
          <w:sz w:val="20"/>
          <w:szCs w:val="20"/>
        </w:rPr>
        <w:t>.</w:t>
      </w:r>
    </w:p>
    <w:p w14:paraId="79B69488" w14:textId="7A9FF5FA" w:rsidR="00CF4D62" w:rsidRPr="00BE3B9F" w:rsidRDefault="000A4CCC" w:rsidP="00D3716D">
      <w:pPr>
        <w:autoSpaceDE w:val="0"/>
        <w:autoSpaceDN w:val="0"/>
        <w:adjustRightInd w:val="0"/>
        <w:jc w:val="both"/>
        <w:rPr>
          <w:sz w:val="20"/>
          <w:szCs w:val="20"/>
        </w:rPr>
      </w:pPr>
      <w:r w:rsidRPr="000A4CCC">
        <w:rPr>
          <w:b/>
        </w:rPr>
        <w:t>Female job candidates who have on average shorter work experience are more willing to get a flexible work arrangement and are less ready to travel expect to get a lower salary than men do</w:t>
      </w:r>
      <w:r w:rsidRPr="009E3543">
        <w:t xml:space="preserve">. </w:t>
      </w:r>
      <w:r w:rsidRPr="000A4CCC">
        <w:t>This follows from the Oaxaca-Blinder decomposition of the gender gap in expected salary</w:t>
      </w:r>
      <w:r w:rsidRPr="009E3543">
        <w:t xml:space="preserve"> (</w:t>
      </w:r>
      <w:r w:rsidRPr="009E3543">
        <w:fldChar w:fldCharType="begin"/>
      </w:r>
      <w:r w:rsidRPr="009E3543">
        <w:instrText xml:space="preserve"> REF _Ref526181056 \h  \* MERGEFORMAT </w:instrText>
      </w:r>
      <w:r w:rsidRPr="009E3543">
        <w:fldChar w:fldCharType="separate"/>
      </w:r>
      <w:r>
        <w:t xml:space="preserve">Table </w:t>
      </w:r>
      <w:r>
        <w:rPr>
          <w:noProof/>
        </w:rPr>
        <w:t>A-14</w:t>
      </w:r>
      <w:r w:rsidRPr="009E3543">
        <w:fldChar w:fldCharType="end"/>
      </w:r>
      <w:r w:rsidRPr="009E3543">
        <w:t>)</w:t>
      </w:r>
      <w:r>
        <w:t>, according to which t</w:t>
      </w:r>
      <w:r w:rsidRPr="009E3543">
        <w:t>he desired type of job, availability of job candidates for business trips</w:t>
      </w:r>
      <w:r>
        <w:t>,</w:t>
      </w:r>
      <w:r w:rsidRPr="009E3543">
        <w:t xml:space="preserve"> and their readiness to relocate form together with work experience </w:t>
      </w:r>
      <w:r>
        <w:t xml:space="preserve">are the </w:t>
      </w:r>
      <w:proofErr w:type="gramStart"/>
      <w:r>
        <w:t xml:space="preserve">only </w:t>
      </w:r>
      <w:r w:rsidRPr="009E3543">
        <w:t xml:space="preserve"> factors</w:t>
      </w:r>
      <w:proofErr w:type="gramEnd"/>
      <w:r w:rsidRPr="009E3543">
        <w:t xml:space="preserve"> </w:t>
      </w:r>
      <w:r>
        <w:t xml:space="preserve">that </w:t>
      </w:r>
      <w:r w:rsidRPr="009E3543">
        <w:t xml:space="preserve"> positively contribute to the gender gap in expected salary.</w:t>
      </w:r>
      <w:r>
        <w:t xml:space="preserve"> </w:t>
      </w:r>
      <w:r w:rsidRPr="009E3543">
        <w:t>Perhaps, women understand that there is a trade</w:t>
      </w:r>
      <w:r>
        <w:t>-</w:t>
      </w:r>
      <w:r w:rsidRPr="009E3543">
        <w:t xml:space="preserve">off between the wage level and desired job characteristics and they make a rational choice in favour of desired characteristics. Alternatively, in anticipation of employers’ bias against women because of gender and shorter work experience they can intentionally </w:t>
      </w:r>
      <w:r w:rsidRPr="009E3543">
        <w:rPr>
          <w:lang w:val="en-US"/>
        </w:rPr>
        <w:t>understate salary expectations in order to increase the probability of a job offer.</w:t>
      </w:r>
      <w:r>
        <w:rPr>
          <w:lang w:val="en-US"/>
        </w:rPr>
        <w:t xml:space="preserve"> </w:t>
      </w:r>
    </w:p>
    <w:p w14:paraId="6C6D253B" w14:textId="65AC78D8" w:rsidR="0026269E" w:rsidRPr="004A792A" w:rsidRDefault="0026269E" w:rsidP="0026269E">
      <w:pPr>
        <w:pStyle w:val="Headingoverview"/>
        <w:rPr>
          <w:smallCaps w:val="0"/>
          <w:color w:val="0070C0"/>
        </w:rPr>
      </w:pPr>
      <w:bookmarkStart w:id="132" w:name="_Toc533211748"/>
      <w:r w:rsidRPr="004A792A">
        <w:rPr>
          <w:color w:val="0070C0"/>
        </w:rPr>
        <w:lastRenderedPageBreak/>
        <w:t xml:space="preserve">6. </w:t>
      </w:r>
      <w:r w:rsidR="000A4CCC">
        <w:rPr>
          <w:color w:val="0070C0"/>
        </w:rPr>
        <w:t>P</w:t>
      </w:r>
      <w:r w:rsidRPr="004A792A">
        <w:rPr>
          <w:color w:val="0070C0"/>
        </w:rPr>
        <w:t>olicy recommendations</w:t>
      </w:r>
      <w:bookmarkEnd w:id="132"/>
    </w:p>
    <w:p w14:paraId="205FE5DB" w14:textId="6FB6D379" w:rsidR="007F1839" w:rsidRPr="006D4290" w:rsidRDefault="000C5323" w:rsidP="00360056">
      <w:pPr>
        <w:jc w:val="both"/>
        <w:rPr>
          <w:lang w:val="en-US"/>
        </w:rPr>
      </w:pPr>
      <w:r w:rsidRPr="006D4290">
        <w:rPr>
          <w:lang w:val="en-US"/>
        </w:rPr>
        <w:t>The</w:t>
      </w:r>
      <w:r w:rsidR="00D72569">
        <w:rPr>
          <w:lang w:val="en-US"/>
        </w:rPr>
        <w:t xml:space="preserve"> evidence presented in this note </w:t>
      </w:r>
      <w:r w:rsidRPr="006D4290">
        <w:rPr>
          <w:lang w:val="en-US"/>
        </w:rPr>
        <w:t>suggest</w:t>
      </w:r>
      <w:r w:rsidR="00D72569">
        <w:rPr>
          <w:lang w:val="en-US"/>
        </w:rPr>
        <w:t>s</w:t>
      </w:r>
      <w:r w:rsidRPr="006D4290">
        <w:rPr>
          <w:lang w:val="en-US"/>
        </w:rPr>
        <w:t xml:space="preserve"> that </w:t>
      </w:r>
      <w:r w:rsidR="00D72569">
        <w:rPr>
          <w:lang w:val="en-US"/>
        </w:rPr>
        <w:t xml:space="preserve">in order to tackle existing gender inequalities in the Moldovan labor market </w:t>
      </w:r>
      <w:r w:rsidR="00D72569" w:rsidRPr="00D72569">
        <w:rPr>
          <w:lang w:val="en-US"/>
        </w:rPr>
        <w:t xml:space="preserve">and </w:t>
      </w:r>
      <w:r w:rsidR="00D72569" w:rsidRPr="00D72569">
        <w:rPr>
          <w:color w:val="000000"/>
        </w:rPr>
        <w:t>utilize</w:t>
      </w:r>
      <w:r w:rsidR="00D72569" w:rsidRPr="00D72569">
        <w:rPr>
          <w:lang w:val="en-US"/>
        </w:rPr>
        <w:t xml:space="preserve"> </w:t>
      </w:r>
      <w:r w:rsidR="00D72569" w:rsidRPr="00D72569">
        <w:rPr>
          <w:color w:val="000000"/>
        </w:rPr>
        <w:t xml:space="preserve">the available </w:t>
      </w:r>
      <w:proofErr w:type="spellStart"/>
      <w:r w:rsidR="00D72569" w:rsidRPr="00D72569">
        <w:rPr>
          <w:color w:val="000000"/>
        </w:rPr>
        <w:t>labor</w:t>
      </w:r>
      <w:proofErr w:type="spellEnd"/>
      <w:r w:rsidR="00D72569" w:rsidRPr="00D72569">
        <w:rPr>
          <w:color w:val="000000"/>
        </w:rPr>
        <w:t xml:space="preserve"> resources effectively</w:t>
      </w:r>
      <w:r w:rsidR="00D72569" w:rsidRPr="006D4290">
        <w:rPr>
          <w:lang w:val="en-US"/>
        </w:rPr>
        <w:t xml:space="preserve"> </w:t>
      </w:r>
      <w:r w:rsidRPr="006D4290">
        <w:rPr>
          <w:lang w:val="en-US"/>
        </w:rPr>
        <w:t>the Moldovan government should focus on policy levers that</w:t>
      </w:r>
      <w:r w:rsidR="007F1839" w:rsidRPr="006D4290">
        <w:rPr>
          <w:lang w:val="en-US"/>
        </w:rPr>
        <w:t>:</w:t>
      </w:r>
    </w:p>
    <w:p w14:paraId="1A01C58C" w14:textId="77777777" w:rsidR="007F1839" w:rsidRPr="00DE1106" w:rsidRDefault="000C5323" w:rsidP="007F1839">
      <w:pPr>
        <w:pStyle w:val="a"/>
        <w:numPr>
          <w:ilvl w:val="0"/>
          <w:numId w:val="8"/>
        </w:numPr>
        <w:ind w:left="284" w:hanging="284"/>
      </w:pPr>
      <w:r w:rsidRPr="00C86BDA">
        <w:t xml:space="preserve">encourage </w:t>
      </w:r>
      <w:r w:rsidR="00454F4F" w:rsidRPr="00C86BDA">
        <w:t>more</w:t>
      </w:r>
      <w:r w:rsidRPr="00C86BDA">
        <w:t xml:space="preserve"> men and women to participate in the labor force,</w:t>
      </w:r>
    </w:p>
    <w:p w14:paraId="51044E2C" w14:textId="77777777" w:rsidR="007F1839" w:rsidRPr="009D0309" w:rsidRDefault="000C5323" w:rsidP="007F1839">
      <w:pPr>
        <w:pStyle w:val="a"/>
        <w:numPr>
          <w:ilvl w:val="0"/>
          <w:numId w:val="8"/>
        </w:numPr>
        <w:ind w:left="284" w:hanging="284"/>
      </w:pPr>
      <w:r w:rsidRPr="009D0309">
        <w:t>improve opportunities for women to combine work with family obligations through higher flexibility in work arrangements</w:t>
      </w:r>
      <w:r w:rsidR="007F1839" w:rsidRPr="009D0309">
        <w:t>,</w:t>
      </w:r>
      <w:r w:rsidRPr="009D0309">
        <w:t xml:space="preserve"> provision of </w:t>
      </w:r>
      <w:r w:rsidR="00692F59" w:rsidRPr="009D0309">
        <w:t xml:space="preserve">high-quality </w:t>
      </w:r>
      <w:r w:rsidR="00F35383" w:rsidRPr="009D0309">
        <w:t xml:space="preserve">affordable </w:t>
      </w:r>
      <w:r w:rsidRPr="009D0309">
        <w:t>childcare services</w:t>
      </w:r>
      <w:r w:rsidR="009D0309">
        <w:t>,</w:t>
      </w:r>
      <w:r w:rsidRPr="009D0309">
        <w:t xml:space="preserve"> and </w:t>
      </w:r>
      <w:r w:rsidR="009D0309">
        <w:t>greater</w:t>
      </w:r>
      <w:r w:rsidR="007F1839" w:rsidRPr="009D0309">
        <w:t xml:space="preserve"> equality in unpaid care work,</w:t>
      </w:r>
    </w:p>
    <w:p w14:paraId="2D37BE4F" w14:textId="3ECB016D" w:rsidR="007F1839" w:rsidRPr="00C86BDA" w:rsidRDefault="00D72569" w:rsidP="007F1839">
      <w:pPr>
        <w:pStyle w:val="a"/>
        <w:numPr>
          <w:ilvl w:val="0"/>
          <w:numId w:val="8"/>
        </w:numPr>
        <w:ind w:left="284" w:hanging="284"/>
      </w:pPr>
      <w:r>
        <w:t>reduce</w:t>
      </w:r>
      <w:r w:rsidRPr="009D0309">
        <w:t xml:space="preserve"> </w:t>
      </w:r>
      <w:r w:rsidRPr="00C86BDA">
        <w:t xml:space="preserve">gender pay </w:t>
      </w:r>
      <w:r>
        <w:t xml:space="preserve">gap which is partly attributed to </w:t>
      </w:r>
      <w:r w:rsidR="0001370F" w:rsidRPr="009D0309">
        <w:t xml:space="preserve">segregation </w:t>
      </w:r>
      <w:r>
        <w:t>of men and women across occupations and types of firms in terms of the size, sector (public or private) and type of employment (formal or informal).</w:t>
      </w:r>
      <w:r w:rsidR="000C5323" w:rsidRPr="009D0309">
        <w:t>.</w:t>
      </w:r>
      <w:r w:rsidR="00360056" w:rsidRPr="00C86BDA">
        <w:t>.</w:t>
      </w:r>
    </w:p>
    <w:p w14:paraId="4E8CABBF" w14:textId="77777777" w:rsidR="00360056" w:rsidRDefault="008B65EB" w:rsidP="007F1839">
      <w:pPr>
        <w:pStyle w:val="a"/>
        <w:numPr>
          <w:ilvl w:val="0"/>
          <w:numId w:val="0"/>
        </w:numPr>
      </w:pPr>
      <w:r w:rsidRPr="00C86BDA">
        <w:t xml:space="preserve">An additional </w:t>
      </w:r>
      <w:r w:rsidR="007F1839" w:rsidRPr="00C86BDA">
        <w:t xml:space="preserve">policy </w:t>
      </w:r>
      <w:r w:rsidRPr="00C86BDA">
        <w:t xml:space="preserve">lever should be </w:t>
      </w:r>
      <w:r w:rsidR="00360056" w:rsidRPr="00C86BDA">
        <w:t xml:space="preserve">directed on addressing the multiple challenges faced by parents of </w:t>
      </w:r>
      <w:r w:rsidR="007F1839" w:rsidRPr="00C86BDA">
        <w:t xml:space="preserve">three </w:t>
      </w:r>
      <w:r w:rsidR="00360056" w:rsidRPr="00C86BDA">
        <w:t>and more children aged below 15 years who predominantly live in rural areas and lack human capital.</w:t>
      </w:r>
    </w:p>
    <w:p w14:paraId="05A5B06E" w14:textId="005D8B25" w:rsidR="001369B8" w:rsidRPr="006D4290" w:rsidRDefault="00360056" w:rsidP="00360056">
      <w:pPr>
        <w:jc w:val="both"/>
        <w:rPr>
          <w:lang w:val="en-US"/>
        </w:rPr>
      </w:pPr>
      <w:r w:rsidRPr="006D4290">
        <w:rPr>
          <w:lang w:val="en-US"/>
        </w:rPr>
        <w:t xml:space="preserve">Using </w:t>
      </w:r>
      <w:r w:rsidR="00522908" w:rsidRPr="006D4290">
        <w:rPr>
          <w:lang w:val="en-US"/>
        </w:rPr>
        <w:t>indicators of gender differences in formal laws and institutions collected by the World Bank “Women, Business and Law” initiative for Moldova</w:t>
      </w:r>
      <w:r w:rsidR="00522908" w:rsidRPr="006D4290">
        <w:rPr>
          <w:rStyle w:val="af9"/>
          <w:lang w:val="en-US"/>
        </w:rPr>
        <w:footnoteReference w:id="40"/>
      </w:r>
      <w:r w:rsidR="00522908" w:rsidRPr="006D4290">
        <w:rPr>
          <w:lang w:val="en-US"/>
        </w:rPr>
        <w:t xml:space="preserve"> and building on the findings of gender reports (e.g. WEF, 201</w:t>
      </w:r>
      <w:r w:rsidR="00D75E31" w:rsidRPr="006D4290">
        <w:rPr>
          <w:lang w:val="en-US"/>
        </w:rPr>
        <w:t>5</w:t>
      </w:r>
      <w:r w:rsidR="00522908" w:rsidRPr="006D4290">
        <w:rPr>
          <w:lang w:val="en-US"/>
        </w:rPr>
        <w:t>; World Bank, 2013) and policy papers on female labor force participation</w:t>
      </w:r>
      <w:r w:rsidR="00454F4F" w:rsidRPr="006D4290">
        <w:rPr>
          <w:lang w:val="en-US"/>
        </w:rPr>
        <w:t>,</w:t>
      </w:r>
      <w:r w:rsidR="00A908C1" w:rsidRPr="006D4290">
        <w:rPr>
          <w:lang w:val="en-US"/>
        </w:rPr>
        <w:t xml:space="preserve"> gender-based employment segregation</w:t>
      </w:r>
      <w:r w:rsidR="00454F4F" w:rsidRPr="006D4290">
        <w:rPr>
          <w:lang w:val="en-US"/>
        </w:rPr>
        <w:t>, and fertility</w:t>
      </w:r>
      <w:r w:rsidR="00A908C1" w:rsidRPr="006D4290">
        <w:rPr>
          <w:lang w:val="en-US"/>
        </w:rPr>
        <w:t xml:space="preserve"> (Subramanian et al.</w:t>
      </w:r>
      <w:r w:rsidR="00454F4F" w:rsidRPr="006D4290">
        <w:rPr>
          <w:lang w:val="en-US"/>
        </w:rPr>
        <w:t>;</w:t>
      </w:r>
      <w:r w:rsidR="00A908C1" w:rsidRPr="006D4290">
        <w:rPr>
          <w:lang w:val="en-US"/>
        </w:rPr>
        <w:t xml:space="preserve"> 2018; Das et al., 2018</w:t>
      </w:r>
      <w:r w:rsidR="00454F4F" w:rsidRPr="006D4290">
        <w:rPr>
          <w:lang w:val="en-US"/>
        </w:rPr>
        <w:t xml:space="preserve">; </w:t>
      </w:r>
      <w:proofErr w:type="spellStart"/>
      <w:r w:rsidR="002452C8" w:rsidRPr="006D4290">
        <w:rPr>
          <w:lang w:val="en-US"/>
        </w:rPr>
        <w:t>Pignatti</w:t>
      </w:r>
      <w:proofErr w:type="spellEnd"/>
      <w:r w:rsidR="002452C8" w:rsidRPr="006D4290">
        <w:rPr>
          <w:lang w:val="en-US"/>
        </w:rPr>
        <w:t xml:space="preserve">, 2016; </w:t>
      </w:r>
      <w:proofErr w:type="spellStart"/>
      <w:r w:rsidR="00454F4F" w:rsidRPr="006D4290">
        <w:rPr>
          <w:lang w:val="en-US"/>
        </w:rPr>
        <w:t>Elizarov</w:t>
      </w:r>
      <w:proofErr w:type="spellEnd"/>
      <w:r w:rsidR="00454F4F" w:rsidRPr="006D4290">
        <w:rPr>
          <w:lang w:val="en-US"/>
        </w:rPr>
        <w:t xml:space="preserve"> and Levin, 2015</w:t>
      </w:r>
      <w:r w:rsidR="004E4EF2">
        <w:rPr>
          <w:lang w:val="en-US"/>
        </w:rPr>
        <w:t>; World Bank, 2015b</w:t>
      </w:r>
      <w:r w:rsidR="00A908C1" w:rsidRPr="006D4290">
        <w:rPr>
          <w:lang w:val="en-US"/>
        </w:rPr>
        <w:t>)</w:t>
      </w:r>
      <w:r w:rsidR="00522908" w:rsidRPr="006D4290">
        <w:rPr>
          <w:lang w:val="en-US"/>
        </w:rPr>
        <w:t>, we suggest the key areas for changes</w:t>
      </w:r>
      <w:r w:rsidR="00BA1652" w:rsidRPr="006D4290">
        <w:rPr>
          <w:lang w:val="en-US"/>
        </w:rPr>
        <w:t xml:space="preserve"> in Moldova</w:t>
      </w:r>
      <w:r w:rsidR="00522908" w:rsidRPr="006D4290">
        <w:rPr>
          <w:lang w:val="en-US"/>
        </w:rPr>
        <w:t>:</w:t>
      </w:r>
    </w:p>
    <w:p w14:paraId="406E30F8" w14:textId="49A3C795" w:rsidR="00DC1684" w:rsidRPr="00C71EF3" w:rsidRDefault="00DC1684" w:rsidP="00D72569">
      <w:pPr>
        <w:pStyle w:val="a"/>
        <w:numPr>
          <w:ilvl w:val="0"/>
          <w:numId w:val="9"/>
        </w:numPr>
        <w:tabs>
          <w:tab w:val="left" w:pos="284"/>
        </w:tabs>
        <w:ind w:left="0" w:firstLine="0"/>
      </w:pPr>
      <w:r w:rsidRPr="006D4290">
        <w:rPr>
          <w:b/>
        </w:rPr>
        <w:t>Improve access to and quality of childcare services</w:t>
      </w:r>
      <w:r w:rsidRPr="00C86BDA">
        <w:rPr>
          <w:b/>
        </w:rPr>
        <w:t xml:space="preserve"> and after-school</w:t>
      </w:r>
      <w:r w:rsidRPr="00DE1106">
        <w:t xml:space="preserve"> </w:t>
      </w:r>
      <w:r w:rsidRPr="00DE1106">
        <w:rPr>
          <w:b/>
        </w:rPr>
        <w:t xml:space="preserve">activities. </w:t>
      </w:r>
      <w:r w:rsidRPr="00DE1106">
        <w:t xml:space="preserve">The greater availability of affordable and high-quality childcare </w:t>
      </w:r>
      <w:r w:rsidRPr="006D4290">
        <w:t xml:space="preserve">services for children of pre-school age </w:t>
      </w:r>
      <w:r w:rsidR="00D32E30">
        <w:t xml:space="preserve">(from 0 to 6 years) </w:t>
      </w:r>
      <w:r w:rsidRPr="006D4290">
        <w:t xml:space="preserve">and </w:t>
      </w:r>
      <w:r w:rsidRPr="00C86BDA">
        <w:t>extracurricular activities for school-age children</w:t>
      </w:r>
      <w:r w:rsidRPr="006D4290">
        <w:t xml:space="preserve"> c</w:t>
      </w:r>
      <w:r w:rsidRPr="00C86BDA">
        <w:t xml:space="preserve">an improve female participation in the labor force. It can also reduce the selection of working mothers into lower-paid jobs that allow time flexibility and shorter working hours. Therefore, it is an effective measure to reduce the </w:t>
      </w:r>
      <w:r w:rsidRPr="00C71EF3">
        <w:t>motherhood penalty in labor force participation, quality of employment</w:t>
      </w:r>
      <w:r w:rsidR="00C71EF3" w:rsidRPr="00C71EF3">
        <w:t>,</w:t>
      </w:r>
      <w:r w:rsidRPr="00C71EF3">
        <w:t xml:space="preserve"> and earnings. </w:t>
      </w:r>
      <w:r w:rsidR="00517E7D" w:rsidRPr="006D4290">
        <w:t>Moreover, childcare coverage (the proportion of children under age 3 who are enrolled in formal care services) plays a crucial role for family enlargement (</w:t>
      </w:r>
      <w:proofErr w:type="spellStart"/>
      <w:r w:rsidR="00517E7D" w:rsidRPr="006D4290">
        <w:t>Greulich</w:t>
      </w:r>
      <w:proofErr w:type="spellEnd"/>
      <w:r w:rsidR="00517E7D" w:rsidRPr="006D4290">
        <w:t xml:space="preserve"> et al., 2017).</w:t>
      </w:r>
      <w:r w:rsidR="00517E7D" w:rsidRPr="00C71EF3">
        <w:t xml:space="preserve"> </w:t>
      </w:r>
      <w:r w:rsidRPr="00C71EF3">
        <w:t xml:space="preserve">If the government cannot provide the sufficient number of places in public kindergartens </w:t>
      </w:r>
      <w:r w:rsidR="009B350E">
        <w:t>for all children</w:t>
      </w:r>
      <w:r w:rsidRPr="00C71EF3">
        <w:t xml:space="preserve">, </w:t>
      </w:r>
      <w:r w:rsidRPr="006D4290">
        <w:t>it should consider incentivizing the development of quality private childcare facilities</w:t>
      </w:r>
      <w:r w:rsidR="009B350E">
        <w:t xml:space="preserve"> and providing childcare subsidies to low-income </w:t>
      </w:r>
      <w:r w:rsidR="009374BD">
        <w:t>families</w:t>
      </w:r>
      <w:r w:rsidR="009B350E">
        <w:t xml:space="preserve"> </w:t>
      </w:r>
      <w:r w:rsidR="00605939">
        <w:t>who need child</w:t>
      </w:r>
      <w:r w:rsidR="009B350E" w:rsidRPr="009B350E">
        <w:t>care due to w</w:t>
      </w:r>
      <w:r w:rsidR="009B350E">
        <w:t>ork, work-related training or education</w:t>
      </w:r>
      <w:r w:rsidRPr="00C71EF3">
        <w:t xml:space="preserve">. </w:t>
      </w:r>
      <w:r w:rsidRPr="006D4290">
        <w:t>Inclusion of</w:t>
      </w:r>
      <w:r w:rsidRPr="00C71EF3">
        <w:t xml:space="preserve"> childcare expenses (including kindergartens or day-care centers, after-school centers</w:t>
      </w:r>
      <w:r w:rsidR="00605939">
        <w:t>,</w:t>
      </w:r>
      <w:r w:rsidRPr="00C71EF3">
        <w:t xml:space="preserve"> and child-minding arrangements) to the list of deductible items in the personal income tax </w:t>
      </w:r>
      <w:r w:rsidRPr="006D4290">
        <w:t xml:space="preserve">is another policy </w:t>
      </w:r>
      <w:r w:rsidR="00C71EF3">
        <w:t>option</w:t>
      </w:r>
      <w:r w:rsidRPr="00C71EF3">
        <w:t>.</w:t>
      </w:r>
    </w:p>
    <w:p w14:paraId="5E597F18" w14:textId="518E54D6" w:rsidR="00724C05" w:rsidRPr="006D4290" w:rsidRDefault="00D75E31" w:rsidP="00D72569">
      <w:pPr>
        <w:pStyle w:val="a"/>
        <w:numPr>
          <w:ilvl w:val="0"/>
          <w:numId w:val="9"/>
        </w:numPr>
        <w:tabs>
          <w:tab w:val="left" w:pos="284"/>
        </w:tabs>
        <w:ind w:left="0" w:firstLine="0"/>
      </w:pPr>
      <w:r w:rsidRPr="00C71EF3">
        <w:rPr>
          <w:b/>
        </w:rPr>
        <w:t>Reduce d</w:t>
      </w:r>
      <w:r w:rsidR="00A50770" w:rsidRPr="00C71EF3">
        <w:rPr>
          <w:b/>
        </w:rPr>
        <w:t xml:space="preserve">uration of </w:t>
      </w:r>
      <w:r w:rsidRPr="00C71EF3">
        <w:rPr>
          <w:b/>
        </w:rPr>
        <w:t xml:space="preserve">paid </w:t>
      </w:r>
      <w:r w:rsidR="00724C05" w:rsidRPr="00C71EF3">
        <w:rPr>
          <w:b/>
        </w:rPr>
        <w:t xml:space="preserve">maternity and </w:t>
      </w:r>
      <w:r w:rsidR="00A50770" w:rsidRPr="00C71EF3">
        <w:rPr>
          <w:b/>
        </w:rPr>
        <w:t xml:space="preserve">parental leave. </w:t>
      </w:r>
      <w:r w:rsidRPr="00C71EF3">
        <w:t xml:space="preserve">Currently, the cumulative duration of paid </w:t>
      </w:r>
      <w:proofErr w:type="gramStart"/>
      <w:r w:rsidRPr="00C71EF3">
        <w:t>maternity</w:t>
      </w:r>
      <w:proofErr w:type="gramEnd"/>
      <w:r w:rsidRPr="00C71EF3">
        <w:t xml:space="preserve"> and parental leave available for mothers exceeds three years in Moldova. Extended periods of leave </w:t>
      </w:r>
      <w:r w:rsidR="00692F59" w:rsidRPr="00C71EF3">
        <w:t xml:space="preserve">can </w:t>
      </w:r>
      <w:r w:rsidRPr="00C71EF3">
        <w:t xml:space="preserve">undermine female labor force participation and opportunities </w:t>
      </w:r>
      <w:r w:rsidR="00517253" w:rsidRPr="00C71EF3">
        <w:t xml:space="preserve">for career advancement and earnings progression </w:t>
      </w:r>
      <w:r w:rsidRPr="00C71EF3">
        <w:t>(W</w:t>
      </w:r>
      <w:r w:rsidR="00517253" w:rsidRPr="00C71EF3">
        <w:t>orld Bank, 2013</w:t>
      </w:r>
      <w:r w:rsidR="0003253D">
        <w:t>, 2015b</w:t>
      </w:r>
      <w:r w:rsidRPr="00C71EF3">
        <w:t>)</w:t>
      </w:r>
      <w:r w:rsidR="00517253" w:rsidRPr="00C71EF3">
        <w:t xml:space="preserve">. They </w:t>
      </w:r>
      <w:r w:rsidRPr="00C71EF3">
        <w:t xml:space="preserve">may also result in occupational </w:t>
      </w:r>
      <w:r w:rsidR="00517253" w:rsidRPr="00C71EF3">
        <w:t>segregation,</w:t>
      </w:r>
      <w:r w:rsidRPr="00C71EF3">
        <w:t xml:space="preserve"> as women tend to choose occupations with more generic and </w:t>
      </w:r>
      <w:r w:rsidR="005143B5" w:rsidRPr="00C71EF3">
        <w:t xml:space="preserve">easily </w:t>
      </w:r>
      <w:r w:rsidRPr="00C71EF3">
        <w:t>transferable skills</w:t>
      </w:r>
      <w:r w:rsidR="00517253" w:rsidRPr="00C71EF3">
        <w:t xml:space="preserve"> that do not deteriorate during long periods of leave. Besides, women seem to face a </w:t>
      </w:r>
      <w:r w:rsidRPr="00C71EF3">
        <w:t xml:space="preserve">motherhood </w:t>
      </w:r>
      <w:r w:rsidR="00517253" w:rsidRPr="00C71EF3">
        <w:t>wage penalty, which is directly related to a long career break, and they can be subject to discrim</w:t>
      </w:r>
      <w:r w:rsidR="0011241C" w:rsidRPr="00C71EF3">
        <w:t>ination in hiring and promotion</w:t>
      </w:r>
      <w:r w:rsidRPr="006D4290">
        <w:t>.</w:t>
      </w:r>
      <w:r w:rsidR="00757D98" w:rsidRPr="006D4290">
        <w:rPr>
          <w:rStyle w:val="af9"/>
        </w:rPr>
        <w:footnoteReference w:id="41"/>
      </w:r>
      <w:r w:rsidR="0011241C" w:rsidRPr="00C71EF3">
        <w:t xml:space="preserve"> </w:t>
      </w:r>
      <w:r w:rsidR="0011241C" w:rsidRPr="006D4290">
        <w:t xml:space="preserve">At the same time, the existing opportunity to stop working for a relatively </w:t>
      </w:r>
      <w:r w:rsidR="0011241C" w:rsidRPr="006D4290">
        <w:lastRenderedPageBreak/>
        <w:t xml:space="preserve">long period does not seem to have a positive effect on having more children </w:t>
      </w:r>
      <w:r w:rsidR="00973A2E" w:rsidRPr="006D4290">
        <w:t>in Moldova</w:t>
      </w:r>
      <w:r w:rsidR="0010249F" w:rsidRPr="006D4290">
        <w:t xml:space="preserve"> </w:t>
      </w:r>
      <w:r w:rsidR="0011241C" w:rsidRPr="006D4290">
        <w:t>(</w:t>
      </w:r>
      <w:r w:rsidR="00973A2E" w:rsidRPr="006D4290">
        <w:t>CPD, 2018</w:t>
      </w:r>
      <w:r w:rsidR="0011241C" w:rsidRPr="00C71EF3">
        <w:t>).</w:t>
      </w:r>
      <w:r w:rsidR="00983DF8">
        <w:t xml:space="preserve"> </w:t>
      </w:r>
      <w:r w:rsidR="00983DF8" w:rsidRPr="004D7AFF">
        <w:t>Taking into account a non</w:t>
      </w:r>
      <w:r w:rsidR="00983DF8">
        <w:t>-</w:t>
      </w:r>
      <w:r w:rsidR="00983DF8" w:rsidRPr="001D7939">
        <w:t>linear relationship between the length of leave and female employment, a</w:t>
      </w:r>
      <w:r w:rsidR="00983DF8" w:rsidRPr="001D7939">
        <w:rPr>
          <w:rFonts w:cstheme="minorHAnsi"/>
          <w:bCs/>
          <w:color w:val="032A45"/>
          <w:shd w:val="clear" w:color="auto" w:fill="FFFFFF"/>
        </w:rPr>
        <w:t xml:space="preserve"> more detailed analysis, including </w:t>
      </w:r>
      <w:r w:rsidR="00983DF8">
        <w:rPr>
          <w:rFonts w:cstheme="minorHAnsi"/>
          <w:bCs/>
          <w:color w:val="032A45"/>
          <w:shd w:val="clear" w:color="auto" w:fill="FFFFFF"/>
        </w:rPr>
        <w:t xml:space="preserve">the </w:t>
      </w:r>
      <w:r w:rsidR="00983DF8" w:rsidRPr="001D7939">
        <w:rPr>
          <w:rFonts w:cstheme="minorHAnsi"/>
          <w:bCs/>
          <w:color w:val="032A45"/>
          <w:shd w:val="clear" w:color="auto" w:fill="FFFFFF"/>
        </w:rPr>
        <w:t>f</w:t>
      </w:r>
      <w:r w:rsidR="00983DF8">
        <w:rPr>
          <w:rFonts w:cstheme="minorHAnsi"/>
          <w:bCs/>
          <w:color w:val="032A45"/>
          <w:shd w:val="clear" w:color="auto" w:fill="FFFFFF"/>
        </w:rPr>
        <w:t>unding sources</w:t>
      </w:r>
      <w:r w:rsidR="00983DF8" w:rsidRPr="001D7939">
        <w:rPr>
          <w:rFonts w:cstheme="minorHAnsi"/>
          <w:bCs/>
          <w:color w:val="032A45"/>
          <w:shd w:val="clear" w:color="auto" w:fill="FFFFFF"/>
        </w:rPr>
        <w:t xml:space="preserve"> </w:t>
      </w:r>
      <w:r w:rsidR="00983DF8">
        <w:rPr>
          <w:rFonts w:cstheme="minorHAnsi"/>
          <w:bCs/>
          <w:color w:val="032A45"/>
          <w:shd w:val="clear" w:color="auto" w:fill="FFFFFF"/>
        </w:rPr>
        <w:t xml:space="preserve">of the benefit </w:t>
      </w:r>
      <w:r w:rsidR="00983DF8" w:rsidRPr="001D7939">
        <w:rPr>
          <w:rFonts w:cstheme="minorHAnsi"/>
          <w:bCs/>
          <w:color w:val="032A45"/>
          <w:shd w:val="clear" w:color="auto" w:fill="FFFFFF"/>
        </w:rPr>
        <w:t xml:space="preserve">and linking </w:t>
      </w:r>
      <w:r w:rsidR="00983DF8">
        <w:rPr>
          <w:rFonts w:cstheme="minorHAnsi"/>
          <w:bCs/>
          <w:color w:val="032A45"/>
          <w:shd w:val="clear" w:color="auto" w:fill="FFFFFF"/>
        </w:rPr>
        <w:t xml:space="preserve">changes in the duration of leave </w:t>
      </w:r>
      <w:r w:rsidR="00983DF8" w:rsidRPr="001D7939">
        <w:rPr>
          <w:rFonts w:cstheme="minorHAnsi"/>
          <w:bCs/>
          <w:color w:val="032A45"/>
          <w:shd w:val="clear" w:color="auto" w:fill="FFFFFF"/>
        </w:rPr>
        <w:t xml:space="preserve">with </w:t>
      </w:r>
      <w:r w:rsidR="00983DF8">
        <w:rPr>
          <w:rFonts w:cstheme="minorHAnsi"/>
          <w:bCs/>
          <w:color w:val="032A45"/>
          <w:shd w:val="clear" w:color="auto" w:fill="FFFFFF"/>
        </w:rPr>
        <w:t xml:space="preserve">the availability of </w:t>
      </w:r>
      <w:r w:rsidR="00983DF8" w:rsidRPr="001D7939">
        <w:rPr>
          <w:rFonts w:cstheme="minorHAnsi"/>
          <w:bCs/>
          <w:color w:val="032A45"/>
          <w:shd w:val="clear" w:color="auto" w:fill="FFFFFF"/>
        </w:rPr>
        <w:t>childcare</w:t>
      </w:r>
      <w:r w:rsidR="00983DF8">
        <w:rPr>
          <w:rFonts w:cstheme="minorHAnsi"/>
          <w:bCs/>
          <w:color w:val="032A45"/>
          <w:shd w:val="clear" w:color="auto" w:fill="FFFFFF"/>
        </w:rPr>
        <w:t xml:space="preserve"> services</w:t>
      </w:r>
      <w:r w:rsidR="00983DF8" w:rsidRPr="001D7939">
        <w:rPr>
          <w:rFonts w:cstheme="minorHAnsi"/>
          <w:bCs/>
          <w:color w:val="032A45"/>
          <w:shd w:val="clear" w:color="auto" w:fill="FFFFFF"/>
        </w:rPr>
        <w:t>, is important</w:t>
      </w:r>
      <w:r w:rsidR="00983DF8">
        <w:rPr>
          <w:rFonts w:cstheme="minorHAnsi"/>
          <w:bCs/>
          <w:color w:val="032A45"/>
          <w:shd w:val="clear" w:color="auto" w:fill="FFFFFF"/>
        </w:rPr>
        <w:t xml:space="preserve"> </w:t>
      </w:r>
      <w:r w:rsidR="004E4EF2">
        <w:rPr>
          <w:rFonts w:cstheme="minorHAnsi"/>
          <w:bCs/>
          <w:color w:val="032A45"/>
          <w:shd w:val="clear" w:color="auto" w:fill="FFFFFF"/>
        </w:rPr>
        <w:t xml:space="preserve">to determine the optimal length of leave </w:t>
      </w:r>
      <w:r w:rsidR="00983DF8">
        <w:rPr>
          <w:rFonts w:cstheme="minorHAnsi"/>
          <w:bCs/>
          <w:color w:val="032A45"/>
          <w:shd w:val="clear" w:color="auto" w:fill="FFFFFF"/>
        </w:rPr>
        <w:t>(</w:t>
      </w:r>
      <w:r w:rsidR="004E4EF2">
        <w:rPr>
          <w:rFonts w:cstheme="minorHAnsi"/>
          <w:bCs/>
          <w:color w:val="032A45"/>
          <w:shd w:val="clear" w:color="auto" w:fill="FFFFFF"/>
        </w:rPr>
        <w:t>World Bank, 2015b</w:t>
      </w:r>
      <w:r w:rsidR="00983DF8">
        <w:rPr>
          <w:rFonts w:cstheme="minorHAnsi"/>
          <w:bCs/>
          <w:color w:val="032A45"/>
          <w:shd w:val="clear" w:color="auto" w:fill="FFFFFF"/>
        </w:rPr>
        <w:t>)</w:t>
      </w:r>
      <w:r w:rsidR="00983DF8" w:rsidRPr="001D7939">
        <w:rPr>
          <w:rFonts w:cstheme="minorHAnsi"/>
          <w:bCs/>
          <w:color w:val="032A45"/>
          <w:shd w:val="clear" w:color="auto" w:fill="FFFFFF"/>
        </w:rPr>
        <w:t>.</w:t>
      </w:r>
    </w:p>
    <w:p w14:paraId="2A6DB63A" w14:textId="45C15225" w:rsidR="00A50770" w:rsidRPr="006D4290" w:rsidRDefault="00724C05" w:rsidP="00D72569">
      <w:pPr>
        <w:pStyle w:val="a"/>
        <w:numPr>
          <w:ilvl w:val="0"/>
          <w:numId w:val="9"/>
        </w:numPr>
        <w:tabs>
          <w:tab w:val="left" w:pos="284"/>
        </w:tabs>
        <w:ind w:left="0" w:firstLine="0"/>
        <w:rPr>
          <w:rFonts w:cstheme="minorHAnsi"/>
        </w:rPr>
      </w:pPr>
      <w:r w:rsidRPr="00C71EF3">
        <w:rPr>
          <w:rFonts w:cstheme="minorHAnsi"/>
          <w:b/>
        </w:rPr>
        <w:t xml:space="preserve">Introduce </w:t>
      </w:r>
      <w:r w:rsidR="00692F59" w:rsidRPr="00C71EF3">
        <w:rPr>
          <w:rFonts w:cstheme="minorHAnsi"/>
          <w:b/>
        </w:rPr>
        <w:t xml:space="preserve">a </w:t>
      </w:r>
      <w:r w:rsidRPr="00C71EF3">
        <w:rPr>
          <w:rFonts w:cstheme="minorHAnsi"/>
          <w:b/>
        </w:rPr>
        <w:t>father’s quota</w:t>
      </w:r>
      <w:r w:rsidRPr="00C71EF3">
        <w:rPr>
          <w:rFonts w:cstheme="minorHAnsi"/>
          <w:color w:val="545454"/>
          <w:shd w:val="clear" w:color="auto" w:fill="FFFFFF"/>
        </w:rPr>
        <w:t xml:space="preserve"> </w:t>
      </w:r>
      <w:r w:rsidRPr="00C71EF3">
        <w:rPr>
          <w:rFonts w:cstheme="minorHAnsi"/>
          <w:b/>
        </w:rPr>
        <w:t>for parental leave</w:t>
      </w:r>
      <w:r w:rsidR="008D6C2F">
        <w:rPr>
          <w:rFonts w:cstheme="minorHAnsi"/>
          <w:b/>
        </w:rPr>
        <w:t xml:space="preserve"> and </w:t>
      </w:r>
      <w:r w:rsidR="008D6C2F" w:rsidRPr="001D7939">
        <w:rPr>
          <w:rFonts w:cstheme="minorHAnsi"/>
          <w:b/>
        </w:rPr>
        <w:t>counteract traditional gender patterns and gender roles</w:t>
      </w:r>
      <w:r w:rsidRPr="00C71EF3">
        <w:rPr>
          <w:rFonts w:cstheme="minorHAnsi"/>
          <w:color w:val="545454"/>
          <w:shd w:val="clear" w:color="auto" w:fill="FFFFFF"/>
        </w:rPr>
        <w:t xml:space="preserve">. </w:t>
      </w:r>
      <w:r w:rsidRPr="00C71EF3">
        <w:rPr>
          <w:rFonts w:cstheme="minorHAnsi"/>
        </w:rPr>
        <w:t xml:space="preserve">Experience of Scandinavian countries shows that father’s quotas help </w:t>
      </w:r>
      <w:r w:rsidR="005143B5" w:rsidRPr="00C71EF3">
        <w:rPr>
          <w:rFonts w:cstheme="minorHAnsi"/>
        </w:rPr>
        <w:t xml:space="preserve">foster a more equitable division of childrearing </w:t>
      </w:r>
      <w:r w:rsidR="005143B5" w:rsidRPr="00C71EF3">
        <w:t xml:space="preserve">responsibilities in the family and therefore </w:t>
      </w:r>
      <w:r w:rsidRPr="00C71EF3">
        <w:t xml:space="preserve">tackle the </w:t>
      </w:r>
      <w:r w:rsidR="005143B5" w:rsidRPr="00C71EF3">
        <w:t xml:space="preserve">existing </w:t>
      </w:r>
      <w:r w:rsidRPr="00C71EF3">
        <w:t>gender inequalities in employment</w:t>
      </w:r>
      <w:r w:rsidR="005143B5" w:rsidRPr="00C71EF3">
        <w:t>.</w:t>
      </w:r>
      <w:r w:rsidRPr="00C71EF3">
        <w:t xml:space="preserve"> </w:t>
      </w:r>
      <w:r w:rsidR="00C71EF3" w:rsidRPr="00C71EF3">
        <w:t xml:space="preserve">In April 2016, </w:t>
      </w:r>
      <w:r w:rsidR="005143B5" w:rsidRPr="006D4290">
        <w:t xml:space="preserve">Moldova </w:t>
      </w:r>
      <w:r w:rsidR="007B7EF1" w:rsidRPr="006D4290">
        <w:t xml:space="preserve">has shown some progress towards eliminating inequalities between fathers and mothers </w:t>
      </w:r>
      <w:r w:rsidR="00FA5208" w:rsidRPr="006D4290">
        <w:t xml:space="preserve">of newborns </w:t>
      </w:r>
      <w:r w:rsidR="007B7EF1" w:rsidRPr="006D4290">
        <w:t xml:space="preserve">by introducing paternity leave </w:t>
      </w:r>
      <w:r w:rsidR="00FA5208" w:rsidRPr="006D4290">
        <w:t xml:space="preserve">of up to </w:t>
      </w:r>
      <w:r w:rsidR="007B7EF1" w:rsidRPr="006D4290">
        <w:t>14</w:t>
      </w:r>
      <w:r w:rsidR="00FA5208" w:rsidRPr="006D4290">
        <w:t xml:space="preserve"> </w:t>
      </w:r>
      <w:r w:rsidR="007B7EF1" w:rsidRPr="006D4290">
        <w:t>days</w:t>
      </w:r>
      <w:r w:rsidR="00FA5208" w:rsidRPr="006D4290">
        <w:t xml:space="preserve"> </w:t>
      </w:r>
      <w:r w:rsidR="007B7EF1" w:rsidRPr="006D4290">
        <w:t>(Law № 71</w:t>
      </w:r>
      <w:r w:rsidR="007B7EF1" w:rsidRPr="00C71EF3">
        <w:t xml:space="preserve">). </w:t>
      </w:r>
      <w:r w:rsidR="00FA5208" w:rsidRPr="00C71EF3">
        <w:t xml:space="preserve">It </w:t>
      </w:r>
      <w:r w:rsidR="005143B5" w:rsidRPr="00C71EF3">
        <w:t xml:space="preserve">should </w:t>
      </w:r>
      <w:r w:rsidR="00FA5208" w:rsidRPr="00C71EF3">
        <w:t xml:space="preserve">also </w:t>
      </w:r>
      <w:r w:rsidR="005143B5" w:rsidRPr="00C71EF3">
        <w:t xml:space="preserve">consider introduction of </w:t>
      </w:r>
      <w:r w:rsidR="00C71EF3" w:rsidRPr="00C71EF3">
        <w:t xml:space="preserve">a </w:t>
      </w:r>
      <w:r w:rsidR="005143B5" w:rsidRPr="00C71EF3">
        <w:t>father’s quota</w:t>
      </w:r>
      <w:r w:rsidR="00C71EF3" w:rsidRPr="00C71EF3">
        <w:t xml:space="preserve"> for parental leave,</w:t>
      </w:r>
      <w:r w:rsidR="00FA5208" w:rsidRPr="006D4290">
        <w:t xml:space="preserve"> </w:t>
      </w:r>
      <w:r w:rsidR="00C71EF3" w:rsidRPr="006D4290">
        <w:t xml:space="preserve">which is </w:t>
      </w:r>
      <w:r w:rsidR="00FA5208" w:rsidRPr="006D4290">
        <w:t>the principle that a certain part of the parental leave period can only be taken by the father</w:t>
      </w:r>
      <w:r w:rsidR="00FA5208" w:rsidRPr="00C71EF3">
        <w:t xml:space="preserve">. However, </w:t>
      </w:r>
      <w:r w:rsidR="005143B5" w:rsidRPr="00C71EF3">
        <w:t xml:space="preserve">this policy </w:t>
      </w:r>
      <w:r w:rsidR="00C71EF3" w:rsidRPr="00C71EF3">
        <w:t xml:space="preserve">would </w:t>
      </w:r>
      <w:r w:rsidR="005143B5" w:rsidRPr="00C71EF3">
        <w:t xml:space="preserve">not </w:t>
      </w:r>
      <w:r w:rsidR="00692F59" w:rsidRPr="00C71EF3">
        <w:t xml:space="preserve">be </w:t>
      </w:r>
      <w:r w:rsidR="005143B5" w:rsidRPr="00C71EF3">
        <w:t>effective unless social norms and stereotypes about gender and domestic responsibilities are reshaped.</w:t>
      </w:r>
      <w:r w:rsidR="0010249F" w:rsidRPr="00C71EF3">
        <w:t xml:space="preserve"> </w:t>
      </w:r>
      <w:r w:rsidR="0010249F" w:rsidRPr="006D4290">
        <w:t xml:space="preserve">CPD (2018) suggests </w:t>
      </w:r>
      <w:r w:rsidR="00C71EF3" w:rsidRPr="006D4290">
        <w:t xml:space="preserve">a </w:t>
      </w:r>
      <w:r w:rsidR="0010249F" w:rsidRPr="006D4290">
        <w:t xml:space="preserve">reform of the parental leave in Moldova </w:t>
      </w:r>
      <w:r w:rsidR="00C71EF3" w:rsidRPr="006D4290">
        <w:t xml:space="preserve">with introduction of </w:t>
      </w:r>
      <w:r w:rsidR="0010249F" w:rsidRPr="006D4290">
        <w:t>differentiated coefficients for benefit</w:t>
      </w:r>
      <w:r w:rsidR="00C71EF3" w:rsidRPr="006D4290">
        <w:t xml:space="preserve"> amounts</w:t>
      </w:r>
      <w:r w:rsidR="0010249F" w:rsidRPr="006D4290">
        <w:t xml:space="preserve"> to be paid to families depend</w:t>
      </w:r>
      <w:r w:rsidR="00C71EF3" w:rsidRPr="006D4290">
        <w:t>ing</w:t>
      </w:r>
      <w:r w:rsidR="0010249F" w:rsidRPr="006D4290">
        <w:t xml:space="preserve"> on sector and the duration of leave taken by mother and farther (coefficients grow with an increase in the proportion of the leave taken by fathers).</w:t>
      </w:r>
    </w:p>
    <w:p w14:paraId="4DF4A83C" w14:textId="77777777" w:rsidR="005143B5" w:rsidRPr="00DE44CE" w:rsidRDefault="005143B5" w:rsidP="00D72569">
      <w:pPr>
        <w:pStyle w:val="a"/>
        <w:numPr>
          <w:ilvl w:val="0"/>
          <w:numId w:val="9"/>
        </w:numPr>
        <w:tabs>
          <w:tab w:val="left" w:pos="284"/>
        </w:tabs>
        <w:ind w:left="0" w:firstLine="0"/>
      </w:pPr>
      <w:r w:rsidRPr="00C71EF3">
        <w:rPr>
          <w:b/>
        </w:rPr>
        <w:t xml:space="preserve">Subsidize training of women after parental leave. </w:t>
      </w:r>
      <w:r w:rsidR="00585C87" w:rsidRPr="00C71EF3">
        <w:t>Long periods of parental leave might cause women</w:t>
      </w:r>
      <w:r w:rsidR="00C71EF3">
        <w:t>’s skills</w:t>
      </w:r>
      <w:r w:rsidR="00585C87" w:rsidRPr="00C71EF3">
        <w:t xml:space="preserve"> to deteriorate. </w:t>
      </w:r>
      <w:r w:rsidRPr="00C71EF3">
        <w:t>In order</w:t>
      </w:r>
      <w:r w:rsidR="00ED6D8C" w:rsidRPr="00C71EF3">
        <w:t xml:space="preserve"> to tackle discrimination </w:t>
      </w:r>
      <w:r w:rsidR="00585C87" w:rsidRPr="00C71EF3">
        <w:t xml:space="preserve">of young women </w:t>
      </w:r>
      <w:r w:rsidR="00ED6D8C" w:rsidRPr="00C71EF3">
        <w:t xml:space="preserve">in </w:t>
      </w:r>
      <w:r w:rsidR="00585C87" w:rsidRPr="00C71EF3">
        <w:t>hiring, promotion</w:t>
      </w:r>
      <w:r w:rsidR="00DE44CE">
        <w:t>,</w:t>
      </w:r>
      <w:r w:rsidR="00585C87" w:rsidRPr="00C71EF3">
        <w:t xml:space="preserve"> and earnings related to th</w:t>
      </w:r>
      <w:r w:rsidR="00C71DB1" w:rsidRPr="00C71EF3">
        <w:t xml:space="preserve">e skills </w:t>
      </w:r>
      <w:r w:rsidR="00585C87" w:rsidRPr="00C71EF3">
        <w:t>issue</w:t>
      </w:r>
      <w:r w:rsidR="00C71DB1" w:rsidRPr="00C71EF3">
        <w:t xml:space="preserve"> and smooth the transition of mothers from inactivity to employment</w:t>
      </w:r>
      <w:r w:rsidR="00585C87" w:rsidRPr="00DE44CE">
        <w:t xml:space="preserve">, it is important to support employers in providing </w:t>
      </w:r>
      <w:r w:rsidR="00237B33" w:rsidRPr="00DE44CE">
        <w:t xml:space="preserve">firm-specific </w:t>
      </w:r>
      <w:r w:rsidR="00585C87" w:rsidRPr="00DE44CE">
        <w:t>training to women who return to work after</w:t>
      </w:r>
      <w:r w:rsidR="001A2840" w:rsidRPr="00DE44CE">
        <w:t xml:space="preserve"> </w:t>
      </w:r>
      <w:r w:rsidR="00585C87" w:rsidRPr="00DE44CE">
        <w:t>parental leave.</w:t>
      </w:r>
      <w:r w:rsidR="009374BD">
        <w:t xml:space="preserve"> </w:t>
      </w:r>
      <w:r w:rsidR="00605939">
        <w:t>For women with significant previous work experience and relevant skills, s</w:t>
      </w:r>
      <w:r w:rsidR="009374BD">
        <w:t>u</w:t>
      </w:r>
      <w:r w:rsidR="00B6364F">
        <w:t>ch</w:t>
      </w:r>
      <w:r w:rsidR="009374BD">
        <w:t xml:space="preserve"> training </w:t>
      </w:r>
      <w:r w:rsidR="00605939">
        <w:t>can take the</w:t>
      </w:r>
      <w:r w:rsidR="00B6364F">
        <w:t xml:space="preserve"> form of a</w:t>
      </w:r>
      <w:r w:rsidR="00B6364F" w:rsidRPr="00B6364F">
        <w:t xml:space="preserve"> </w:t>
      </w:r>
      <w:r w:rsidR="00605939">
        <w:t xml:space="preserve">low-intensity </w:t>
      </w:r>
      <w:r w:rsidR="00B6364F" w:rsidRPr="00B6364F">
        <w:t xml:space="preserve">refresher </w:t>
      </w:r>
      <w:r w:rsidR="00A93941">
        <w:t xml:space="preserve">or retraining </w:t>
      </w:r>
      <w:r w:rsidR="00B6364F" w:rsidRPr="00B6364F">
        <w:t>course</w:t>
      </w:r>
      <w:r w:rsidR="00605939">
        <w:t>,</w:t>
      </w:r>
      <w:r w:rsidR="00B6364F" w:rsidRPr="00B6364F">
        <w:t xml:space="preserve"> in which </w:t>
      </w:r>
      <w:r w:rsidR="00B6364F">
        <w:t xml:space="preserve">returning women get </w:t>
      </w:r>
      <w:r w:rsidR="00B6364F" w:rsidRPr="00B6364F">
        <w:t>acquainted with the new skills, methods, and processes required to improve their performance on the jobs they d</w:t>
      </w:r>
      <w:r w:rsidR="00B6364F">
        <w:t>id before the leave</w:t>
      </w:r>
      <w:r w:rsidR="00BE4503">
        <w:t xml:space="preserve"> or </w:t>
      </w:r>
      <w:r w:rsidR="00A93941">
        <w:t xml:space="preserve">on </w:t>
      </w:r>
      <w:r w:rsidR="00BE4503">
        <w:t>new job</w:t>
      </w:r>
      <w:r w:rsidR="00A93941">
        <w:t>s.</w:t>
      </w:r>
      <w:r w:rsidR="00BE4503">
        <w:t xml:space="preserve"> G</w:t>
      </w:r>
      <w:r w:rsidR="00BE4503" w:rsidRPr="00BE4503">
        <w:t xml:space="preserve">overnment-subsidized training </w:t>
      </w:r>
      <w:r w:rsidR="00BE4503">
        <w:t xml:space="preserve">(e.g. </w:t>
      </w:r>
      <w:r w:rsidR="00605939">
        <w:t>provision</w:t>
      </w:r>
      <w:r w:rsidR="00BE4503">
        <w:t xml:space="preserve"> of training vouchers) </w:t>
      </w:r>
      <w:r w:rsidR="00605939">
        <w:t>is best</w:t>
      </w:r>
      <w:r w:rsidR="00BE4503">
        <w:t xml:space="preserve"> targeted at </w:t>
      </w:r>
      <w:r w:rsidR="00605939">
        <w:t>mothers</w:t>
      </w:r>
      <w:r w:rsidR="00E85321">
        <w:t xml:space="preserve"> </w:t>
      </w:r>
      <w:r w:rsidR="00605939">
        <w:t>with</w:t>
      </w:r>
      <w:r w:rsidR="00E85321">
        <w:t xml:space="preserve"> </w:t>
      </w:r>
      <w:r w:rsidR="00BE4503">
        <w:t xml:space="preserve">multiple challenges such as </w:t>
      </w:r>
      <w:r w:rsidR="00A93941">
        <w:t xml:space="preserve">outdated </w:t>
      </w:r>
      <w:r w:rsidR="00BE4503">
        <w:t>skills, previous</w:t>
      </w:r>
      <w:r w:rsidR="00605939">
        <w:t xml:space="preserve"> experience of</w:t>
      </w:r>
      <w:r w:rsidR="00BE4503">
        <w:t xml:space="preserve"> </w:t>
      </w:r>
      <w:r w:rsidR="00605939">
        <w:t xml:space="preserve">long-term </w:t>
      </w:r>
      <w:r w:rsidR="00BE4503">
        <w:t xml:space="preserve">unemployment, </w:t>
      </w:r>
      <w:r w:rsidR="00605939">
        <w:t>single-parent responsibilities,</w:t>
      </w:r>
      <w:r w:rsidR="00E85321">
        <w:t xml:space="preserve"> and/or low </w:t>
      </w:r>
      <w:r w:rsidR="00463B80">
        <w:t xml:space="preserve">household </w:t>
      </w:r>
      <w:r w:rsidR="00E85321">
        <w:t>income.</w:t>
      </w:r>
    </w:p>
    <w:p w14:paraId="3DE6E57B" w14:textId="45FFD098" w:rsidR="00D51C02" w:rsidRPr="00C86BDA" w:rsidRDefault="00D51C02" w:rsidP="00D72569">
      <w:pPr>
        <w:pStyle w:val="a"/>
        <w:numPr>
          <w:ilvl w:val="0"/>
          <w:numId w:val="9"/>
        </w:numPr>
        <w:tabs>
          <w:tab w:val="left" w:pos="284"/>
        </w:tabs>
        <w:ind w:left="0" w:firstLine="0"/>
      </w:pPr>
      <w:r w:rsidRPr="00DE44CE">
        <w:rPr>
          <w:b/>
        </w:rPr>
        <w:t>Revise the list of jobs prohibited for women</w:t>
      </w:r>
      <w:r w:rsidR="00B45158">
        <w:rPr>
          <w:b/>
        </w:rPr>
        <w:t xml:space="preserve"> and then disseminate information among employers, educational institutions and women</w:t>
      </w:r>
      <w:r w:rsidRPr="00DE44CE">
        <w:t xml:space="preserve">. </w:t>
      </w:r>
      <w:r w:rsidR="00DE44CE">
        <w:t>L</w:t>
      </w:r>
      <w:r w:rsidRPr="00DE44CE">
        <w:t>ike many other post-Soviet countries</w:t>
      </w:r>
      <w:r w:rsidR="00DE44CE">
        <w:t>, Moldova</w:t>
      </w:r>
      <w:r w:rsidRPr="00DE44CE">
        <w:t xml:space="preserve"> ha</w:t>
      </w:r>
      <w:r w:rsidR="00C245CB" w:rsidRPr="00DE44CE">
        <w:t>s</w:t>
      </w:r>
      <w:r w:rsidRPr="00DE44CE">
        <w:t xml:space="preserve"> a detailed and lengthy list of jobs prohibited for women (World Bank, 2013)</w:t>
      </w:r>
      <w:r w:rsidR="00585C87" w:rsidRPr="00DE44CE">
        <w:t>.</w:t>
      </w:r>
      <w:r w:rsidRPr="00C86BDA">
        <w:rPr>
          <w:rStyle w:val="af9"/>
        </w:rPr>
        <w:footnoteReference w:id="42"/>
      </w:r>
      <w:r w:rsidRPr="00C86BDA">
        <w:t xml:space="preserve"> For example, there are legal res</w:t>
      </w:r>
      <w:r w:rsidRPr="00DE1106">
        <w:t>trictions on women’s employment in transport (trucks, trains, buses</w:t>
      </w:r>
      <w:r w:rsidR="00DE44CE">
        <w:t>,</w:t>
      </w:r>
      <w:r w:rsidRPr="00DE1106">
        <w:t xml:space="preserve"> and water transport).</w:t>
      </w:r>
      <w:r w:rsidRPr="00C86BDA">
        <w:rPr>
          <w:rStyle w:val="af9"/>
          <w:rFonts w:ascii="Arial" w:hAnsi="Arial" w:cs="Arial"/>
          <w:color w:val="333333"/>
          <w:sz w:val="21"/>
          <w:szCs w:val="21"/>
          <w:shd w:val="clear" w:color="auto" w:fill="FFFFFF"/>
        </w:rPr>
        <w:footnoteReference w:id="43"/>
      </w:r>
      <w:r w:rsidRPr="00C86BDA">
        <w:t xml:space="preserve"> There also restrictions on employment of women in mini</w:t>
      </w:r>
      <w:r w:rsidR="00C245CB" w:rsidRPr="00DE1106">
        <w:t xml:space="preserve">ng, </w:t>
      </w:r>
      <w:r w:rsidRPr="00DE1106">
        <w:t>energy, construction</w:t>
      </w:r>
      <w:r w:rsidR="00DE44CE">
        <w:t>,</w:t>
      </w:r>
      <w:r w:rsidRPr="00DE1106">
        <w:t xml:space="preserve"> and many other sector</w:t>
      </w:r>
      <w:r w:rsidR="00C245CB" w:rsidRPr="009D0309">
        <w:t>s and occupations</w:t>
      </w:r>
      <w:r w:rsidRPr="00C71EF3">
        <w:t xml:space="preserve"> as specified in </w:t>
      </w:r>
      <w:r w:rsidR="00C245CB" w:rsidRPr="00C71EF3">
        <w:t>the Moldova Governme</w:t>
      </w:r>
      <w:r w:rsidR="00C245CB" w:rsidRPr="00C86BDA">
        <w:t xml:space="preserve">nt’s </w:t>
      </w:r>
      <w:r w:rsidRPr="00C86BDA">
        <w:t>Decision No. 264 of 6 October 1993</w:t>
      </w:r>
      <w:r w:rsidR="0072280C" w:rsidRPr="00C86BDA">
        <w:t>. Moreover, additional restrictions on working hours and types of jobs for certain categories of women are specified in the Labor Code, Chapter X</w:t>
      </w:r>
      <w:r w:rsidRPr="00C86BDA">
        <w:t xml:space="preserve">. These </w:t>
      </w:r>
      <w:r w:rsidR="00C245CB" w:rsidRPr="00C86BDA">
        <w:t>r</w:t>
      </w:r>
      <w:r w:rsidRPr="00C86BDA">
        <w:t xml:space="preserve">estrictions limit the range of jobs that women can hold </w:t>
      </w:r>
      <w:r w:rsidR="005F763E">
        <w:t xml:space="preserve">in the formal sector </w:t>
      </w:r>
      <w:r w:rsidRPr="00C86BDA">
        <w:t xml:space="preserve">and lead to </w:t>
      </w:r>
      <w:r w:rsidR="00C245CB" w:rsidRPr="00C86BDA">
        <w:t xml:space="preserve">educational and </w:t>
      </w:r>
      <w:r w:rsidRPr="00C86BDA">
        <w:t>occupational segregation</w:t>
      </w:r>
      <w:r w:rsidR="00C245CB" w:rsidRPr="00C86BDA">
        <w:t xml:space="preserve">, with confinement of </w:t>
      </w:r>
      <w:r w:rsidRPr="00C86BDA">
        <w:t>women to low</w:t>
      </w:r>
      <w:r w:rsidR="0072280C" w:rsidRPr="00C86BDA">
        <w:t>er</w:t>
      </w:r>
      <w:r w:rsidRPr="00C86BDA">
        <w:t>-pa</w:t>
      </w:r>
      <w:r w:rsidR="0072280C" w:rsidRPr="00C86BDA">
        <w:t>id</w:t>
      </w:r>
      <w:r w:rsidRPr="00C86BDA">
        <w:t xml:space="preserve"> activities</w:t>
      </w:r>
      <w:r w:rsidR="00C245CB" w:rsidRPr="00C86BDA">
        <w:t>.</w:t>
      </w:r>
    </w:p>
    <w:p w14:paraId="5DFE77CC" w14:textId="0BD9CCCA" w:rsidR="00283AEC" w:rsidRPr="00AD37B1" w:rsidRDefault="009348E8" w:rsidP="00D72569">
      <w:pPr>
        <w:pStyle w:val="a"/>
        <w:numPr>
          <w:ilvl w:val="0"/>
          <w:numId w:val="9"/>
        </w:numPr>
        <w:tabs>
          <w:tab w:val="left" w:pos="284"/>
        </w:tabs>
        <w:ind w:left="0" w:firstLine="0"/>
      </w:pPr>
      <w:r w:rsidRPr="00AD37B1">
        <w:rPr>
          <w:b/>
        </w:rPr>
        <w:t>Provide timely and relevant</w:t>
      </w:r>
      <w:r w:rsidR="00AC0167" w:rsidRPr="00AD37B1">
        <w:rPr>
          <w:b/>
        </w:rPr>
        <w:t xml:space="preserve"> gender-specific </w:t>
      </w:r>
      <w:r w:rsidRPr="00AD37B1">
        <w:rPr>
          <w:b/>
        </w:rPr>
        <w:t>information on career paths and average earnings in different occupations</w:t>
      </w:r>
      <w:r w:rsidRPr="00AD37B1">
        <w:t xml:space="preserve"> </w:t>
      </w:r>
      <w:r w:rsidRPr="00AD37B1">
        <w:rPr>
          <w:b/>
        </w:rPr>
        <w:t xml:space="preserve">to reduce occupational segregation and information asymmetries in terms of </w:t>
      </w:r>
      <w:r w:rsidR="000D17D7" w:rsidRPr="00AD37B1">
        <w:rPr>
          <w:b/>
        </w:rPr>
        <w:t xml:space="preserve">the </w:t>
      </w:r>
      <w:r w:rsidRPr="00AD37B1">
        <w:rPr>
          <w:b/>
        </w:rPr>
        <w:t>gender pay gap</w:t>
      </w:r>
      <w:r w:rsidRPr="00AD37B1">
        <w:t xml:space="preserve">. </w:t>
      </w:r>
      <w:r w:rsidR="00283AEC" w:rsidRPr="00AD37B1">
        <w:t xml:space="preserve">The provision of gender‐specific information on returns to education and occupational wage differentials has the potential to change occupational aspirations of girls and therefore reduce the gender </w:t>
      </w:r>
      <w:r w:rsidR="00AC0167" w:rsidRPr="00AD37B1">
        <w:t xml:space="preserve">labor market </w:t>
      </w:r>
      <w:r w:rsidR="00283AEC" w:rsidRPr="00AD37B1">
        <w:t>disparities</w:t>
      </w:r>
      <w:r w:rsidR="00AC0167" w:rsidRPr="00AD37B1">
        <w:t xml:space="preserve"> in the future</w:t>
      </w:r>
      <w:r w:rsidR="00283AEC" w:rsidRPr="00AD37B1">
        <w:t xml:space="preserve">. </w:t>
      </w:r>
      <w:r w:rsidR="003E2969" w:rsidRPr="00AD37B1">
        <w:t>Taking into account that i</w:t>
      </w:r>
      <w:r w:rsidR="000D17D7" w:rsidRPr="00AD37B1">
        <w:t xml:space="preserve">mportant career decisions are made quite early in life, </w:t>
      </w:r>
      <w:r w:rsidR="003E2969" w:rsidRPr="00AD37B1">
        <w:rPr>
          <w:rFonts w:ascii="Calibri" w:hAnsi="Calibri" w:cs="Calibri"/>
        </w:rPr>
        <w:t xml:space="preserve">career orientation activities </w:t>
      </w:r>
      <w:r w:rsidR="000D17D7" w:rsidRPr="00AD37B1">
        <w:t xml:space="preserve">that </w:t>
      </w:r>
      <w:r w:rsidR="003E2969" w:rsidRPr="00AD37B1">
        <w:t xml:space="preserve">provide useful education </w:t>
      </w:r>
      <w:r w:rsidR="003E2969" w:rsidRPr="00AD37B1">
        <w:lastRenderedPageBreak/>
        <w:t xml:space="preserve">and labor market information and </w:t>
      </w:r>
      <w:r w:rsidR="000D17D7" w:rsidRPr="00AD37B1">
        <w:t xml:space="preserve">help students make </w:t>
      </w:r>
      <w:r w:rsidR="003E2969" w:rsidRPr="00AD37B1">
        <w:t>good</w:t>
      </w:r>
      <w:r w:rsidR="000D17D7" w:rsidRPr="00AD37B1">
        <w:t xml:space="preserve"> </w:t>
      </w:r>
      <w:r w:rsidR="003E2969" w:rsidRPr="00AD37B1">
        <w:t xml:space="preserve">occupational </w:t>
      </w:r>
      <w:r w:rsidR="000D17D7" w:rsidRPr="00AD37B1">
        <w:t xml:space="preserve">choices </w:t>
      </w:r>
      <w:r w:rsidR="003E2969" w:rsidRPr="00AD37B1">
        <w:t xml:space="preserve">are crucial </w:t>
      </w:r>
      <w:r w:rsidR="00283AEC" w:rsidRPr="00AD37B1">
        <w:t xml:space="preserve">at younger ages, starting </w:t>
      </w:r>
      <w:r w:rsidR="000D17D7" w:rsidRPr="00AD37B1">
        <w:t>in lower secondary school</w:t>
      </w:r>
      <w:r w:rsidR="00283AEC" w:rsidRPr="00AD37B1">
        <w:t xml:space="preserve"> </w:t>
      </w:r>
      <w:r w:rsidR="003E2969" w:rsidRPr="00AD37B1">
        <w:t>(World Bank, 2016</w:t>
      </w:r>
      <w:r w:rsidR="008C0353">
        <w:t>a</w:t>
      </w:r>
      <w:r w:rsidR="003E2969" w:rsidRPr="00AD37B1">
        <w:t>)</w:t>
      </w:r>
      <w:r w:rsidR="000D17D7" w:rsidRPr="00AD37B1">
        <w:t>.</w:t>
      </w:r>
      <w:r w:rsidR="00B45158">
        <w:t xml:space="preserve"> </w:t>
      </w:r>
      <w:r w:rsidR="00B45158" w:rsidRPr="009B36C4">
        <w:t xml:space="preserve">Hence, the objective of the newly created Labor Market Observatory (LMO) is to not only to identify and analyze labor market trends and challenges overall, but also provide gender-disaggregated </w:t>
      </w:r>
      <w:r w:rsidR="00B45158">
        <w:t>statistics and its analysis</w:t>
      </w:r>
      <w:r w:rsidR="00B45158" w:rsidRPr="009B36C4">
        <w:t>.</w:t>
      </w:r>
    </w:p>
    <w:p w14:paraId="0646BE54" w14:textId="77777777" w:rsidR="001608B9" w:rsidRPr="00DE44CE" w:rsidRDefault="00BB343B" w:rsidP="00D72569">
      <w:pPr>
        <w:pStyle w:val="a"/>
        <w:numPr>
          <w:ilvl w:val="0"/>
          <w:numId w:val="9"/>
        </w:numPr>
        <w:tabs>
          <w:tab w:val="left" w:pos="284"/>
        </w:tabs>
        <w:ind w:left="0" w:firstLine="0"/>
      </w:pPr>
      <w:r w:rsidRPr="00AD37B1">
        <w:rPr>
          <w:b/>
        </w:rPr>
        <w:t>Facilitate part-time and flexible forms of employment and promote work-life balance policies and equality at the workplace</w:t>
      </w:r>
      <w:r w:rsidR="009348E8" w:rsidRPr="00DE44CE">
        <w:t>. Many women, especially those who have small children, have to combine work with ongoing car</w:t>
      </w:r>
      <w:r w:rsidR="00DE44CE">
        <w:t>e-related</w:t>
      </w:r>
      <w:r w:rsidR="009348E8" w:rsidRPr="00DE44CE">
        <w:t xml:space="preserve"> responsibilities. This increases female demand in part-time jobs or flexible work arrangements that are very limited in the Moldovan labor market</w:t>
      </w:r>
      <w:r w:rsidR="0078113B" w:rsidRPr="00DE44CE">
        <w:t xml:space="preserve"> </w:t>
      </w:r>
      <w:r w:rsidR="0078113B" w:rsidRPr="00AD37B1">
        <w:t>and need to be promoted through changes in the labor law</w:t>
      </w:r>
      <w:r w:rsidR="009348E8" w:rsidRPr="00DE44CE">
        <w:t xml:space="preserve">. </w:t>
      </w:r>
      <w:r w:rsidR="0078113B" w:rsidRPr="00AD37B1">
        <w:t>Another important policy area is to regulate provision of sick leaves (and other fringe benefits) in the case of part-time employment that are especially important for women with small children.</w:t>
      </w:r>
      <w:r w:rsidR="0078113B" w:rsidRPr="00DE44CE">
        <w:t xml:space="preserve"> </w:t>
      </w:r>
      <w:r w:rsidR="009348E8" w:rsidRPr="00DE44CE">
        <w:t xml:space="preserve">Companies can benefit from gender diversity and larger pool of job candidates by making flexible and part-time work opportunities and other work-life balance </w:t>
      </w:r>
      <w:proofErr w:type="spellStart"/>
      <w:r w:rsidR="009348E8" w:rsidRPr="00DE44CE">
        <w:t>programmes</w:t>
      </w:r>
      <w:proofErr w:type="spellEnd"/>
      <w:r w:rsidR="009348E8" w:rsidRPr="00DE44CE">
        <w:t xml:space="preserve"> more widely available. The government’s role is to develop effective partnerships with leading companies which enforce gender neutrality in advertising of jobs and hiring, </w:t>
      </w:r>
      <w:r w:rsidRPr="00DE44CE">
        <w:t xml:space="preserve">promote gender equality at work, </w:t>
      </w:r>
      <w:r w:rsidR="009348E8" w:rsidRPr="00DE44CE">
        <w:t>and address the existing obstacles to creation of more and better part-time jobs.</w:t>
      </w:r>
    </w:p>
    <w:p w14:paraId="6C82E76C" w14:textId="3BE7CF49" w:rsidR="005558D3" w:rsidRPr="00B45158" w:rsidRDefault="00B45158" w:rsidP="005558D3">
      <w:pPr>
        <w:pStyle w:val="a"/>
        <w:numPr>
          <w:ilvl w:val="0"/>
          <w:numId w:val="0"/>
        </w:numPr>
        <w:rPr>
          <w:rFonts w:eastAsia="Times New Roman" w:cstheme="minorHAnsi"/>
          <w:bCs/>
          <w:iCs/>
        </w:rPr>
      </w:pPr>
      <w:r>
        <w:rPr>
          <w:rFonts w:eastAsia="Times New Roman" w:cstheme="minorHAnsi"/>
          <w:bCs/>
          <w:iCs/>
        </w:rPr>
        <w:t>I</w:t>
      </w:r>
      <w:r w:rsidRPr="00B45158">
        <w:rPr>
          <w:rFonts w:eastAsia="Times New Roman" w:cstheme="minorHAnsi"/>
          <w:bCs/>
          <w:iCs/>
        </w:rPr>
        <w:t xml:space="preserve">n view of the aggregate employment decline and very limited availability of decent jobs in Moldova (World Bank 2016b, c), the effectiveness of these supply-side measures in increasing labor force participation </w:t>
      </w:r>
      <w:r>
        <w:rPr>
          <w:rFonts w:eastAsia="Times New Roman" w:cstheme="minorHAnsi"/>
          <w:bCs/>
          <w:iCs/>
        </w:rPr>
        <w:t xml:space="preserve">and improving labor outcomes of women </w:t>
      </w:r>
      <w:r w:rsidRPr="00B45158">
        <w:rPr>
          <w:rFonts w:eastAsia="Times New Roman" w:cstheme="minorHAnsi"/>
          <w:bCs/>
          <w:iCs/>
        </w:rPr>
        <w:t>is limited if they are not accompanied by policies to support creation of more and higher-productivity private sector jobs. World Bank (2016b) specifies three major gaps that the Moldovan government needs to address in order to boost job creation and productivity growth: the input gap (constraints in access to assets and services that limit the use of productive inputs); the regulation gap (additional constraints related to a suboptimal regulatory framework); and the implementation gap (consistent implementation of regulations is distorted by deficiencies in governance).</w:t>
      </w:r>
    </w:p>
    <w:p w14:paraId="63006199" w14:textId="0EEF9D15" w:rsidR="001369B8" w:rsidRPr="00AD37B1" w:rsidRDefault="00B80405" w:rsidP="0078113B">
      <w:pPr>
        <w:pStyle w:val="af1"/>
        <w:rPr>
          <w:sz w:val="22"/>
          <w:szCs w:val="22"/>
          <w:lang w:val="en-US"/>
        </w:rPr>
      </w:pPr>
      <w:r w:rsidRPr="00B80405">
        <w:rPr>
          <w:noProof/>
          <w:sz w:val="22"/>
          <w:szCs w:val="22"/>
          <w:lang w:val="ru-RU" w:eastAsia="ru-RU"/>
        </w:rPr>
        <w:drawing>
          <wp:inline distT="0" distB="0" distL="0" distR="0" wp14:anchorId="4D7A6089" wp14:editId="6C9E45FB">
            <wp:extent cx="2857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14:paraId="20AD168E" w14:textId="77777777" w:rsidR="00F2314F" w:rsidRPr="00C86BDA" w:rsidRDefault="00F2314F" w:rsidP="00F2314F">
      <w:pPr>
        <w:pStyle w:val="Headingoverview"/>
        <w:rPr>
          <w:smallCaps w:val="0"/>
          <w:color w:val="0070C0"/>
        </w:rPr>
      </w:pPr>
      <w:bookmarkStart w:id="133" w:name="_Toc533211749"/>
      <w:r w:rsidRPr="00C86BDA">
        <w:rPr>
          <w:color w:val="0070C0"/>
        </w:rPr>
        <w:lastRenderedPageBreak/>
        <w:t>References</w:t>
      </w:r>
      <w:bookmarkEnd w:id="133"/>
    </w:p>
    <w:p w14:paraId="2B47159C" w14:textId="77777777" w:rsidR="00ED16FA" w:rsidRDefault="007B7E52" w:rsidP="00D07A4E">
      <w:pPr>
        <w:pStyle w:val="61"/>
        <w:shd w:val="clear" w:color="auto" w:fill="auto"/>
        <w:spacing w:before="120" w:line="240" w:lineRule="auto"/>
        <w:jc w:val="both"/>
        <w:rPr>
          <w:color w:val="000000"/>
          <w:sz w:val="22"/>
          <w:szCs w:val="22"/>
        </w:rPr>
      </w:pPr>
      <w:proofErr w:type="spellStart"/>
      <w:r w:rsidRPr="00ED16FA">
        <w:rPr>
          <w:color w:val="000000"/>
          <w:sz w:val="22"/>
          <w:szCs w:val="22"/>
        </w:rPr>
        <w:t>Besedina</w:t>
      </w:r>
      <w:proofErr w:type="spellEnd"/>
      <w:r w:rsidRPr="00ED16FA">
        <w:rPr>
          <w:color w:val="000000"/>
          <w:sz w:val="22"/>
          <w:szCs w:val="22"/>
        </w:rPr>
        <w:t xml:space="preserve">, Elena and Victoria Levin. 2016. </w:t>
      </w:r>
      <w:r w:rsidR="00DE44CE" w:rsidRPr="00ED16FA">
        <w:rPr>
          <w:i/>
          <w:color w:val="000000"/>
          <w:sz w:val="22"/>
          <w:szCs w:val="22"/>
        </w:rPr>
        <w:t>Analysis of labor market outcomes for households with migrant members in Moldova</w:t>
      </w:r>
      <w:r w:rsidR="00DE44CE" w:rsidRPr="00ED16FA">
        <w:rPr>
          <w:color w:val="000000"/>
          <w:sz w:val="22"/>
          <w:szCs w:val="22"/>
        </w:rPr>
        <w:t>. Mimeo, World Bank.</w:t>
      </w:r>
    </w:p>
    <w:p w14:paraId="6114DB36" w14:textId="77777777" w:rsidR="007805E1" w:rsidRPr="00DE44CE" w:rsidRDefault="007805E1" w:rsidP="00D07A4E">
      <w:pPr>
        <w:pStyle w:val="61"/>
        <w:shd w:val="clear" w:color="auto" w:fill="auto"/>
        <w:spacing w:before="120" w:line="240" w:lineRule="auto"/>
        <w:jc w:val="both"/>
        <w:rPr>
          <w:color w:val="000000"/>
          <w:sz w:val="22"/>
          <w:szCs w:val="22"/>
        </w:rPr>
      </w:pPr>
      <w:proofErr w:type="spellStart"/>
      <w:r w:rsidRPr="00DE44CE">
        <w:rPr>
          <w:color w:val="000000"/>
          <w:sz w:val="22"/>
          <w:szCs w:val="22"/>
        </w:rPr>
        <w:t>Blau</w:t>
      </w:r>
      <w:proofErr w:type="spellEnd"/>
      <w:r w:rsidRPr="00DE44CE">
        <w:rPr>
          <w:color w:val="000000"/>
          <w:sz w:val="22"/>
          <w:szCs w:val="22"/>
        </w:rPr>
        <w:t xml:space="preserve">, Francine D., and Lawrence M. Kahn. 2017. The </w:t>
      </w:r>
      <w:r w:rsidR="0089668F" w:rsidRPr="00DE44CE">
        <w:rPr>
          <w:color w:val="000000"/>
          <w:sz w:val="22"/>
          <w:szCs w:val="22"/>
        </w:rPr>
        <w:t>gender wage gap</w:t>
      </w:r>
      <w:r w:rsidRPr="00DE44CE">
        <w:rPr>
          <w:color w:val="000000"/>
          <w:sz w:val="22"/>
          <w:szCs w:val="22"/>
        </w:rPr>
        <w:t xml:space="preserve">: Extent, </w:t>
      </w:r>
      <w:r w:rsidR="0089668F" w:rsidRPr="00DE44CE">
        <w:rPr>
          <w:color w:val="000000"/>
          <w:sz w:val="22"/>
          <w:szCs w:val="22"/>
        </w:rPr>
        <w:t>trends, and explanations</w:t>
      </w:r>
      <w:r w:rsidRPr="00DE44CE">
        <w:rPr>
          <w:color w:val="000000"/>
          <w:sz w:val="22"/>
          <w:szCs w:val="22"/>
        </w:rPr>
        <w:t xml:space="preserve">. </w:t>
      </w:r>
      <w:r w:rsidRPr="00DE44CE">
        <w:rPr>
          <w:i/>
          <w:color w:val="000000"/>
          <w:sz w:val="22"/>
          <w:szCs w:val="22"/>
        </w:rPr>
        <w:t>Journal of Economic Literature</w:t>
      </w:r>
      <w:r w:rsidRPr="00DE44CE">
        <w:rPr>
          <w:color w:val="000000"/>
          <w:sz w:val="22"/>
          <w:szCs w:val="22"/>
        </w:rPr>
        <w:t>, Vol. 55(3), pp. 789-865.</w:t>
      </w:r>
    </w:p>
    <w:p w14:paraId="782A82C7" w14:textId="77777777" w:rsidR="00CD740C" w:rsidRPr="00DE44CE" w:rsidRDefault="00CD740C" w:rsidP="00D07A4E">
      <w:pPr>
        <w:pStyle w:val="61"/>
        <w:shd w:val="clear" w:color="auto" w:fill="auto"/>
        <w:spacing w:before="120" w:line="240" w:lineRule="auto"/>
        <w:jc w:val="both"/>
        <w:rPr>
          <w:color w:val="000000"/>
          <w:sz w:val="22"/>
          <w:szCs w:val="22"/>
        </w:rPr>
      </w:pPr>
      <w:r w:rsidRPr="00DE44CE">
        <w:rPr>
          <w:color w:val="000000"/>
          <w:sz w:val="22"/>
          <w:szCs w:val="22"/>
        </w:rPr>
        <w:t>Brainerd</w:t>
      </w:r>
      <w:r w:rsidR="007805E1" w:rsidRPr="00DE44CE">
        <w:rPr>
          <w:color w:val="000000"/>
          <w:sz w:val="22"/>
          <w:szCs w:val="22"/>
        </w:rPr>
        <w:t>,</w:t>
      </w:r>
      <w:r w:rsidR="007805E1" w:rsidRPr="00DE44CE">
        <w:rPr>
          <w:sz w:val="22"/>
          <w:szCs w:val="22"/>
        </w:rPr>
        <w:t xml:space="preserve"> Elizabeth. </w:t>
      </w:r>
      <w:r w:rsidRPr="00DE44CE">
        <w:rPr>
          <w:color w:val="000000"/>
          <w:sz w:val="22"/>
          <w:szCs w:val="22"/>
        </w:rPr>
        <w:t>2000</w:t>
      </w:r>
      <w:r w:rsidR="007805E1" w:rsidRPr="00DE44CE">
        <w:rPr>
          <w:color w:val="000000"/>
          <w:sz w:val="22"/>
          <w:szCs w:val="22"/>
        </w:rPr>
        <w:t xml:space="preserve">. </w:t>
      </w:r>
      <w:r w:rsidR="007805E1" w:rsidRPr="00DE44CE">
        <w:rPr>
          <w:sz w:val="22"/>
          <w:szCs w:val="22"/>
        </w:rPr>
        <w:t xml:space="preserve">Women in </w:t>
      </w:r>
      <w:r w:rsidR="0089668F" w:rsidRPr="00DE44CE">
        <w:rPr>
          <w:sz w:val="22"/>
          <w:szCs w:val="22"/>
        </w:rPr>
        <w:t>transition</w:t>
      </w:r>
      <w:r w:rsidR="007805E1" w:rsidRPr="00DE44CE">
        <w:rPr>
          <w:sz w:val="22"/>
          <w:szCs w:val="22"/>
        </w:rPr>
        <w:t xml:space="preserve">: Changes in </w:t>
      </w:r>
      <w:r w:rsidR="0089668F" w:rsidRPr="00DE44CE">
        <w:rPr>
          <w:sz w:val="22"/>
          <w:szCs w:val="22"/>
        </w:rPr>
        <w:t xml:space="preserve">gender wage differentials </w:t>
      </w:r>
      <w:r w:rsidR="007805E1" w:rsidRPr="00DE44CE">
        <w:rPr>
          <w:sz w:val="22"/>
          <w:szCs w:val="22"/>
        </w:rPr>
        <w:t xml:space="preserve">in Eastern Europe and the Former Soviet Union. </w:t>
      </w:r>
      <w:r w:rsidR="007805E1" w:rsidRPr="00DE44CE">
        <w:rPr>
          <w:i/>
          <w:sz w:val="22"/>
          <w:szCs w:val="22"/>
        </w:rPr>
        <w:t>Industrial and Labor Relations Review</w:t>
      </w:r>
      <w:r w:rsidR="007805E1" w:rsidRPr="00DE44CE">
        <w:rPr>
          <w:sz w:val="22"/>
          <w:szCs w:val="22"/>
        </w:rPr>
        <w:t>, Vol. 54 (1), pp. 138-162.</w:t>
      </w:r>
    </w:p>
    <w:p w14:paraId="11E7F62B" w14:textId="77777777" w:rsidR="00464562" w:rsidRPr="00DE44CE" w:rsidRDefault="00464562" w:rsidP="00D07A4E">
      <w:pPr>
        <w:pStyle w:val="61"/>
        <w:shd w:val="clear" w:color="auto" w:fill="auto"/>
        <w:spacing w:before="120" w:line="240" w:lineRule="auto"/>
        <w:jc w:val="both"/>
        <w:rPr>
          <w:color w:val="000000"/>
          <w:sz w:val="22"/>
          <w:szCs w:val="22"/>
        </w:rPr>
      </w:pPr>
      <w:r w:rsidRPr="00DE44CE">
        <w:rPr>
          <w:color w:val="000000"/>
          <w:sz w:val="22"/>
          <w:szCs w:val="22"/>
        </w:rPr>
        <w:t xml:space="preserve">Bridges, </w:t>
      </w:r>
      <w:r w:rsidR="007805E1" w:rsidRPr="00DE44CE">
        <w:rPr>
          <w:color w:val="000000"/>
          <w:sz w:val="22"/>
          <w:szCs w:val="22"/>
        </w:rPr>
        <w:t xml:space="preserve">William P. </w:t>
      </w:r>
      <w:r w:rsidRPr="00DE44CE">
        <w:rPr>
          <w:color w:val="000000"/>
          <w:sz w:val="22"/>
          <w:szCs w:val="22"/>
        </w:rPr>
        <w:t>2003</w:t>
      </w:r>
      <w:r w:rsidR="007805E1" w:rsidRPr="00DE44CE">
        <w:rPr>
          <w:color w:val="000000"/>
          <w:sz w:val="22"/>
          <w:szCs w:val="22"/>
        </w:rPr>
        <w:t xml:space="preserve">. Rethinking </w:t>
      </w:r>
      <w:r w:rsidR="0089668F" w:rsidRPr="00DE44CE">
        <w:rPr>
          <w:color w:val="000000"/>
          <w:sz w:val="22"/>
          <w:szCs w:val="22"/>
        </w:rPr>
        <w:t>gender segregation and gender inequality</w:t>
      </w:r>
      <w:r w:rsidR="007805E1" w:rsidRPr="00DE44CE">
        <w:rPr>
          <w:color w:val="000000"/>
          <w:sz w:val="22"/>
          <w:szCs w:val="22"/>
        </w:rPr>
        <w:t xml:space="preserve">: Measures and </w:t>
      </w:r>
      <w:r w:rsidR="0089668F" w:rsidRPr="00DE44CE">
        <w:rPr>
          <w:color w:val="000000"/>
          <w:sz w:val="22"/>
          <w:szCs w:val="22"/>
        </w:rPr>
        <w:t>meanings</w:t>
      </w:r>
      <w:r w:rsidR="007805E1" w:rsidRPr="00DE44CE">
        <w:rPr>
          <w:color w:val="000000"/>
          <w:sz w:val="22"/>
          <w:szCs w:val="22"/>
        </w:rPr>
        <w:t xml:space="preserve">. </w:t>
      </w:r>
      <w:r w:rsidR="007805E1" w:rsidRPr="00DE44CE">
        <w:rPr>
          <w:i/>
          <w:color w:val="000000"/>
          <w:sz w:val="22"/>
          <w:szCs w:val="22"/>
        </w:rPr>
        <w:t>Demography</w:t>
      </w:r>
      <w:r w:rsidR="007805E1" w:rsidRPr="00DE44CE">
        <w:rPr>
          <w:color w:val="000000"/>
          <w:sz w:val="22"/>
          <w:szCs w:val="22"/>
        </w:rPr>
        <w:t>, Vol. 40(3), pp. 543–568.</w:t>
      </w:r>
    </w:p>
    <w:p w14:paraId="0ADB9C6D" w14:textId="77777777" w:rsidR="007805E1" w:rsidRPr="00DE44CE" w:rsidRDefault="007805E1" w:rsidP="00D07A4E">
      <w:pPr>
        <w:pStyle w:val="61"/>
        <w:shd w:val="clear" w:color="auto" w:fill="auto"/>
        <w:spacing w:before="120" w:line="240" w:lineRule="auto"/>
        <w:jc w:val="both"/>
        <w:rPr>
          <w:color w:val="000000"/>
          <w:sz w:val="22"/>
          <w:szCs w:val="22"/>
        </w:rPr>
      </w:pPr>
      <w:r w:rsidRPr="00DE44CE">
        <w:rPr>
          <w:sz w:val="22"/>
          <w:szCs w:val="22"/>
        </w:rPr>
        <w:t xml:space="preserve">Bruce, Christopher J. 1978. The </w:t>
      </w:r>
      <w:r w:rsidR="0089668F" w:rsidRPr="00DE44CE">
        <w:rPr>
          <w:sz w:val="22"/>
          <w:szCs w:val="22"/>
        </w:rPr>
        <w:t>effect of young children on female labor force participation rates</w:t>
      </w:r>
      <w:r w:rsidRPr="00DE44CE">
        <w:rPr>
          <w:sz w:val="22"/>
          <w:szCs w:val="22"/>
        </w:rPr>
        <w:t xml:space="preserve">: An Exploratory </w:t>
      </w:r>
      <w:r w:rsidR="0089668F" w:rsidRPr="00DE44CE">
        <w:rPr>
          <w:sz w:val="22"/>
          <w:szCs w:val="22"/>
        </w:rPr>
        <w:t>stud</w:t>
      </w:r>
      <w:r w:rsidRPr="00DE44CE">
        <w:rPr>
          <w:sz w:val="22"/>
          <w:szCs w:val="22"/>
        </w:rPr>
        <w:t xml:space="preserve">y. </w:t>
      </w:r>
      <w:r w:rsidRPr="00DE44CE">
        <w:rPr>
          <w:i/>
          <w:sz w:val="22"/>
          <w:szCs w:val="22"/>
        </w:rPr>
        <w:t>The Canadian Journal of Sociology</w:t>
      </w:r>
      <w:r w:rsidRPr="00DE44CE">
        <w:rPr>
          <w:sz w:val="22"/>
          <w:szCs w:val="22"/>
        </w:rPr>
        <w:t>, Vol. 3 (4), 431-439.</w:t>
      </w:r>
    </w:p>
    <w:p w14:paraId="260CBC0B" w14:textId="77777777" w:rsidR="00097D3F" w:rsidRDefault="00097D3F" w:rsidP="00D07A4E">
      <w:pPr>
        <w:pStyle w:val="61"/>
        <w:shd w:val="clear" w:color="auto" w:fill="auto"/>
        <w:spacing w:before="120" w:line="240" w:lineRule="auto"/>
        <w:jc w:val="both"/>
        <w:rPr>
          <w:sz w:val="22"/>
          <w:szCs w:val="22"/>
        </w:rPr>
      </w:pPr>
      <w:proofErr w:type="spellStart"/>
      <w:r w:rsidRPr="00DE44CE">
        <w:rPr>
          <w:sz w:val="22"/>
          <w:szCs w:val="22"/>
        </w:rPr>
        <w:t>Burchell</w:t>
      </w:r>
      <w:proofErr w:type="spellEnd"/>
      <w:r w:rsidRPr="00DE44CE">
        <w:rPr>
          <w:sz w:val="22"/>
          <w:szCs w:val="22"/>
        </w:rPr>
        <w:t xml:space="preserve">, Brendan, Vincent Hardy, Jill </w:t>
      </w:r>
      <w:proofErr w:type="spellStart"/>
      <w:r w:rsidRPr="00DE44CE">
        <w:rPr>
          <w:sz w:val="22"/>
          <w:szCs w:val="22"/>
        </w:rPr>
        <w:t>Rubery</w:t>
      </w:r>
      <w:proofErr w:type="spellEnd"/>
      <w:r w:rsidRPr="00DE44CE">
        <w:rPr>
          <w:sz w:val="22"/>
          <w:szCs w:val="22"/>
        </w:rPr>
        <w:t xml:space="preserve"> and Mark Smith. 2014. </w:t>
      </w:r>
      <w:r w:rsidRPr="00DE44CE">
        <w:rPr>
          <w:i/>
          <w:sz w:val="22"/>
          <w:szCs w:val="22"/>
        </w:rPr>
        <w:t xml:space="preserve">A New Method to Understand Occupational Gender Segregation in European </w:t>
      </w:r>
      <w:proofErr w:type="spellStart"/>
      <w:r w:rsidRPr="00DE44CE">
        <w:rPr>
          <w:i/>
          <w:sz w:val="22"/>
          <w:szCs w:val="22"/>
        </w:rPr>
        <w:t>Labour</w:t>
      </w:r>
      <w:proofErr w:type="spellEnd"/>
      <w:r w:rsidRPr="00DE44CE">
        <w:rPr>
          <w:i/>
          <w:sz w:val="22"/>
          <w:szCs w:val="22"/>
        </w:rPr>
        <w:t xml:space="preserve"> Markets</w:t>
      </w:r>
      <w:r w:rsidRPr="00DE44CE">
        <w:rPr>
          <w:sz w:val="22"/>
          <w:szCs w:val="22"/>
        </w:rPr>
        <w:t>. Luxembourg</w:t>
      </w:r>
      <w:r w:rsidR="003E1E1E" w:rsidRPr="00DE44CE">
        <w:rPr>
          <w:sz w:val="22"/>
          <w:szCs w:val="22"/>
        </w:rPr>
        <w:t>:</w:t>
      </w:r>
      <w:r w:rsidRPr="00DE44CE">
        <w:rPr>
          <w:sz w:val="22"/>
          <w:szCs w:val="22"/>
        </w:rPr>
        <w:t xml:space="preserve"> Publication Office of the European Union.</w:t>
      </w:r>
    </w:p>
    <w:p w14:paraId="049E2D63" w14:textId="245D81D1" w:rsidR="00022A40" w:rsidRPr="00DE44CE" w:rsidRDefault="00022A40" w:rsidP="00D07A4E">
      <w:pPr>
        <w:pStyle w:val="61"/>
        <w:shd w:val="clear" w:color="auto" w:fill="auto"/>
        <w:spacing w:before="120" w:line="240" w:lineRule="auto"/>
        <w:jc w:val="both"/>
        <w:rPr>
          <w:sz w:val="22"/>
          <w:szCs w:val="22"/>
        </w:rPr>
      </w:pPr>
      <w:proofErr w:type="spellStart"/>
      <w:r w:rsidRPr="00022A40">
        <w:rPr>
          <w:sz w:val="22"/>
          <w:szCs w:val="22"/>
        </w:rPr>
        <w:t>Bussolo</w:t>
      </w:r>
      <w:proofErr w:type="spellEnd"/>
      <w:r w:rsidRPr="00022A40">
        <w:rPr>
          <w:sz w:val="22"/>
          <w:szCs w:val="22"/>
        </w:rPr>
        <w:t>, Maurizio</w:t>
      </w:r>
      <w:r>
        <w:rPr>
          <w:sz w:val="22"/>
          <w:szCs w:val="22"/>
        </w:rPr>
        <w:t xml:space="preserve">, </w:t>
      </w:r>
      <w:r w:rsidRPr="00022A40">
        <w:rPr>
          <w:sz w:val="22"/>
          <w:szCs w:val="22"/>
        </w:rPr>
        <w:t xml:space="preserve">Johannes </w:t>
      </w:r>
      <w:proofErr w:type="spellStart"/>
      <w:r w:rsidRPr="00022A40">
        <w:rPr>
          <w:sz w:val="22"/>
          <w:szCs w:val="22"/>
        </w:rPr>
        <w:t>Koettl</w:t>
      </w:r>
      <w:proofErr w:type="spellEnd"/>
      <w:r w:rsidRPr="00022A40">
        <w:rPr>
          <w:sz w:val="22"/>
          <w:szCs w:val="22"/>
        </w:rPr>
        <w:t>,</w:t>
      </w:r>
      <w:r>
        <w:rPr>
          <w:sz w:val="22"/>
          <w:szCs w:val="22"/>
        </w:rPr>
        <w:t xml:space="preserve"> and </w:t>
      </w:r>
      <w:r w:rsidRPr="00022A40">
        <w:rPr>
          <w:sz w:val="22"/>
          <w:szCs w:val="22"/>
        </w:rPr>
        <w:t xml:space="preserve">Emily </w:t>
      </w:r>
      <w:proofErr w:type="spellStart"/>
      <w:r w:rsidRPr="00022A40">
        <w:rPr>
          <w:sz w:val="22"/>
          <w:szCs w:val="22"/>
        </w:rPr>
        <w:t>Sinnott</w:t>
      </w:r>
      <w:proofErr w:type="spellEnd"/>
      <w:r w:rsidRPr="00022A40">
        <w:rPr>
          <w:sz w:val="22"/>
          <w:szCs w:val="22"/>
        </w:rPr>
        <w:t xml:space="preserve">. 2015. </w:t>
      </w:r>
      <w:r w:rsidRPr="00022A40">
        <w:rPr>
          <w:i/>
          <w:sz w:val="22"/>
          <w:szCs w:val="22"/>
        </w:rPr>
        <w:t>Golden Aging: Prospects for Healthy, Active, and Prosperous Aging in Europe and Central Asia</w:t>
      </w:r>
      <w:r w:rsidRPr="00022A40">
        <w:rPr>
          <w:sz w:val="22"/>
          <w:szCs w:val="22"/>
        </w:rPr>
        <w:t xml:space="preserve">. </w:t>
      </w:r>
      <w:r w:rsidRPr="0066124A">
        <w:rPr>
          <w:sz w:val="22"/>
          <w:szCs w:val="22"/>
        </w:rPr>
        <w:t>Washington D.C.: World Bank</w:t>
      </w:r>
      <w:r w:rsidRPr="00022A40">
        <w:rPr>
          <w:sz w:val="22"/>
          <w:szCs w:val="22"/>
        </w:rPr>
        <w:t>.</w:t>
      </w:r>
    </w:p>
    <w:p w14:paraId="5196BF8C" w14:textId="77777777" w:rsidR="00973A2E" w:rsidRPr="00DE44CE" w:rsidRDefault="00973A2E" w:rsidP="00973A2E">
      <w:pPr>
        <w:pStyle w:val="61"/>
        <w:shd w:val="clear" w:color="auto" w:fill="auto"/>
        <w:spacing w:before="120" w:line="240" w:lineRule="auto"/>
        <w:jc w:val="both"/>
        <w:rPr>
          <w:sz w:val="22"/>
          <w:szCs w:val="22"/>
        </w:rPr>
      </w:pPr>
      <w:proofErr w:type="spellStart"/>
      <w:r w:rsidRPr="00AD37B1">
        <w:rPr>
          <w:sz w:val="22"/>
          <w:szCs w:val="22"/>
        </w:rPr>
        <w:t>Centrul</w:t>
      </w:r>
      <w:proofErr w:type="spellEnd"/>
      <w:r w:rsidRPr="00AD37B1">
        <w:rPr>
          <w:sz w:val="22"/>
          <w:szCs w:val="22"/>
        </w:rPr>
        <w:t xml:space="preserve"> </w:t>
      </w:r>
      <w:proofErr w:type="spellStart"/>
      <w:r w:rsidRPr="00AD37B1">
        <w:rPr>
          <w:sz w:val="22"/>
          <w:szCs w:val="22"/>
        </w:rPr>
        <w:t>Parteneriat</w:t>
      </w:r>
      <w:proofErr w:type="spellEnd"/>
      <w:r w:rsidRPr="00AD37B1">
        <w:rPr>
          <w:sz w:val="22"/>
          <w:szCs w:val="22"/>
        </w:rPr>
        <w:t xml:space="preserve"> </w:t>
      </w:r>
      <w:proofErr w:type="spellStart"/>
      <w:r w:rsidRPr="00AD37B1">
        <w:rPr>
          <w:sz w:val="22"/>
          <w:szCs w:val="22"/>
        </w:rPr>
        <w:t>pentru</w:t>
      </w:r>
      <w:proofErr w:type="spellEnd"/>
      <w:r w:rsidRPr="00AD37B1">
        <w:rPr>
          <w:sz w:val="22"/>
          <w:szCs w:val="22"/>
        </w:rPr>
        <w:t xml:space="preserve"> </w:t>
      </w:r>
      <w:proofErr w:type="spellStart"/>
      <w:r w:rsidRPr="00AD37B1">
        <w:rPr>
          <w:sz w:val="22"/>
          <w:szCs w:val="22"/>
        </w:rPr>
        <w:t>Dezvoltare</w:t>
      </w:r>
      <w:proofErr w:type="spellEnd"/>
      <w:r w:rsidRPr="00AD37B1">
        <w:rPr>
          <w:sz w:val="22"/>
          <w:szCs w:val="22"/>
        </w:rPr>
        <w:t xml:space="preserve"> (CPD). 2018. </w:t>
      </w:r>
      <w:r w:rsidRPr="000843A2">
        <w:rPr>
          <w:i/>
          <w:sz w:val="22"/>
          <w:szCs w:val="22"/>
          <w:lang w:val="es-CL"/>
        </w:rPr>
        <w:t>Reforma Concediului de Îngrijire a Copilului. Propunerile Centrului Parteneriat pentru Dezvoltare</w:t>
      </w:r>
      <w:r w:rsidRPr="000843A2">
        <w:rPr>
          <w:sz w:val="22"/>
          <w:szCs w:val="22"/>
          <w:lang w:val="es-CL"/>
        </w:rPr>
        <w:t xml:space="preserve">, the document presented at the press-conference "Flexibilitate maxima la concediul de ingrijire a copilului. </w:t>
      </w:r>
      <w:proofErr w:type="spellStart"/>
      <w:r w:rsidRPr="00AD37B1">
        <w:rPr>
          <w:sz w:val="22"/>
          <w:szCs w:val="22"/>
        </w:rPr>
        <w:t>Beneficii</w:t>
      </w:r>
      <w:proofErr w:type="spellEnd"/>
      <w:r w:rsidRPr="00AD37B1">
        <w:rPr>
          <w:sz w:val="22"/>
          <w:szCs w:val="22"/>
        </w:rPr>
        <w:t xml:space="preserve"> </w:t>
      </w:r>
      <w:proofErr w:type="spellStart"/>
      <w:r w:rsidRPr="00AD37B1">
        <w:rPr>
          <w:sz w:val="22"/>
          <w:szCs w:val="22"/>
        </w:rPr>
        <w:t>pentru</w:t>
      </w:r>
      <w:proofErr w:type="spellEnd"/>
      <w:r w:rsidRPr="00AD37B1">
        <w:rPr>
          <w:sz w:val="22"/>
          <w:szCs w:val="22"/>
        </w:rPr>
        <w:t xml:space="preserve"> </w:t>
      </w:r>
      <w:proofErr w:type="spellStart"/>
      <w:r w:rsidRPr="00AD37B1">
        <w:rPr>
          <w:sz w:val="22"/>
          <w:szCs w:val="22"/>
        </w:rPr>
        <w:t>copil</w:t>
      </w:r>
      <w:proofErr w:type="spellEnd"/>
      <w:r w:rsidRPr="00AD37B1">
        <w:rPr>
          <w:sz w:val="22"/>
          <w:szCs w:val="22"/>
        </w:rPr>
        <w:t xml:space="preserve">, </w:t>
      </w:r>
      <w:proofErr w:type="spellStart"/>
      <w:r w:rsidRPr="00AD37B1">
        <w:rPr>
          <w:sz w:val="22"/>
          <w:szCs w:val="22"/>
        </w:rPr>
        <w:t>parinti</w:t>
      </w:r>
      <w:proofErr w:type="spellEnd"/>
      <w:r w:rsidRPr="00AD37B1">
        <w:rPr>
          <w:sz w:val="22"/>
          <w:szCs w:val="22"/>
        </w:rPr>
        <w:t xml:space="preserve"> </w:t>
      </w:r>
      <w:proofErr w:type="spellStart"/>
      <w:r w:rsidRPr="00AD37B1">
        <w:rPr>
          <w:sz w:val="22"/>
          <w:szCs w:val="22"/>
        </w:rPr>
        <w:t>si</w:t>
      </w:r>
      <w:proofErr w:type="spellEnd"/>
      <w:r w:rsidRPr="00AD37B1">
        <w:rPr>
          <w:sz w:val="22"/>
          <w:szCs w:val="22"/>
        </w:rPr>
        <w:t xml:space="preserve"> stat" in October 2018</w:t>
      </w:r>
      <w:r w:rsidRPr="00DE44CE">
        <w:rPr>
          <w:sz w:val="22"/>
          <w:szCs w:val="22"/>
        </w:rPr>
        <w:t>.</w:t>
      </w:r>
    </w:p>
    <w:p w14:paraId="1F3F37A0" w14:textId="77777777" w:rsidR="008D77D5" w:rsidRPr="00DE44CE" w:rsidRDefault="008D77D5" w:rsidP="00D07A4E">
      <w:pPr>
        <w:pStyle w:val="61"/>
        <w:shd w:val="clear" w:color="auto" w:fill="auto"/>
        <w:spacing w:before="120" w:line="240" w:lineRule="auto"/>
        <w:jc w:val="both"/>
        <w:rPr>
          <w:sz w:val="22"/>
          <w:szCs w:val="22"/>
        </w:rPr>
      </w:pPr>
      <w:r w:rsidRPr="00DE44CE">
        <w:rPr>
          <w:sz w:val="22"/>
          <w:szCs w:val="22"/>
        </w:rPr>
        <w:t xml:space="preserve">Das, </w:t>
      </w:r>
      <w:proofErr w:type="spellStart"/>
      <w:r w:rsidRPr="00DE44CE">
        <w:rPr>
          <w:sz w:val="22"/>
          <w:szCs w:val="22"/>
        </w:rPr>
        <w:t>Smita</w:t>
      </w:r>
      <w:proofErr w:type="spellEnd"/>
      <w:r w:rsidRPr="00DE44CE">
        <w:rPr>
          <w:sz w:val="22"/>
          <w:szCs w:val="22"/>
        </w:rPr>
        <w:t xml:space="preserve">, Eliana Carranza, and </w:t>
      </w:r>
      <w:proofErr w:type="spellStart"/>
      <w:r w:rsidRPr="00DE44CE">
        <w:rPr>
          <w:sz w:val="22"/>
          <w:szCs w:val="22"/>
        </w:rPr>
        <w:t>Aphichoke</w:t>
      </w:r>
      <w:proofErr w:type="spellEnd"/>
      <w:r w:rsidRPr="00DE44CE">
        <w:rPr>
          <w:sz w:val="22"/>
          <w:szCs w:val="22"/>
        </w:rPr>
        <w:t xml:space="preserve"> </w:t>
      </w:r>
      <w:proofErr w:type="spellStart"/>
      <w:r w:rsidRPr="00DE44CE">
        <w:rPr>
          <w:sz w:val="22"/>
          <w:szCs w:val="22"/>
        </w:rPr>
        <w:t>Kotikula</w:t>
      </w:r>
      <w:proofErr w:type="spellEnd"/>
      <w:r w:rsidRPr="00DE44CE">
        <w:rPr>
          <w:sz w:val="22"/>
          <w:szCs w:val="22"/>
        </w:rPr>
        <w:t xml:space="preserve">. 2018. </w:t>
      </w:r>
      <w:r w:rsidRPr="00DE44CE">
        <w:rPr>
          <w:i/>
          <w:sz w:val="22"/>
          <w:szCs w:val="22"/>
        </w:rPr>
        <w:t>Addressing gender-based employment segregation</w:t>
      </w:r>
      <w:r w:rsidRPr="00DE44CE">
        <w:rPr>
          <w:sz w:val="22"/>
          <w:szCs w:val="22"/>
        </w:rPr>
        <w:t>. Washington D.C.: World Bank.</w:t>
      </w:r>
    </w:p>
    <w:p w14:paraId="5745BFD4" w14:textId="77777777" w:rsidR="00464562" w:rsidRPr="00DE44CE" w:rsidRDefault="009C27D0" w:rsidP="00D07A4E">
      <w:pPr>
        <w:pStyle w:val="61"/>
        <w:shd w:val="clear" w:color="auto" w:fill="auto"/>
        <w:spacing w:before="120" w:line="240" w:lineRule="auto"/>
        <w:jc w:val="both"/>
        <w:rPr>
          <w:sz w:val="22"/>
          <w:szCs w:val="22"/>
        </w:rPr>
      </w:pPr>
      <w:r w:rsidRPr="00DE44CE">
        <w:rPr>
          <w:sz w:val="22"/>
          <w:szCs w:val="22"/>
        </w:rPr>
        <w:t xml:space="preserve">Duncan, Otis D. and Beverly Duncan. 1955. A </w:t>
      </w:r>
      <w:r w:rsidR="0089668F" w:rsidRPr="00DE44CE">
        <w:rPr>
          <w:sz w:val="22"/>
          <w:szCs w:val="22"/>
        </w:rPr>
        <w:t>methodological analysis of segregation indices</w:t>
      </w:r>
      <w:r w:rsidRPr="00DE44CE">
        <w:rPr>
          <w:sz w:val="22"/>
          <w:szCs w:val="22"/>
        </w:rPr>
        <w:t xml:space="preserve">. </w:t>
      </w:r>
      <w:r w:rsidRPr="00DE44CE">
        <w:rPr>
          <w:i/>
          <w:sz w:val="22"/>
          <w:szCs w:val="22"/>
        </w:rPr>
        <w:t>American Sociological Review</w:t>
      </w:r>
      <w:r w:rsidRPr="00DE44CE">
        <w:rPr>
          <w:sz w:val="22"/>
          <w:szCs w:val="22"/>
        </w:rPr>
        <w:t>, Vol. 20(2), pp. 210-217.</w:t>
      </w:r>
    </w:p>
    <w:p w14:paraId="29DD0587" w14:textId="77777777" w:rsidR="00C2672A" w:rsidRPr="00DE44CE" w:rsidRDefault="00C2672A" w:rsidP="00D07A4E">
      <w:pPr>
        <w:pStyle w:val="61"/>
        <w:shd w:val="clear" w:color="auto" w:fill="auto"/>
        <w:spacing w:before="120" w:line="240" w:lineRule="auto"/>
        <w:jc w:val="both"/>
        <w:rPr>
          <w:sz w:val="22"/>
          <w:szCs w:val="22"/>
        </w:rPr>
      </w:pPr>
      <w:proofErr w:type="spellStart"/>
      <w:r w:rsidRPr="00DE44CE">
        <w:rPr>
          <w:sz w:val="22"/>
          <w:szCs w:val="22"/>
        </w:rPr>
        <w:t>Elizarov</w:t>
      </w:r>
      <w:proofErr w:type="spellEnd"/>
      <w:r w:rsidRPr="00DE44CE">
        <w:rPr>
          <w:sz w:val="22"/>
          <w:szCs w:val="22"/>
        </w:rPr>
        <w:t xml:space="preserve">, </w:t>
      </w:r>
      <w:proofErr w:type="spellStart"/>
      <w:r w:rsidRPr="00DE44CE">
        <w:rPr>
          <w:sz w:val="22"/>
          <w:szCs w:val="22"/>
        </w:rPr>
        <w:t>Valeriy</w:t>
      </w:r>
      <w:proofErr w:type="spellEnd"/>
      <w:r w:rsidRPr="00DE44CE">
        <w:rPr>
          <w:sz w:val="22"/>
          <w:szCs w:val="22"/>
        </w:rPr>
        <w:t xml:space="preserve"> and Victoria Levin. 2015. </w:t>
      </w:r>
      <w:r w:rsidRPr="00DE44CE">
        <w:rPr>
          <w:i/>
          <w:sz w:val="22"/>
          <w:szCs w:val="22"/>
        </w:rPr>
        <w:t xml:space="preserve">Family Policies in </w:t>
      </w:r>
      <w:proofErr w:type="gramStart"/>
      <w:r w:rsidRPr="00DE44CE">
        <w:rPr>
          <w:i/>
          <w:sz w:val="22"/>
          <w:szCs w:val="22"/>
        </w:rPr>
        <w:t>Russia :</w:t>
      </w:r>
      <w:proofErr w:type="gramEnd"/>
      <w:r w:rsidRPr="00DE44CE">
        <w:rPr>
          <w:i/>
          <w:sz w:val="22"/>
          <w:szCs w:val="22"/>
        </w:rPr>
        <w:t xml:space="preserve"> Could Efforts to Raise Fertility Rates Slow Population Aging</w:t>
      </w:r>
      <w:r w:rsidRPr="00DE44CE">
        <w:rPr>
          <w:sz w:val="22"/>
          <w:szCs w:val="22"/>
        </w:rPr>
        <w:t>?, Russian Federation aging project. Washington D.C.: World Bank.</w:t>
      </w:r>
    </w:p>
    <w:p w14:paraId="1F29D9E5" w14:textId="77777777" w:rsidR="00810D3F" w:rsidRPr="00DE44CE" w:rsidRDefault="00810D3F" w:rsidP="00D07A4E">
      <w:pPr>
        <w:pStyle w:val="61"/>
        <w:shd w:val="clear" w:color="auto" w:fill="auto"/>
        <w:spacing w:before="120" w:line="240" w:lineRule="auto"/>
        <w:jc w:val="both"/>
        <w:rPr>
          <w:sz w:val="22"/>
          <w:szCs w:val="22"/>
        </w:rPr>
      </w:pPr>
      <w:r w:rsidRPr="00DE44CE">
        <w:rPr>
          <w:sz w:val="22"/>
          <w:szCs w:val="22"/>
        </w:rPr>
        <w:t>E</w:t>
      </w:r>
      <w:r w:rsidR="00B647DF" w:rsidRPr="00DE44CE">
        <w:rPr>
          <w:sz w:val="22"/>
          <w:szCs w:val="22"/>
        </w:rPr>
        <w:t>uropean Commission (E</w:t>
      </w:r>
      <w:r w:rsidRPr="00DE44CE">
        <w:rPr>
          <w:sz w:val="22"/>
          <w:szCs w:val="22"/>
        </w:rPr>
        <w:t>C</w:t>
      </w:r>
      <w:r w:rsidR="00B647DF" w:rsidRPr="00DE44CE">
        <w:rPr>
          <w:sz w:val="22"/>
          <w:szCs w:val="22"/>
        </w:rPr>
        <w:t>).</w:t>
      </w:r>
      <w:r w:rsidRPr="00DE44CE">
        <w:rPr>
          <w:sz w:val="22"/>
          <w:szCs w:val="22"/>
        </w:rPr>
        <w:t xml:space="preserve"> 2018</w:t>
      </w:r>
      <w:r w:rsidR="00B647DF" w:rsidRPr="00DE44CE">
        <w:rPr>
          <w:sz w:val="22"/>
          <w:szCs w:val="22"/>
        </w:rPr>
        <w:t xml:space="preserve">. </w:t>
      </w:r>
      <w:r w:rsidR="00B647DF" w:rsidRPr="00DE44CE">
        <w:rPr>
          <w:i/>
          <w:sz w:val="22"/>
          <w:szCs w:val="22"/>
        </w:rPr>
        <w:t>2018 Report on Equality between Women and Men in the EU</w:t>
      </w:r>
      <w:r w:rsidR="00B647DF" w:rsidRPr="00DE44CE">
        <w:rPr>
          <w:sz w:val="22"/>
          <w:szCs w:val="22"/>
        </w:rPr>
        <w:t>. Luxembourg: Publications Office of the European Union.</w:t>
      </w:r>
    </w:p>
    <w:p w14:paraId="2398F578" w14:textId="77777777" w:rsidR="00464562" w:rsidRPr="00DE44CE" w:rsidRDefault="003E1E1E" w:rsidP="00D07A4E">
      <w:pPr>
        <w:pStyle w:val="61"/>
        <w:shd w:val="clear" w:color="auto" w:fill="auto"/>
        <w:spacing w:before="120" w:line="240" w:lineRule="auto"/>
        <w:jc w:val="both"/>
        <w:rPr>
          <w:sz w:val="22"/>
          <w:szCs w:val="22"/>
        </w:rPr>
      </w:pPr>
      <w:r w:rsidRPr="00DE44CE">
        <w:rPr>
          <w:sz w:val="22"/>
          <w:szCs w:val="22"/>
        </w:rPr>
        <w:t xml:space="preserve">European Commission’s Expert Group on Gender and Employment (EGGE). 2009. </w:t>
      </w:r>
      <w:r w:rsidRPr="00DE44CE">
        <w:rPr>
          <w:i/>
          <w:sz w:val="22"/>
          <w:szCs w:val="22"/>
        </w:rPr>
        <w:t xml:space="preserve">Gender Segregation in the </w:t>
      </w:r>
      <w:proofErr w:type="spellStart"/>
      <w:r w:rsidRPr="00DE44CE">
        <w:rPr>
          <w:i/>
          <w:sz w:val="22"/>
          <w:szCs w:val="22"/>
        </w:rPr>
        <w:t>Labour</w:t>
      </w:r>
      <w:proofErr w:type="spellEnd"/>
      <w:r w:rsidRPr="00DE44CE">
        <w:rPr>
          <w:i/>
          <w:sz w:val="22"/>
          <w:szCs w:val="22"/>
        </w:rPr>
        <w:t xml:space="preserve"> Market: Root Causes, Implications and Policy Responses in the EU</w:t>
      </w:r>
      <w:r w:rsidRPr="00DE44CE">
        <w:rPr>
          <w:sz w:val="22"/>
          <w:szCs w:val="22"/>
        </w:rPr>
        <w:t>. Luxembourg: Publications Office of the European Union.</w:t>
      </w:r>
    </w:p>
    <w:p w14:paraId="3E0DB6D0" w14:textId="77777777" w:rsidR="00121161" w:rsidRPr="00DE44CE" w:rsidRDefault="007E5011" w:rsidP="00D07A4E">
      <w:pPr>
        <w:pStyle w:val="61"/>
        <w:shd w:val="clear" w:color="auto" w:fill="auto"/>
        <w:spacing w:before="120" w:line="240" w:lineRule="auto"/>
        <w:jc w:val="both"/>
        <w:rPr>
          <w:sz w:val="22"/>
          <w:szCs w:val="22"/>
        </w:rPr>
      </w:pPr>
      <w:r w:rsidRPr="00DE44CE">
        <w:rPr>
          <w:sz w:val="22"/>
          <w:szCs w:val="22"/>
        </w:rPr>
        <w:t>European Institute for Gender Equality (</w:t>
      </w:r>
      <w:r w:rsidR="00121161" w:rsidRPr="00DE44CE">
        <w:rPr>
          <w:sz w:val="22"/>
          <w:szCs w:val="22"/>
        </w:rPr>
        <w:t>EIGE</w:t>
      </w:r>
      <w:r w:rsidRPr="00DE44CE">
        <w:rPr>
          <w:sz w:val="22"/>
          <w:szCs w:val="22"/>
        </w:rPr>
        <w:t xml:space="preserve">). </w:t>
      </w:r>
      <w:r w:rsidR="00121161" w:rsidRPr="00DE44CE">
        <w:rPr>
          <w:sz w:val="22"/>
          <w:szCs w:val="22"/>
        </w:rPr>
        <w:t>2017</w:t>
      </w:r>
      <w:r w:rsidRPr="00DE44CE">
        <w:rPr>
          <w:sz w:val="22"/>
          <w:szCs w:val="22"/>
        </w:rPr>
        <w:t xml:space="preserve">. </w:t>
      </w:r>
      <w:r w:rsidRPr="00DE44CE">
        <w:rPr>
          <w:i/>
          <w:sz w:val="22"/>
          <w:szCs w:val="22"/>
        </w:rPr>
        <w:t xml:space="preserve">Gender Equality Index 2017 </w:t>
      </w:r>
      <w:r w:rsidR="00863F44" w:rsidRPr="00DE44CE">
        <w:rPr>
          <w:i/>
          <w:sz w:val="22"/>
          <w:szCs w:val="22"/>
        </w:rPr>
        <w:t>–</w:t>
      </w:r>
      <w:r w:rsidRPr="00DE44CE">
        <w:rPr>
          <w:i/>
          <w:sz w:val="22"/>
          <w:szCs w:val="22"/>
        </w:rPr>
        <w:t xml:space="preserve"> Measuring gender equality in the European Union 2005-2015</w:t>
      </w:r>
      <w:r w:rsidRPr="00DE44CE">
        <w:rPr>
          <w:sz w:val="22"/>
          <w:szCs w:val="22"/>
        </w:rPr>
        <w:t>. Vilnius: European Institute for Gender Equality.</w:t>
      </w:r>
    </w:p>
    <w:p w14:paraId="2F2B2893" w14:textId="77777777" w:rsidR="00E82C12" w:rsidRPr="00DE44CE" w:rsidRDefault="00E82C12" w:rsidP="00D07A4E">
      <w:pPr>
        <w:pStyle w:val="61"/>
        <w:shd w:val="clear" w:color="auto" w:fill="auto"/>
        <w:spacing w:before="120" w:line="240" w:lineRule="auto"/>
        <w:jc w:val="both"/>
        <w:rPr>
          <w:sz w:val="22"/>
          <w:szCs w:val="22"/>
        </w:rPr>
      </w:pPr>
      <w:proofErr w:type="spellStart"/>
      <w:r w:rsidRPr="00DE44CE">
        <w:rPr>
          <w:sz w:val="22"/>
          <w:szCs w:val="22"/>
        </w:rPr>
        <w:t>Ferrant</w:t>
      </w:r>
      <w:proofErr w:type="spellEnd"/>
      <w:r w:rsidRPr="00DE44CE">
        <w:rPr>
          <w:sz w:val="22"/>
          <w:szCs w:val="22"/>
        </w:rPr>
        <w:t xml:space="preserve">, </w:t>
      </w:r>
      <w:proofErr w:type="spellStart"/>
      <w:r w:rsidRPr="00DE44CE">
        <w:rPr>
          <w:sz w:val="22"/>
          <w:szCs w:val="22"/>
        </w:rPr>
        <w:t>Gaëlle</w:t>
      </w:r>
      <w:proofErr w:type="spellEnd"/>
      <w:r w:rsidRPr="00DE44CE">
        <w:rPr>
          <w:sz w:val="22"/>
          <w:szCs w:val="22"/>
        </w:rPr>
        <w:t xml:space="preserve">, Luca Maria </w:t>
      </w:r>
      <w:proofErr w:type="spellStart"/>
      <w:r w:rsidRPr="00DE44CE">
        <w:rPr>
          <w:sz w:val="22"/>
          <w:szCs w:val="22"/>
        </w:rPr>
        <w:t>Pesando</w:t>
      </w:r>
      <w:proofErr w:type="spellEnd"/>
      <w:r w:rsidRPr="00DE44CE">
        <w:rPr>
          <w:sz w:val="22"/>
          <w:szCs w:val="22"/>
        </w:rPr>
        <w:t xml:space="preserve"> and Keiko </w:t>
      </w:r>
      <w:proofErr w:type="spellStart"/>
      <w:r w:rsidRPr="00DE44CE">
        <w:rPr>
          <w:sz w:val="22"/>
          <w:szCs w:val="22"/>
        </w:rPr>
        <w:t>Nowacka</w:t>
      </w:r>
      <w:proofErr w:type="spellEnd"/>
      <w:r w:rsidRPr="00DE44CE">
        <w:rPr>
          <w:sz w:val="22"/>
          <w:szCs w:val="22"/>
        </w:rPr>
        <w:t xml:space="preserve">. 2014. </w:t>
      </w:r>
      <w:r w:rsidRPr="00DE44CE">
        <w:rPr>
          <w:i/>
          <w:sz w:val="22"/>
          <w:szCs w:val="22"/>
        </w:rPr>
        <w:t xml:space="preserve">Unpaid care work: The missing link in the analysis of gender gaps in </w:t>
      </w:r>
      <w:proofErr w:type="spellStart"/>
      <w:r w:rsidRPr="00DE44CE">
        <w:rPr>
          <w:i/>
          <w:sz w:val="22"/>
          <w:szCs w:val="22"/>
        </w:rPr>
        <w:t>labour</w:t>
      </w:r>
      <w:proofErr w:type="spellEnd"/>
      <w:r w:rsidRPr="00DE44CE">
        <w:rPr>
          <w:i/>
          <w:sz w:val="22"/>
          <w:szCs w:val="22"/>
        </w:rPr>
        <w:t xml:space="preserve"> outcomes</w:t>
      </w:r>
      <w:r w:rsidRPr="00DE44CE">
        <w:rPr>
          <w:sz w:val="22"/>
          <w:szCs w:val="22"/>
        </w:rPr>
        <w:t>. Paris: OECD Development Centre.</w:t>
      </w:r>
    </w:p>
    <w:p w14:paraId="25C04F2B" w14:textId="77777777" w:rsidR="004E058C" w:rsidRPr="00DE44CE" w:rsidRDefault="004E058C" w:rsidP="00D07A4E">
      <w:pPr>
        <w:pStyle w:val="61"/>
        <w:shd w:val="clear" w:color="auto" w:fill="auto"/>
        <w:spacing w:before="120" w:line="240" w:lineRule="auto"/>
        <w:jc w:val="both"/>
        <w:rPr>
          <w:sz w:val="22"/>
          <w:szCs w:val="22"/>
        </w:rPr>
      </w:pPr>
      <w:r w:rsidRPr="00DE44CE">
        <w:rPr>
          <w:sz w:val="22"/>
          <w:szCs w:val="22"/>
        </w:rPr>
        <w:t>Fields, G</w:t>
      </w:r>
      <w:r w:rsidR="0089668F" w:rsidRPr="00DE44CE">
        <w:rPr>
          <w:sz w:val="22"/>
          <w:szCs w:val="22"/>
        </w:rPr>
        <w:t>ary S</w:t>
      </w:r>
      <w:r w:rsidRPr="00DE44CE">
        <w:rPr>
          <w:sz w:val="22"/>
          <w:szCs w:val="22"/>
        </w:rPr>
        <w:t xml:space="preserve">. 2003. Accounting for income inequality and its change: A new method, with application to the distribution of earnings in the United States. </w:t>
      </w:r>
      <w:r w:rsidRPr="00DE44CE">
        <w:rPr>
          <w:i/>
          <w:sz w:val="22"/>
          <w:szCs w:val="22"/>
        </w:rPr>
        <w:t>Research in Labor Economics</w:t>
      </w:r>
      <w:r w:rsidRPr="00DE44CE">
        <w:rPr>
          <w:sz w:val="22"/>
          <w:szCs w:val="22"/>
        </w:rPr>
        <w:t>, Vol. 22, pp. 1-38.</w:t>
      </w:r>
    </w:p>
    <w:p w14:paraId="5DA9EE33" w14:textId="77777777" w:rsidR="00F82DA1" w:rsidRPr="00DE44CE" w:rsidRDefault="00F82DA1" w:rsidP="00D07A4E">
      <w:pPr>
        <w:pStyle w:val="61"/>
        <w:shd w:val="clear" w:color="auto" w:fill="auto"/>
        <w:spacing w:before="120" w:line="240" w:lineRule="auto"/>
        <w:jc w:val="both"/>
        <w:rPr>
          <w:sz w:val="22"/>
          <w:szCs w:val="22"/>
        </w:rPr>
      </w:pPr>
      <w:proofErr w:type="spellStart"/>
      <w:r w:rsidRPr="00AD37B1">
        <w:rPr>
          <w:sz w:val="22"/>
          <w:szCs w:val="22"/>
        </w:rPr>
        <w:t>Greulich</w:t>
      </w:r>
      <w:proofErr w:type="spellEnd"/>
      <w:r w:rsidRPr="00AD37B1">
        <w:rPr>
          <w:sz w:val="22"/>
          <w:szCs w:val="22"/>
        </w:rPr>
        <w:t xml:space="preserve">, Angela, </w:t>
      </w:r>
      <w:proofErr w:type="spellStart"/>
      <w:r w:rsidR="00D07A4E" w:rsidRPr="00AD37B1">
        <w:rPr>
          <w:sz w:val="22"/>
          <w:szCs w:val="22"/>
        </w:rPr>
        <w:t>Mathilde</w:t>
      </w:r>
      <w:proofErr w:type="spellEnd"/>
      <w:r w:rsidR="00D07A4E" w:rsidRPr="00AD37B1">
        <w:rPr>
          <w:sz w:val="22"/>
          <w:szCs w:val="22"/>
        </w:rPr>
        <w:t xml:space="preserve"> </w:t>
      </w:r>
      <w:proofErr w:type="spellStart"/>
      <w:r w:rsidR="00D07A4E" w:rsidRPr="00AD37B1">
        <w:rPr>
          <w:sz w:val="22"/>
          <w:szCs w:val="22"/>
        </w:rPr>
        <w:t>Guergoat-Larivière</w:t>
      </w:r>
      <w:proofErr w:type="spellEnd"/>
      <w:r w:rsidR="00D07A4E" w:rsidRPr="00AD37B1">
        <w:rPr>
          <w:sz w:val="22"/>
          <w:szCs w:val="22"/>
        </w:rPr>
        <w:t xml:space="preserve"> and </w:t>
      </w:r>
      <w:r w:rsidRPr="00AD37B1">
        <w:rPr>
          <w:sz w:val="22"/>
          <w:szCs w:val="22"/>
        </w:rPr>
        <w:t xml:space="preserve">Olivier </w:t>
      </w:r>
      <w:proofErr w:type="spellStart"/>
      <w:r w:rsidRPr="00AD37B1">
        <w:rPr>
          <w:sz w:val="22"/>
          <w:szCs w:val="22"/>
        </w:rPr>
        <w:t>Thévenon</w:t>
      </w:r>
      <w:proofErr w:type="spellEnd"/>
      <w:r w:rsidRPr="00AD37B1">
        <w:rPr>
          <w:sz w:val="22"/>
          <w:szCs w:val="22"/>
        </w:rPr>
        <w:t>. 201</w:t>
      </w:r>
      <w:r w:rsidR="00D07A4E" w:rsidRPr="00AD37B1">
        <w:rPr>
          <w:sz w:val="22"/>
          <w:szCs w:val="22"/>
        </w:rPr>
        <w:t>7</w:t>
      </w:r>
      <w:r w:rsidRPr="00AD37B1">
        <w:rPr>
          <w:sz w:val="22"/>
          <w:szCs w:val="22"/>
        </w:rPr>
        <w:t xml:space="preserve">. </w:t>
      </w:r>
      <w:r w:rsidR="00D07A4E" w:rsidRPr="00AD37B1">
        <w:rPr>
          <w:sz w:val="22"/>
          <w:szCs w:val="22"/>
        </w:rPr>
        <w:t xml:space="preserve">Employment and Second Childbirths in Europe. </w:t>
      </w:r>
      <w:r w:rsidR="00D07A4E" w:rsidRPr="00AD37B1">
        <w:rPr>
          <w:i/>
          <w:sz w:val="22"/>
          <w:szCs w:val="22"/>
        </w:rPr>
        <w:t>Population</w:t>
      </w:r>
      <w:r w:rsidR="00D07A4E" w:rsidRPr="00AD37B1">
        <w:rPr>
          <w:sz w:val="22"/>
          <w:szCs w:val="22"/>
        </w:rPr>
        <w:t xml:space="preserve"> (English edition), </w:t>
      </w:r>
      <w:proofErr w:type="spellStart"/>
      <w:r w:rsidR="00D07A4E" w:rsidRPr="00AD37B1">
        <w:rPr>
          <w:sz w:val="22"/>
          <w:szCs w:val="22"/>
        </w:rPr>
        <w:t>Institut</w:t>
      </w:r>
      <w:proofErr w:type="spellEnd"/>
      <w:r w:rsidR="00D07A4E" w:rsidRPr="00AD37B1">
        <w:rPr>
          <w:sz w:val="22"/>
          <w:szCs w:val="22"/>
        </w:rPr>
        <w:t xml:space="preserve"> national </w:t>
      </w:r>
      <w:proofErr w:type="spellStart"/>
      <w:r w:rsidR="00D07A4E" w:rsidRPr="00AD37B1">
        <w:rPr>
          <w:sz w:val="22"/>
          <w:szCs w:val="22"/>
        </w:rPr>
        <w:t>d'études</w:t>
      </w:r>
      <w:proofErr w:type="spellEnd"/>
      <w:r w:rsidR="00D07A4E" w:rsidRPr="00AD37B1">
        <w:rPr>
          <w:sz w:val="22"/>
          <w:szCs w:val="22"/>
        </w:rPr>
        <w:t xml:space="preserve"> </w:t>
      </w:r>
      <w:proofErr w:type="spellStart"/>
      <w:r w:rsidR="00D07A4E" w:rsidRPr="00AD37B1">
        <w:rPr>
          <w:sz w:val="22"/>
          <w:szCs w:val="22"/>
        </w:rPr>
        <w:t>démographiques</w:t>
      </w:r>
      <w:proofErr w:type="spellEnd"/>
      <w:r w:rsidR="00D07A4E" w:rsidRPr="00AD37B1">
        <w:rPr>
          <w:sz w:val="22"/>
          <w:szCs w:val="22"/>
        </w:rPr>
        <w:t>, Vol. 72 (4), pp. 625-646</w:t>
      </w:r>
      <w:r w:rsidRPr="00AD37B1">
        <w:rPr>
          <w:sz w:val="22"/>
          <w:szCs w:val="22"/>
        </w:rPr>
        <w:t>.</w:t>
      </w:r>
    </w:p>
    <w:p w14:paraId="5B24029A" w14:textId="77777777" w:rsidR="007C0E6F" w:rsidRPr="00DE44CE" w:rsidRDefault="007C0E6F" w:rsidP="00D07A4E">
      <w:pPr>
        <w:pStyle w:val="61"/>
        <w:shd w:val="clear" w:color="auto" w:fill="auto"/>
        <w:spacing w:before="120" w:line="240" w:lineRule="auto"/>
        <w:jc w:val="both"/>
        <w:rPr>
          <w:sz w:val="22"/>
          <w:szCs w:val="22"/>
        </w:rPr>
      </w:pPr>
      <w:r w:rsidRPr="00DE44CE">
        <w:rPr>
          <w:sz w:val="22"/>
          <w:szCs w:val="22"/>
        </w:rPr>
        <w:t xml:space="preserve">International </w:t>
      </w:r>
      <w:proofErr w:type="spellStart"/>
      <w:r w:rsidRPr="00DE44CE">
        <w:rPr>
          <w:sz w:val="22"/>
          <w:szCs w:val="22"/>
        </w:rPr>
        <w:t>Labour</w:t>
      </w:r>
      <w:proofErr w:type="spellEnd"/>
      <w:r w:rsidRPr="00DE44CE">
        <w:rPr>
          <w:sz w:val="22"/>
          <w:szCs w:val="22"/>
        </w:rPr>
        <w:t xml:space="preserve"> </w:t>
      </w:r>
      <w:r w:rsidR="00450423" w:rsidRPr="00DE44CE">
        <w:rPr>
          <w:sz w:val="22"/>
          <w:szCs w:val="22"/>
        </w:rPr>
        <w:t>Organization</w:t>
      </w:r>
      <w:r w:rsidRPr="00DE44CE">
        <w:rPr>
          <w:sz w:val="22"/>
          <w:szCs w:val="22"/>
        </w:rPr>
        <w:t xml:space="preserve"> (ILO)</w:t>
      </w:r>
      <w:r w:rsidR="00450423" w:rsidRPr="00DE44CE">
        <w:rPr>
          <w:sz w:val="22"/>
          <w:szCs w:val="22"/>
        </w:rPr>
        <w:t>.</w:t>
      </w:r>
      <w:r w:rsidRPr="00DE44CE">
        <w:rPr>
          <w:sz w:val="22"/>
          <w:szCs w:val="22"/>
        </w:rPr>
        <w:t xml:space="preserve"> 2012. </w:t>
      </w:r>
      <w:r w:rsidRPr="00DE44CE">
        <w:rPr>
          <w:i/>
          <w:sz w:val="22"/>
          <w:szCs w:val="22"/>
        </w:rPr>
        <w:t>International Standard Classification of Occupations:</w:t>
      </w:r>
      <w:r w:rsidRPr="00DE44CE">
        <w:rPr>
          <w:i/>
          <w:color w:val="000000"/>
          <w:sz w:val="22"/>
          <w:szCs w:val="22"/>
        </w:rPr>
        <w:t xml:space="preserve"> </w:t>
      </w:r>
      <w:r w:rsidRPr="00DE44CE">
        <w:rPr>
          <w:i/>
          <w:color w:val="000000"/>
          <w:sz w:val="22"/>
          <w:szCs w:val="22"/>
        </w:rPr>
        <w:lastRenderedPageBreak/>
        <w:t>ISCO-08. Vol.1, Structure, Group Definitions and Correspondence Tables</w:t>
      </w:r>
      <w:r w:rsidRPr="00DE44CE">
        <w:rPr>
          <w:color w:val="000000"/>
          <w:sz w:val="22"/>
          <w:szCs w:val="22"/>
        </w:rPr>
        <w:t xml:space="preserve">. </w:t>
      </w:r>
      <w:r w:rsidRPr="00DE44CE">
        <w:rPr>
          <w:sz w:val="22"/>
          <w:szCs w:val="22"/>
        </w:rPr>
        <w:t xml:space="preserve">Geneva: International </w:t>
      </w:r>
      <w:proofErr w:type="spellStart"/>
      <w:r w:rsidRPr="00DE44CE">
        <w:rPr>
          <w:sz w:val="22"/>
          <w:szCs w:val="22"/>
        </w:rPr>
        <w:t>Labour</w:t>
      </w:r>
      <w:proofErr w:type="spellEnd"/>
      <w:r w:rsidRPr="00DE44CE">
        <w:rPr>
          <w:sz w:val="22"/>
          <w:szCs w:val="22"/>
        </w:rPr>
        <w:t xml:space="preserve"> Office.</w:t>
      </w:r>
    </w:p>
    <w:p w14:paraId="0F84B340" w14:textId="77777777" w:rsidR="00450423" w:rsidRPr="00DE44CE" w:rsidRDefault="00450423" w:rsidP="00D07A4E">
      <w:pPr>
        <w:pStyle w:val="61"/>
        <w:spacing w:before="120" w:line="240" w:lineRule="auto"/>
        <w:jc w:val="both"/>
        <w:rPr>
          <w:sz w:val="22"/>
          <w:szCs w:val="22"/>
        </w:rPr>
      </w:pPr>
      <w:r w:rsidRPr="00AD37B1">
        <w:rPr>
          <w:sz w:val="22"/>
          <w:szCs w:val="22"/>
        </w:rPr>
        <w:t xml:space="preserve">International </w:t>
      </w:r>
      <w:proofErr w:type="spellStart"/>
      <w:r w:rsidRPr="00AD37B1">
        <w:rPr>
          <w:sz w:val="22"/>
          <w:szCs w:val="22"/>
        </w:rPr>
        <w:t>Labour</w:t>
      </w:r>
      <w:proofErr w:type="spellEnd"/>
      <w:r w:rsidRPr="00AD37B1">
        <w:rPr>
          <w:sz w:val="22"/>
          <w:szCs w:val="22"/>
        </w:rPr>
        <w:t xml:space="preserve"> Organization (ILO). 2017. </w:t>
      </w:r>
      <w:r w:rsidRPr="00AD37B1">
        <w:rPr>
          <w:i/>
          <w:sz w:val="22"/>
          <w:szCs w:val="22"/>
        </w:rPr>
        <w:t xml:space="preserve">ILO </w:t>
      </w:r>
      <w:proofErr w:type="spellStart"/>
      <w:r w:rsidRPr="00AD37B1">
        <w:rPr>
          <w:i/>
          <w:sz w:val="22"/>
          <w:szCs w:val="22"/>
        </w:rPr>
        <w:t>Labour</w:t>
      </w:r>
      <w:proofErr w:type="spellEnd"/>
      <w:r w:rsidRPr="00AD37B1">
        <w:rPr>
          <w:i/>
          <w:sz w:val="22"/>
          <w:szCs w:val="22"/>
        </w:rPr>
        <w:t xml:space="preserve"> Force Estimates and Projections</w:t>
      </w:r>
      <w:r w:rsidRPr="00AD37B1">
        <w:rPr>
          <w:i/>
          <w:iCs/>
          <w:sz w:val="22"/>
          <w:szCs w:val="22"/>
        </w:rPr>
        <w:t>, 1990</w:t>
      </w:r>
      <w:r w:rsidRPr="00AD37B1">
        <w:rPr>
          <w:rFonts w:ascii="MS Mincho" w:eastAsia="MS Mincho" w:cs="MS Mincho" w:hint="eastAsia"/>
          <w:i/>
          <w:sz w:val="22"/>
          <w:szCs w:val="22"/>
        </w:rPr>
        <w:t>‐</w:t>
      </w:r>
      <w:r w:rsidRPr="00AD37B1">
        <w:rPr>
          <w:rFonts w:eastAsia="MS Mincho"/>
          <w:i/>
          <w:iCs/>
          <w:sz w:val="22"/>
          <w:szCs w:val="22"/>
        </w:rPr>
        <w:t xml:space="preserve">2030 </w:t>
      </w:r>
      <w:r w:rsidRPr="00AD37B1">
        <w:rPr>
          <w:rFonts w:eastAsia="MS Mincho"/>
          <w:i/>
          <w:sz w:val="22"/>
          <w:szCs w:val="22"/>
        </w:rPr>
        <w:t>(2017 edition). Methodological description</w:t>
      </w:r>
      <w:r w:rsidRPr="00AD37B1">
        <w:rPr>
          <w:rFonts w:eastAsia="MS Mincho"/>
          <w:sz w:val="22"/>
          <w:szCs w:val="22"/>
        </w:rPr>
        <w:t xml:space="preserve">, Geneva: International </w:t>
      </w:r>
      <w:proofErr w:type="spellStart"/>
      <w:r w:rsidRPr="00AD37B1">
        <w:rPr>
          <w:rFonts w:eastAsia="MS Mincho"/>
          <w:sz w:val="22"/>
          <w:szCs w:val="22"/>
        </w:rPr>
        <w:t>Labour</w:t>
      </w:r>
      <w:proofErr w:type="spellEnd"/>
      <w:r w:rsidRPr="00AD37B1">
        <w:rPr>
          <w:rFonts w:eastAsia="MS Mincho"/>
          <w:sz w:val="22"/>
          <w:szCs w:val="22"/>
        </w:rPr>
        <w:t xml:space="preserve"> Office</w:t>
      </w:r>
      <w:r w:rsidR="00BC4D1E" w:rsidRPr="00AD37B1">
        <w:rPr>
          <w:rFonts w:eastAsia="MS Mincho"/>
          <w:sz w:val="22"/>
          <w:szCs w:val="22"/>
        </w:rPr>
        <w:t xml:space="preserve">, data available at: </w:t>
      </w:r>
      <w:hyperlink r:id="rId61" w:history="1">
        <w:r w:rsidR="00BC4D1E" w:rsidRPr="00AD37B1">
          <w:rPr>
            <w:rStyle w:val="afb"/>
            <w:rFonts w:eastAsia="MS Mincho"/>
            <w:sz w:val="22"/>
            <w:szCs w:val="22"/>
          </w:rPr>
          <w:t>https://www.ilo.org/ilostat</w:t>
        </w:r>
      </w:hyperlink>
      <w:r w:rsidRPr="00AD37B1">
        <w:rPr>
          <w:rFonts w:eastAsia="MS Mincho"/>
          <w:sz w:val="22"/>
          <w:szCs w:val="22"/>
        </w:rPr>
        <w:t>.</w:t>
      </w:r>
    </w:p>
    <w:p w14:paraId="70DD67E7" w14:textId="77777777" w:rsidR="00E82C12" w:rsidRPr="00DE44CE" w:rsidRDefault="00E82C12" w:rsidP="00D07A4E">
      <w:pPr>
        <w:pStyle w:val="61"/>
        <w:shd w:val="clear" w:color="auto" w:fill="auto"/>
        <w:spacing w:before="120" w:line="240" w:lineRule="auto"/>
        <w:jc w:val="both"/>
        <w:rPr>
          <w:sz w:val="22"/>
          <w:szCs w:val="22"/>
        </w:rPr>
      </w:pPr>
      <w:r w:rsidRPr="00DE44CE">
        <w:rPr>
          <w:sz w:val="22"/>
          <w:szCs w:val="22"/>
        </w:rPr>
        <w:t xml:space="preserve">International </w:t>
      </w:r>
      <w:proofErr w:type="spellStart"/>
      <w:r w:rsidRPr="00DE44CE">
        <w:rPr>
          <w:sz w:val="22"/>
          <w:szCs w:val="22"/>
        </w:rPr>
        <w:t>Labour</w:t>
      </w:r>
      <w:proofErr w:type="spellEnd"/>
      <w:r w:rsidRPr="00DE44CE">
        <w:rPr>
          <w:sz w:val="22"/>
          <w:szCs w:val="22"/>
        </w:rPr>
        <w:t xml:space="preserve"> </w:t>
      </w:r>
      <w:r w:rsidR="00450423" w:rsidRPr="00DE44CE">
        <w:rPr>
          <w:sz w:val="22"/>
          <w:szCs w:val="22"/>
        </w:rPr>
        <w:t>Organization</w:t>
      </w:r>
      <w:r w:rsidRPr="00DE44CE">
        <w:rPr>
          <w:sz w:val="22"/>
          <w:szCs w:val="22"/>
        </w:rPr>
        <w:t xml:space="preserve"> (ILO). 2018. </w:t>
      </w:r>
      <w:r w:rsidRPr="00DE44CE">
        <w:rPr>
          <w:i/>
          <w:sz w:val="22"/>
          <w:szCs w:val="22"/>
        </w:rPr>
        <w:t>Care Work and Care Jobs for the Future of Decent Work</w:t>
      </w:r>
      <w:r w:rsidRPr="00DE44CE">
        <w:rPr>
          <w:sz w:val="22"/>
          <w:szCs w:val="22"/>
        </w:rPr>
        <w:t xml:space="preserve">. Geneva: International </w:t>
      </w:r>
      <w:proofErr w:type="spellStart"/>
      <w:r w:rsidRPr="00DE44CE">
        <w:rPr>
          <w:sz w:val="22"/>
          <w:szCs w:val="22"/>
        </w:rPr>
        <w:t>Labour</w:t>
      </w:r>
      <w:proofErr w:type="spellEnd"/>
      <w:r w:rsidRPr="00DE44CE">
        <w:rPr>
          <w:sz w:val="22"/>
          <w:szCs w:val="22"/>
        </w:rPr>
        <w:t xml:space="preserve"> Office.</w:t>
      </w:r>
    </w:p>
    <w:p w14:paraId="78E7F7F5" w14:textId="77777777" w:rsidR="000410C4" w:rsidRPr="00DE44CE" w:rsidRDefault="00810D3F" w:rsidP="00D07A4E">
      <w:pPr>
        <w:pStyle w:val="61"/>
        <w:shd w:val="clear" w:color="auto" w:fill="auto"/>
        <w:spacing w:before="120" w:line="240" w:lineRule="auto"/>
        <w:jc w:val="both"/>
        <w:rPr>
          <w:sz w:val="22"/>
          <w:szCs w:val="22"/>
        </w:rPr>
      </w:pPr>
      <w:proofErr w:type="spellStart"/>
      <w:r w:rsidRPr="00DE44CE">
        <w:rPr>
          <w:sz w:val="22"/>
          <w:szCs w:val="22"/>
        </w:rPr>
        <w:t>Hegewisch</w:t>
      </w:r>
      <w:proofErr w:type="spellEnd"/>
      <w:r w:rsidR="000410C4" w:rsidRPr="00DE44CE">
        <w:rPr>
          <w:sz w:val="22"/>
          <w:szCs w:val="22"/>
        </w:rPr>
        <w:t>,</w:t>
      </w:r>
      <w:r w:rsidRPr="00DE44CE">
        <w:rPr>
          <w:sz w:val="22"/>
          <w:szCs w:val="22"/>
        </w:rPr>
        <w:t xml:space="preserve"> </w:t>
      </w:r>
      <w:proofErr w:type="spellStart"/>
      <w:r w:rsidR="000410C4" w:rsidRPr="00DE44CE">
        <w:rPr>
          <w:sz w:val="22"/>
          <w:szCs w:val="22"/>
        </w:rPr>
        <w:t>Ariane</w:t>
      </w:r>
      <w:proofErr w:type="spellEnd"/>
      <w:r w:rsidR="000410C4" w:rsidRPr="00DE44CE">
        <w:rPr>
          <w:sz w:val="22"/>
          <w:szCs w:val="22"/>
        </w:rPr>
        <w:t xml:space="preserve">, </w:t>
      </w:r>
      <w:r w:rsidRPr="00DE44CE">
        <w:rPr>
          <w:sz w:val="22"/>
          <w:szCs w:val="22"/>
        </w:rPr>
        <w:t xml:space="preserve">and </w:t>
      </w:r>
      <w:r w:rsidR="000410C4" w:rsidRPr="00DE44CE">
        <w:rPr>
          <w:sz w:val="22"/>
          <w:szCs w:val="22"/>
        </w:rPr>
        <w:t xml:space="preserve">Heidi </w:t>
      </w:r>
      <w:r w:rsidRPr="00DE44CE">
        <w:rPr>
          <w:sz w:val="22"/>
          <w:szCs w:val="22"/>
        </w:rPr>
        <w:t>Hartmann</w:t>
      </w:r>
      <w:r w:rsidR="008E53C9" w:rsidRPr="00DE44CE">
        <w:rPr>
          <w:sz w:val="22"/>
          <w:szCs w:val="22"/>
        </w:rPr>
        <w:t xml:space="preserve">. </w:t>
      </w:r>
      <w:r w:rsidRPr="00DE44CE">
        <w:rPr>
          <w:sz w:val="22"/>
          <w:szCs w:val="22"/>
        </w:rPr>
        <w:t>2014</w:t>
      </w:r>
      <w:r w:rsidR="008E53C9" w:rsidRPr="00DE44CE">
        <w:rPr>
          <w:sz w:val="22"/>
          <w:szCs w:val="22"/>
        </w:rPr>
        <w:t>.</w:t>
      </w:r>
      <w:r w:rsidR="000410C4" w:rsidRPr="00DE44CE">
        <w:rPr>
          <w:sz w:val="22"/>
          <w:szCs w:val="22"/>
        </w:rPr>
        <w:t xml:space="preserve"> </w:t>
      </w:r>
      <w:r w:rsidR="000410C4" w:rsidRPr="00DE44CE">
        <w:rPr>
          <w:i/>
          <w:sz w:val="22"/>
          <w:szCs w:val="22"/>
        </w:rPr>
        <w:t>Occupational Segregation and the Gender Wage Gap: A Job Half Done</w:t>
      </w:r>
      <w:r w:rsidR="008E53C9" w:rsidRPr="00DE44CE">
        <w:rPr>
          <w:sz w:val="22"/>
          <w:szCs w:val="22"/>
        </w:rPr>
        <w:t>. Washington D.C.: Institute for Women’s Policy Research.</w:t>
      </w:r>
    </w:p>
    <w:p w14:paraId="762079B2" w14:textId="77777777" w:rsidR="00464562" w:rsidRPr="00DE44CE" w:rsidRDefault="00097D3F" w:rsidP="00D07A4E">
      <w:pPr>
        <w:pStyle w:val="61"/>
        <w:shd w:val="clear" w:color="auto" w:fill="auto"/>
        <w:spacing w:before="120" w:line="240" w:lineRule="auto"/>
        <w:jc w:val="both"/>
        <w:rPr>
          <w:sz w:val="22"/>
          <w:szCs w:val="22"/>
        </w:rPr>
      </w:pPr>
      <w:proofErr w:type="spellStart"/>
      <w:r w:rsidRPr="00DE44CE">
        <w:rPr>
          <w:sz w:val="22"/>
          <w:szCs w:val="22"/>
        </w:rPr>
        <w:t>Karmel</w:t>
      </w:r>
      <w:proofErr w:type="spellEnd"/>
      <w:r w:rsidRPr="00DE44CE">
        <w:rPr>
          <w:sz w:val="22"/>
          <w:szCs w:val="22"/>
        </w:rPr>
        <w:t>, T</w:t>
      </w:r>
      <w:r w:rsidR="00B20E9B" w:rsidRPr="00DE44CE">
        <w:rPr>
          <w:sz w:val="22"/>
          <w:szCs w:val="22"/>
        </w:rPr>
        <w:t>om</w:t>
      </w:r>
      <w:r w:rsidRPr="00DE44CE">
        <w:rPr>
          <w:sz w:val="22"/>
          <w:szCs w:val="22"/>
        </w:rPr>
        <w:t xml:space="preserve"> and </w:t>
      </w:r>
      <w:hyperlink r:id="rId62" w:history="1">
        <w:r w:rsidR="00B20E9B" w:rsidRPr="00F622D5">
          <w:rPr>
            <w:sz w:val="22"/>
            <w:szCs w:val="22"/>
          </w:rPr>
          <w:t>Maureen</w:t>
        </w:r>
      </w:hyperlink>
      <w:r w:rsidRPr="00DE44CE">
        <w:rPr>
          <w:sz w:val="22"/>
          <w:szCs w:val="22"/>
        </w:rPr>
        <w:t xml:space="preserve"> </w:t>
      </w:r>
      <w:proofErr w:type="spellStart"/>
      <w:r w:rsidRPr="00DE44CE">
        <w:rPr>
          <w:sz w:val="22"/>
          <w:szCs w:val="22"/>
        </w:rPr>
        <w:t>MacLachlan</w:t>
      </w:r>
      <w:proofErr w:type="spellEnd"/>
      <w:r w:rsidRPr="00DE44CE">
        <w:rPr>
          <w:sz w:val="22"/>
          <w:szCs w:val="22"/>
        </w:rPr>
        <w:t xml:space="preserve">. 1988. Occupational </w:t>
      </w:r>
      <w:r w:rsidR="0089668F" w:rsidRPr="00F622D5">
        <w:rPr>
          <w:sz w:val="22"/>
          <w:szCs w:val="22"/>
        </w:rPr>
        <w:t xml:space="preserve">sex segregation </w:t>
      </w:r>
      <w:r w:rsidRPr="00DE44CE">
        <w:rPr>
          <w:sz w:val="22"/>
          <w:szCs w:val="22"/>
        </w:rPr>
        <w:t>—</w:t>
      </w:r>
      <w:r w:rsidR="0089668F" w:rsidRPr="00DE44CE">
        <w:rPr>
          <w:sz w:val="22"/>
          <w:szCs w:val="22"/>
        </w:rPr>
        <w:t xml:space="preserve"> </w:t>
      </w:r>
      <w:r w:rsidRPr="00DE44CE">
        <w:rPr>
          <w:sz w:val="22"/>
          <w:szCs w:val="22"/>
        </w:rPr>
        <w:t xml:space="preserve">Increasing or </w:t>
      </w:r>
      <w:r w:rsidR="0089668F" w:rsidRPr="00DE44CE">
        <w:rPr>
          <w:sz w:val="22"/>
          <w:szCs w:val="22"/>
        </w:rPr>
        <w:t>decreasing.</w:t>
      </w:r>
      <w:r w:rsidRPr="00DE44CE">
        <w:rPr>
          <w:sz w:val="22"/>
          <w:szCs w:val="22"/>
        </w:rPr>
        <w:t xml:space="preserve"> </w:t>
      </w:r>
      <w:r w:rsidRPr="00DE44CE">
        <w:rPr>
          <w:i/>
          <w:sz w:val="22"/>
          <w:szCs w:val="22"/>
        </w:rPr>
        <w:t>Economic Record</w:t>
      </w:r>
      <w:r w:rsidR="00B20E9B" w:rsidRPr="00DE44CE">
        <w:rPr>
          <w:sz w:val="22"/>
          <w:szCs w:val="22"/>
        </w:rPr>
        <w:t>, Vol.</w:t>
      </w:r>
      <w:r w:rsidRPr="00DE44CE">
        <w:rPr>
          <w:sz w:val="22"/>
          <w:szCs w:val="22"/>
        </w:rPr>
        <w:t xml:space="preserve"> 64</w:t>
      </w:r>
      <w:r w:rsidR="00B20E9B" w:rsidRPr="00DE44CE">
        <w:rPr>
          <w:sz w:val="22"/>
          <w:szCs w:val="22"/>
        </w:rPr>
        <w:t xml:space="preserve">, pp. </w:t>
      </w:r>
      <w:r w:rsidRPr="00DE44CE">
        <w:rPr>
          <w:sz w:val="22"/>
          <w:szCs w:val="22"/>
        </w:rPr>
        <w:t>187</w:t>
      </w:r>
      <w:r w:rsidR="00B20E9B" w:rsidRPr="00DE44CE">
        <w:rPr>
          <w:sz w:val="22"/>
          <w:szCs w:val="22"/>
        </w:rPr>
        <w:t>-195</w:t>
      </w:r>
      <w:r w:rsidRPr="00DE44CE">
        <w:rPr>
          <w:sz w:val="22"/>
          <w:szCs w:val="22"/>
        </w:rPr>
        <w:t>.</w:t>
      </w:r>
    </w:p>
    <w:p w14:paraId="56E9A011" w14:textId="77777777" w:rsidR="00A62D20" w:rsidRPr="00F622D5" w:rsidRDefault="00A62D20" w:rsidP="00D07A4E">
      <w:pPr>
        <w:pStyle w:val="61"/>
        <w:shd w:val="clear" w:color="auto" w:fill="auto"/>
        <w:spacing w:before="120" w:line="240" w:lineRule="auto"/>
        <w:jc w:val="both"/>
        <w:rPr>
          <w:sz w:val="22"/>
          <w:szCs w:val="22"/>
        </w:rPr>
      </w:pPr>
      <w:proofErr w:type="spellStart"/>
      <w:r w:rsidRPr="00DE44CE">
        <w:rPr>
          <w:sz w:val="22"/>
          <w:szCs w:val="22"/>
        </w:rPr>
        <w:t>Kleven</w:t>
      </w:r>
      <w:proofErr w:type="spellEnd"/>
      <w:r w:rsidRPr="00DE44CE">
        <w:rPr>
          <w:sz w:val="22"/>
          <w:szCs w:val="22"/>
        </w:rPr>
        <w:t xml:space="preserve">, Henrik, Camille </w:t>
      </w:r>
      <w:proofErr w:type="spellStart"/>
      <w:r w:rsidRPr="00DE44CE">
        <w:rPr>
          <w:sz w:val="22"/>
          <w:szCs w:val="22"/>
        </w:rPr>
        <w:t>Landais</w:t>
      </w:r>
      <w:proofErr w:type="spellEnd"/>
      <w:r w:rsidRPr="00DE44CE">
        <w:rPr>
          <w:sz w:val="22"/>
          <w:szCs w:val="22"/>
        </w:rPr>
        <w:t xml:space="preserve">, and </w:t>
      </w:r>
      <w:proofErr w:type="spellStart"/>
      <w:r w:rsidRPr="00DE44CE">
        <w:rPr>
          <w:sz w:val="22"/>
          <w:szCs w:val="22"/>
        </w:rPr>
        <w:t>Jakob</w:t>
      </w:r>
      <w:proofErr w:type="spellEnd"/>
      <w:r w:rsidRPr="00DE44CE">
        <w:rPr>
          <w:sz w:val="22"/>
          <w:szCs w:val="22"/>
        </w:rPr>
        <w:t xml:space="preserve"> </w:t>
      </w:r>
      <w:proofErr w:type="spellStart"/>
      <w:r w:rsidRPr="00DE44CE">
        <w:rPr>
          <w:sz w:val="22"/>
          <w:szCs w:val="22"/>
        </w:rPr>
        <w:t>Egholt</w:t>
      </w:r>
      <w:proofErr w:type="spellEnd"/>
      <w:r w:rsidRPr="00DE44CE">
        <w:rPr>
          <w:sz w:val="22"/>
          <w:szCs w:val="22"/>
        </w:rPr>
        <w:t xml:space="preserve"> </w:t>
      </w:r>
      <w:proofErr w:type="spellStart"/>
      <w:r w:rsidRPr="00DE44CE">
        <w:rPr>
          <w:sz w:val="22"/>
          <w:szCs w:val="22"/>
        </w:rPr>
        <w:t>Søgaard</w:t>
      </w:r>
      <w:proofErr w:type="spellEnd"/>
      <w:r w:rsidRPr="00DE44CE">
        <w:rPr>
          <w:sz w:val="22"/>
          <w:szCs w:val="22"/>
        </w:rPr>
        <w:t xml:space="preserve">. 2018. Children and Gender Inequality: Evidence from Denmark. NBER Working Paper 24219, </w:t>
      </w:r>
      <w:hyperlink r:id="rId63" w:history="1">
        <w:r w:rsidRPr="00F622D5">
          <w:rPr>
            <w:rStyle w:val="afb"/>
            <w:sz w:val="22"/>
            <w:szCs w:val="22"/>
          </w:rPr>
          <w:t>http://www.nber.org/papers/w24219</w:t>
        </w:r>
      </w:hyperlink>
      <w:r w:rsidRPr="00DE44CE">
        <w:rPr>
          <w:sz w:val="22"/>
          <w:szCs w:val="22"/>
        </w:rPr>
        <w:t>.</w:t>
      </w:r>
    </w:p>
    <w:p w14:paraId="5BAE967F" w14:textId="77777777" w:rsidR="00850C91" w:rsidRPr="00DE44CE" w:rsidRDefault="00850C91" w:rsidP="00D07A4E">
      <w:pPr>
        <w:pStyle w:val="61"/>
        <w:shd w:val="clear" w:color="auto" w:fill="auto"/>
        <w:spacing w:before="120" w:line="240" w:lineRule="auto"/>
        <w:jc w:val="both"/>
        <w:rPr>
          <w:sz w:val="22"/>
          <w:szCs w:val="22"/>
        </w:rPr>
      </w:pPr>
      <w:proofErr w:type="spellStart"/>
      <w:r w:rsidRPr="00DE44CE">
        <w:rPr>
          <w:sz w:val="22"/>
          <w:szCs w:val="22"/>
        </w:rPr>
        <w:t>Leythienne</w:t>
      </w:r>
      <w:proofErr w:type="spellEnd"/>
      <w:r w:rsidRPr="00DE44CE">
        <w:rPr>
          <w:sz w:val="22"/>
          <w:szCs w:val="22"/>
        </w:rPr>
        <w:t xml:space="preserve">, Denis, and Piotr </w:t>
      </w:r>
      <w:proofErr w:type="spellStart"/>
      <w:r w:rsidRPr="00DE44CE">
        <w:rPr>
          <w:sz w:val="22"/>
          <w:szCs w:val="22"/>
        </w:rPr>
        <w:t>Ronkowski</w:t>
      </w:r>
      <w:proofErr w:type="spellEnd"/>
      <w:r w:rsidRPr="00DE44CE">
        <w:rPr>
          <w:sz w:val="22"/>
          <w:szCs w:val="22"/>
        </w:rPr>
        <w:t xml:space="preserve">. 2018. </w:t>
      </w:r>
      <w:r w:rsidRPr="00DE44CE">
        <w:rPr>
          <w:i/>
          <w:sz w:val="22"/>
          <w:szCs w:val="22"/>
        </w:rPr>
        <w:t>A decomposition of the unadjusted gender pay gap using Structure of Earnings Survey data 2018 edition</w:t>
      </w:r>
      <w:r w:rsidRPr="00DE44CE">
        <w:rPr>
          <w:sz w:val="22"/>
          <w:szCs w:val="22"/>
        </w:rPr>
        <w:t>. Luxembourg: Publications Office of the European Union</w:t>
      </w:r>
    </w:p>
    <w:p w14:paraId="53D07CAC" w14:textId="77777777" w:rsidR="00EC06D1" w:rsidRPr="00DE44CE" w:rsidRDefault="00EC06D1" w:rsidP="00D07A4E">
      <w:pPr>
        <w:pStyle w:val="61"/>
        <w:shd w:val="clear" w:color="auto" w:fill="auto"/>
        <w:spacing w:before="120" w:line="240" w:lineRule="auto"/>
        <w:jc w:val="both"/>
        <w:rPr>
          <w:sz w:val="22"/>
          <w:szCs w:val="22"/>
        </w:rPr>
      </w:pPr>
      <w:proofErr w:type="spellStart"/>
      <w:r w:rsidRPr="00DE44CE">
        <w:rPr>
          <w:sz w:val="22"/>
          <w:szCs w:val="22"/>
        </w:rPr>
        <w:t>Mikucka</w:t>
      </w:r>
      <w:proofErr w:type="spellEnd"/>
      <w:r w:rsidRPr="00DE44CE">
        <w:rPr>
          <w:sz w:val="22"/>
          <w:szCs w:val="22"/>
        </w:rPr>
        <w:t xml:space="preserve">, </w:t>
      </w:r>
      <w:proofErr w:type="spellStart"/>
      <w:r w:rsidRPr="00DE44CE">
        <w:rPr>
          <w:sz w:val="22"/>
          <w:szCs w:val="22"/>
        </w:rPr>
        <w:t>Małgorzata</w:t>
      </w:r>
      <w:proofErr w:type="spellEnd"/>
      <w:r w:rsidRPr="00DE44CE">
        <w:rPr>
          <w:sz w:val="22"/>
          <w:szCs w:val="22"/>
        </w:rPr>
        <w:t xml:space="preserve">, and Marie </w:t>
      </w:r>
      <w:proofErr w:type="spellStart"/>
      <w:r w:rsidRPr="00DE44CE">
        <w:rPr>
          <w:sz w:val="22"/>
          <w:szCs w:val="22"/>
        </w:rPr>
        <w:t>Valentova</w:t>
      </w:r>
      <w:proofErr w:type="spellEnd"/>
      <w:r w:rsidRPr="00DE44CE">
        <w:rPr>
          <w:sz w:val="22"/>
          <w:szCs w:val="22"/>
        </w:rPr>
        <w:t xml:space="preserve">. 2013. Employed or inactive? Cross-national differences in coding parental leave beneficiaries in European </w:t>
      </w:r>
      <w:proofErr w:type="spellStart"/>
      <w:r w:rsidRPr="00DE44CE">
        <w:rPr>
          <w:sz w:val="22"/>
          <w:szCs w:val="22"/>
        </w:rPr>
        <w:t>Labour</w:t>
      </w:r>
      <w:proofErr w:type="spellEnd"/>
      <w:r w:rsidRPr="00DE44CE">
        <w:rPr>
          <w:sz w:val="22"/>
          <w:szCs w:val="22"/>
        </w:rPr>
        <w:t xml:space="preserve"> Force Survey data. </w:t>
      </w:r>
      <w:r w:rsidRPr="00DE44CE">
        <w:rPr>
          <w:i/>
          <w:sz w:val="22"/>
          <w:szCs w:val="22"/>
        </w:rPr>
        <w:t>Survey Research Methods</w:t>
      </w:r>
      <w:r w:rsidRPr="00DE44CE">
        <w:rPr>
          <w:sz w:val="22"/>
          <w:szCs w:val="22"/>
        </w:rPr>
        <w:t>, Vol. 7 (3), pp. 169-179.</w:t>
      </w:r>
    </w:p>
    <w:p w14:paraId="004BB9F7" w14:textId="77777777" w:rsidR="006733F2" w:rsidRPr="00DE44CE" w:rsidRDefault="006733F2" w:rsidP="00D07A4E">
      <w:pPr>
        <w:pStyle w:val="61"/>
        <w:shd w:val="clear" w:color="auto" w:fill="auto"/>
        <w:spacing w:before="120" w:line="240" w:lineRule="auto"/>
        <w:jc w:val="both"/>
        <w:rPr>
          <w:sz w:val="22"/>
          <w:szCs w:val="22"/>
        </w:rPr>
      </w:pPr>
      <w:proofErr w:type="spellStart"/>
      <w:r w:rsidRPr="00DE44CE">
        <w:rPr>
          <w:sz w:val="22"/>
          <w:szCs w:val="22"/>
        </w:rPr>
        <w:t>Nizalova</w:t>
      </w:r>
      <w:proofErr w:type="spellEnd"/>
      <w:r w:rsidRPr="00DE44CE">
        <w:rPr>
          <w:sz w:val="22"/>
          <w:szCs w:val="22"/>
        </w:rPr>
        <w:t xml:space="preserve">, </w:t>
      </w:r>
      <w:proofErr w:type="spellStart"/>
      <w:r w:rsidRPr="00DE44CE">
        <w:rPr>
          <w:sz w:val="22"/>
          <w:szCs w:val="22"/>
        </w:rPr>
        <w:t>Olena</w:t>
      </w:r>
      <w:proofErr w:type="spellEnd"/>
      <w:r w:rsidRPr="00DE44CE">
        <w:rPr>
          <w:sz w:val="22"/>
          <w:szCs w:val="22"/>
        </w:rPr>
        <w:t xml:space="preserve"> Y., Tamara </w:t>
      </w:r>
      <w:proofErr w:type="spellStart"/>
      <w:r w:rsidRPr="00DE44CE">
        <w:rPr>
          <w:sz w:val="22"/>
          <w:szCs w:val="22"/>
        </w:rPr>
        <w:t>Sliusarenko</w:t>
      </w:r>
      <w:proofErr w:type="spellEnd"/>
      <w:r w:rsidRPr="00DE44CE">
        <w:rPr>
          <w:sz w:val="22"/>
          <w:szCs w:val="22"/>
        </w:rPr>
        <w:t xml:space="preserve">, and </w:t>
      </w:r>
      <w:proofErr w:type="spellStart"/>
      <w:r w:rsidRPr="00DE44CE">
        <w:rPr>
          <w:sz w:val="22"/>
          <w:szCs w:val="22"/>
        </w:rPr>
        <w:t>Solomiya</w:t>
      </w:r>
      <w:proofErr w:type="spellEnd"/>
      <w:r w:rsidRPr="00DE44CE">
        <w:rPr>
          <w:sz w:val="22"/>
          <w:szCs w:val="22"/>
        </w:rPr>
        <w:t xml:space="preserve"> </w:t>
      </w:r>
      <w:proofErr w:type="spellStart"/>
      <w:r w:rsidRPr="00DE44CE">
        <w:rPr>
          <w:sz w:val="22"/>
          <w:szCs w:val="22"/>
        </w:rPr>
        <w:t>Shpak</w:t>
      </w:r>
      <w:proofErr w:type="spellEnd"/>
      <w:r w:rsidRPr="00DE44CE">
        <w:rPr>
          <w:sz w:val="22"/>
          <w:szCs w:val="22"/>
        </w:rPr>
        <w:t xml:space="preserve">. 2016. The motherhood wage penalty in times of transition. </w:t>
      </w:r>
      <w:r w:rsidRPr="00DE44CE">
        <w:rPr>
          <w:i/>
          <w:sz w:val="22"/>
          <w:szCs w:val="22"/>
        </w:rPr>
        <w:t>Journal of Comparative Economics</w:t>
      </w:r>
      <w:r w:rsidRPr="00DE44CE">
        <w:rPr>
          <w:sz w:val="22"/>
          <w:szCs w:val="22"/>
        </w:rPr>
        <w:t>, Vol. 44 (1), pp. 56-75.</w:t>
      </w:r>
    </w:p>
    <w:p w14:paraId="7429E649" w14:textId="77777777" w:rsidR="00B62201" w:rsidRPr="00DE44CE" w:rsidRDefault="00B62201" w:rsidP="00D07A4E">
      <w:pPr>
        <w:pStyle w:val="61"/>
        <w:shd w:val="clear" w:color="auto" w:fill="auto"/>
        <w:spacing w:before="120" w:line="240" w:lineRule="auto"/>
        <w:jc w:val="both"/>
        <w:rPr>
          <w:sz w:val="22"/>
          <w:szCs w:val="22"/>
        </w:rPr>
      </w:pPr>
      <w:proofErr w:type="spellStart"/>
      <w:r w:rsidRPr="00DE44CE">
        <w:rPr>
          <w:sz w:val="22"/>
          <w:szCs w:val="22"/>
        </w:rPr>
        <w:t>Osaďan</w:t>
      </w:r>
      <w:proofErr w:type="spellEnd"/>
      <w:r w:rsidRPr="00DE44CE">
        <w:rPr>
          <w:sz w:val="22"/>
          <w:szCs w:val="22"/>
        </w:rPr>
        <w:t xml:space="preserve">, </w:t>
      </w:r>
      <w:proofErr w:type="spellStart"/>
      <w:r w:rsidRPr="00DE44CE">
        <w:rPr>
          <w:sz w:val="22"/>
          <w:szCs w:val="22"/>
        </w:rPr>
        <w:t>Róbert</w:t>
      </w:r>
      <w:proofErr w:type="spellEnd"/>
      <w:r w:rsidRPr="00DE44CE">
        <w:rPr>
          <w:sz w:val="22"/>
          <w:szCs w:val="22"/>
        </w:rPr>
        <w:t xml:space="preserve">. 2012. Gender stereotypes and elementary school teachers. </w:t>
      </w:r>
      <w:proofErr w:type="spellStart"/>
      <w:r w:rsidRPr="00DE44CE">
        <w:rPr>
          <w:i/>
          <w:sz w:val="22"/>
          <w:szCs w:val="22"/>
        </w:rPr>
        <w:t>Acta</w:t>
      </w:r>
      <w:proofErr w:type="spellEnd"/>
      <w:r w:rsidRPr="00DE44CE">
        <w:rPr>
          <w:i/>
          <w:sz w:val="22"/>
          <w:szCs w:val="22"/>
        </w:rPr>
        <w:t xml:space="preserve"> </w:t>
      </w:r>
      <w:proofErr w:type="spellStart"/>
      <w:r w:rsidRPr="00DE44CE">
        <w:rPr>
          <w:i/>
          <w:sz w:val="22"/>
          <w:szCs w:val="22"/>
        </w:rPr>
        <w:t>Technologica</w:t>
      </w:r>
      <w:proofErr w:type="spellEnd"/>
      <w:r w:rsidRPr="00DE44CE">
        <w:rPr>
          <w:i/>
          <w:sz w:val="22"/>
          <w:szCs w:val="22"/>
        </w:rPr>
        <w:t xml:space="preserve"> </w:t>
      </w:r>
      <w:proofErr w:type="spellStart"/>
      <w:r w:rsidRPr="00DE44CE">
        <w:rPr>
          <w:i/>
          <w:sz w:val="22"/>
          <w:szCs w:val="22"/>
        </w:rPr>
        <w:t>Dubnicae</w:t>
      </w:r>
      <w:proofErr w:type="spellEnd"/>
      <w:r w:rsidRPr="00DE44CE">
        <w:rPr>
          <w:sz w:val="22"/>
          <w:szCs w:val="22"/>
        </w:rPr>
        <w:t>, Vol. 2 (2), pp. 25-29.</w:t>
      </w:r>
    </w:p>
    <w:p w14:paraId="06746926" w14:textId="77777777" w:rsidR="0098377B" w:rsidRPr="00DE44CE" w:rsidRDefault="0098377B" w:rsidP="00D07A4E">
      <w:pPr>
        <w:pStyle w:val="61"/>
        <w:shd w:val="clear" w:color="auto" w:fill="auto"/>
        <w:spacing w:before="120" w:line="240" w:lineRule="auto"/>
        <w:jc w:val="both"/>
        <w:rPr>
          <w:sz w:val="22"/>
          <w:szCs w:val="22"/>
        </w:rPr>
      </w:pPr>
      <w:proofErr w:type="spellStart"/>
      <w:r w:rsidRPr="00AD37B1">
        <w:rPr>
          <w:sz w:val="22"/>
          <w:szCs w:val="22"/>
        </w:rPr>
        <w:t>Pignatti</w:t>
      </w:r>
      <w:proofErr w:type="spellEnd"/>
      <w:r w:rsidRPr="00AD37B1">
        <w:rPr>
          <w:sz w:val="22"/>
          <w:szCs w:val="22"/>
        </w:rPr>
        <w:t xml:space="preserve">, Norberto. 2016. Encouraging women’s labor force participation in transition countries, </w:t>
      </w:r>
      <w:r w:rsidRPr="00AD37B1">
        <w:rPr>
          <w:i/>
          <w:sz w:val="22"/>
          <w:szCs w:val="22"/>
        </w:rPr>
        <w:t>IZA World of Labor</w:t>
      </w:r>
      <w:r w:rsidRPr="00AD37B1">
        <w:rPr>
          <w:sz w:val="22"/>
          <w:szCs w:val="22"/>
        </w:rPr>
        <w:t xml:space="preserve">, </w:t>
      </w:r>
      <w:proofErr w:type="spellStart"/>
      <w:r w:rsidRPr="00AD37B1">
        <w:rPr>
          <w:sz w:val="22"/>
          <w:szCs w:val="22"/>
        </w:rPr>
        <w:t>doi</w:t>
      </w:r>
      <w:proofErr w:type="spellEnd"/>
      <w:r w:rsidRPr="00AD37B1">
        <w:rPr>
          <w:sz w:val="22"/>
          <w:szCs w:val="22"/>
        </w:rPr>
        <w:t>: 10.15185.</w:t>
      </w:r>
    </w:p>
    <w:p w14:paraId="3AF28496" w14:textId="77777777" w:rsidR="00D668F4" w:rsidRPr="00F622D5" w:rsidRDefault="00D668F4" w:rsidP="00D07A4E">
      <w:pPr>
        <w:pStyle w:val="61"/>
        <w:shd w:val="clear" w:color="auto" w:fill="auto"/>
        <w:spacing w:before="120" w:line="240" w:lineRule="auto"/>
        <w:jc w:val="both"/>
        <w:rPr>
          <w:sz w:val="22"/>
          <w:szCs w:val="22"/>
        </w:rPr>
      </w:pPr>
      <w:proofErr w:type="spellStart"/>
      <w:r w:rsidRPr="00DE44CE">
        <w:rPr>
          <w:sz w:val="22"/>
          <w:szCs w:val="22"/>
        </w:rPr>
        <w:t>Rinne</w:t>
      </w:r>
      <w:proofErr w:type="spellEnd"/>
      <w:r w:rsidRPr="00DE44CE">
        <w:rPr>
          <w:sz w:val="22"/>
          <w:szCs w:val="22"/>
        </w:rPr>
        <w:t>, Ulf. 2014. Anonymous job applications and hiring discrimination</w:t>
      </w:r>
      <w:r w:rsidR="0089668F" w:rsidRPr="00DE44CE">
        <w:rPr>
          <w:sz w:val="22"/>
          <w:szCs w:val="22"/>
        </w:rPr>
        <w:t>.</w:t>
      </w:r>
      <w:r w:rsidRPr="00DE44CE">
        <w:rPr>
          <w:sz w:val="22"/>
          <w:szCs w:val="22"/>
        </w:rPr>
        <w:t xml:space="preserve"> </w:t>
      </w:r>
      <w:r w:rsidRPr="00DE44CE">
        <w:rPr>
          <w:i/>
          <w:sz w:val="22"/>
          <w:szCs w:val="22"/>
        </w:rPr>
        <w:t>IZA World of Labor</w:t>
      </w:r>
      <w:r w:rsidRPr="00DE44CE">
        <w:rPr>
          <w:sz w:val="22"/>
          <w:szCs w:val="22"/>
        </w:rPr>
        <w:t xml:space="preserve">, available at: </w:t>
      </w:r>
      <w:hyperlink r:id="rId64" w:history="1">
        <w:r w:rsidRPr="00F622D5">
          <w:rPr>
            <w:rStyle w:val="afb"/>
            <w:sz w:val="22"/>
            <w:szCs w:val="22"/>
          </w:rPr>
          <w:t>https://wol.iza.org/articles/anonymous-job-applications-and-hiring-discrimination/long</w:t>
        </w:r>
      </w:hyperlink>
      <w:r w:rsidRPr="00DE44CE">
        <w:rPr>
          <w:sz w:val="22"/>
          <w:szCs w:val="22"/>
        </w:rPr>
        <w:t>.</w:t>
      </w:r>
    </w:p>
    <w:p w14:paraId="04D547A9" w14:textId="77777777" w:rsidR="008C3AD9" w:rsidRPr="00DE44CE" w:rsidRDefault="008C3AD9" w:rsidP="00D07A4E">
      <w:pPr>
        <w:pStyle w:val="61"/>
        <w:shd w:val="clear" w:color="auto" w:fill="auto"/>
        <w:spacing w:before="120" w:line="240" w:lineRule="auto"/>
        <w:jc w:val="both"/>
        <w:rPr>
          <w:sz w:val="22"/>
          <w:szCs w:val="22"/>
        </w:rPr>
      </w:pPr>
      <w:r w:rsidRPr="00DE44CE">
        <w:rPr>
          <w:sz w:val="22"/>
          <w:szCs w:val="22"/>
        </w:rPr>
        <w:t xml:space="preserve">Ruffle, Bradley J. and </w:t>
      </w:r>
      <w:proofErr w:type="spellStart"/>
      <w:r w:rsidRPr="00DE44CE">
        <w:rPr>
          <w:sz w:val="22"/>
          <w:szCs w:val="22"/>
        </w:rPr>
        <w:t>Ze</w:t>
      </w:r>
      <w:r w:rsidR="00863F44" w:rsidRPr="00DE44CE">
        <w:rPr>
          <w:sz w:val="22"/>
          <w:szCs w:val="22"/>
        </w:rPr>
        <w:t>’</w:t>
      </w:r>
      <w:r w:rsidRPr="00DE44CE">
        <w:rPr>
          <w:sz w:val="22"/>
          <w:szCs w:val="22"/>
        </w:rPr>
        <w:t>ev</w:t>
      </w:r>
      <w:proofErr w:type="spellEnd"/>
      <w:r w:rsidRPr="00DE44CE">
        <w:rPr>
          <w:sz w:val="22"/>
          <w:szCs w:val="22"/>
        </w:rPr>
        <w:t xml:space="preserve"> </w:t>
      </w:r>
      <w:proofErr w:type="spellStart"/>
      <w:r w:rsidRPr="00DE44CE">
        <w:rPr>
          <w:sz w:val="22"/>
          <w:szCs w:val="22"/>
        </w:rPr>
        <w:t>Shtudiner</w:t>
      </w:r>
      <w:proofErr w:type="spellEnd"/>
      <w:r w:rsidRPr="00DE44CE">
        <w:rPr>
          <w:sz w:val="22"/>
          <w:szCs w:val="22"/>
        </w:rPr>
        <w:t>. 201</w:t>
      </w:r>
      <w:r w:rsidR="00FA558D" w:rsidRPr="00DE44CE">
        <w:rPr>
          <w:sz w:val="22"/>
          <w:szCs w:val="22"/>
        </w:rPr>
        <w:t>1</w:t>
      </w:r>
      <w:r w:rsidRPr="00DE44CE">
        <w:rPr>
          <w:sz w:val="22"/>
          <w:szCs w:val="22"/>
        </w:rPr>
        <w:t xml:space="preserve">. Are Good-Looking People More Employable? </w:t>
      </w:r>
      <w:r w:rsidRPr="00DE44CE">
        <w:rPr>
          <w:i/>
          <w:sz w:val="22"/>
          <w:szCs w:val="22"/>
        </w:rPr>
        <w:t>Management Science</w:t>
      </w:r>
      <w:r w:rsidRPr="00DE44CE">
        <w:rPr>
          <w:sz w:val="22"/>
          <w:szCs w:val="22"/>
        </w:rPr>
        <w:t>, Vol. 61(8), pp. 1760-1776.</w:t>
      </w:r>
    </w:p>
    <w:p w14:paraId="052AD7B8" w14:textId="77777777" w:rsidR="00D668F4" w:rsidRPr="00F622D5" w:rsidRDefault="00D668F4" w:rsidP="00D07A4E">
      <w:pPr>
        <w:pStyle w:val="61"/>
        <w:shd w:val="clear" w:color="auto" w:fill="auto"/>
        <w:spacing w:before="120" w:line="240" w:lineRule="auto"/>
        <w:jc w:val="both"/>
        <w:rPr>
          <w:sz w:val="22"/>
          <w:szCs w:val="22"/>
        </w:rPr>
      </w:pPr>
      <w:r w:rsidRPr="00DE44CE">
        <w:rPr>
          <w:sz w:val="22"/>
          <w:szCs w:val="22"/>
        </w:rPr>
        <w:t>Smith</w:t>
      </w:r>
      <w:r w:rsidR="00B62201" w:rsidRPr="00DE44CE">
        <w:rPr>
          <w:sz w:val="22"/>
          <w:szCs w:val="22"/>
        </w:rPr>
        <w:t>,</w:t>
      </w:r>
      <w:r w:rsidRPr="00DE44CE">
        <w:rPr>
          <w:sz w:val="22"/>
          <w:szCs w:val="22"/>
        </w:rPr>
        <w:t xml:space="preserve"> Aaron. 2015. </w:t>
      </w:r>
      <w:r w:rsidRPr="00DE44CE">
        <w:rPr>
          <w:i/>
          <w:sz w:val="22"/>
          <w:szCs w:val="22"/>
        </w:rPr>
        <w:t>Searching for Work in the Digital Era</w:t>
      </w:r>
      <w:r w:rsidRPr="00DE44CE">
        <w:rPr>
          <w:sz w:val="22"/>
          <w:szCs w:val="22"/>
        </w:rPr>
        <w:t xml:space="preserve">. Pew Research Center, available at: </w:t>
      </w:r>
      <w:hyperlink r:id="rId65" w:history="1">
        <w:r w:rsidRPr="00F622D5">
          <w:rPr>
            <w:rStyle w:val="afb"/>
            <w:sz w:val="22"/>
            <w:szCs w:val="22"/>
          </w:rPr>
          <w:t>http://www.pewinternet.org/2015/11/19/searching-for-work-in-the-digital-era</w:t>
        </w:r>
      </w:hyperlink>
      <w:r w:rsidRPr="00DE44CE">
        <w:rPr>
          <w:sz w:val="22"/>
          <w:szCs w:val="22"/>
        </w:rPr>
        <w:t>.</w:t>
      </w:r>
    </w:p>
    <w:p w14:paraId="57A25F98" w14:textId="77777777" w:rsidR="00D60D4F" w:rsidRPr="00F622D5" w:rsidRDefault="00D60D4F" w:rsidP="00D60D4F">
      <w:pPr>
        <w:pStyle w:val="61"/>
        <w:shd w:val="clear" w:color="auto" w:fill="auto"/>
        <w:spacing w:before="120" w:line="240" w:lineRule="auto"/>
        <w:jc w:val="both"/>
        <w:rPr>
          <w:sz w:val="22"/>
          <w:szCs w:val="22"/>
        </w:rPr>
      </w:pPr>
      <w:r w:rsidRPr="000843A2">
        <w:rPr>
          <w:sz w:val="22"/>
          <w:szCs w:val="22"/>
          <w:lang w:val="es-CL"/>
        </w:rPr>
        <w:t xml:space="preserve">Stratan, Alexandru, Marcel Chistruga, Victoria Clipa, Alexandru Fala, and Viorica Septelici. </w:t>
      </w:r>
      <w:r w:rsidRPr="00AD37B1">
        <w:rPr>
          <w:sz w:val="22"/>
          <w:szCs w:val="22"/>
        </w:rPr>
        <w:t xml:space="preserve">2013. </w:t>
      </w:r>
      <w:r w:rsidRPr="00AD37B1">
        <w:rPr>
          <w:i/>
          <w:sz w:val="22"/>
          <w:szCs w:val="22"/>
        </w:rPr>
        <w:t>Development and Side Effects of Remittances in the CIS countries: the Case of Republic of Moldova</w:t>
      </w:r>
      <w:r w:rsidRPr="00AD37B1">
        <w:rPr>
          <w:sz w:val="22"/>
          <w:szCs w:val="22"/>
        </w:rPr>
        <w:t>. CARIM-East Research Report 2013/25, European University Institute, Robert Schuman Centre for Advanced Studies</w:t>
      </w:r>
      <w:r w:rsidRPr="00DE44CE">
        <w:rPr>
          <w:sz w:val="22"/>
          <w:szCs w:val="22"/>
        </w:rPr>
        <w:t>.</w:t>
      </w:r>
    </w:p>
    <w:p w14:paraId="0B3A3B70" w14:textId="77777777" w:rsidR="00A908C1" w:rsidRPr="00DE44CE" w:rsidRDefault="00A908C1" w:rsidP="00D07A4E">
      <w:pPr>
        <w:pStyle w:val="61"/>
        <w:shd w:val="clear" w:color="auto" w:fill="auto"/>
        <w:spacing w:before="120" w:line="240" w:lineRule="auto"/>
        <w:jc w:val="both"/>
        <w:rPr>
          <w:sz w:val="22"/>
          <w:szCs w:val="22"/>
        </w:rPr>
      </w:pPr>
      <w:r w:rsidRPr="00DE44CE">
        <w:rPr>
          <w:sz w:val="22"/>
          <w:szCs w:val="22"/>
        </w:rPr>
        <w:t xml:space="preserve">Subramanian, </w:t>
      </w:r>
      <w:proofErr w:type="spellStart"/>
      <w:r w:rsidRPr="00DE44CE">
        <w:rPr>
          <w:sz w:val="22"/>
          <w:szCs w:val="22"/>
        </w:rPr>
        <w:t>Nivedhitha</w:t>
      </w:r>
      <w:proofErr w:type="spellEnd"/>
      <w:r w:rsidRPr="00DE44CE">
        <w:rPr>
          <w:sz w:val="22"/>
          <w:szCs w:val="22"/>
        </w:rPr>
        <w:t xml:space="preserve">, Eliana Carranza, and Beth </w:t>
      </w:r>
      <w:proofErr w:type="spellStart"/>
      <w:r w:rsidRPr="00DE44CE">
        <w:rPr>
          <w:sz w:val="22"/>
          <w:szCs w:val="22"/>
        </w:rPr>
        <w:t>Zikronah</w:t>
      </w:r>
      <w:proofErr w:type="spellEnd"/>
      <w:r w:rsidRPr="00DE44CE">
        <w:rPr>
          <w:sz w:val="22"/>
          <w:szCs w:val="22"/>
        </w:rPr>
        <w:t xml:space="preserve"> Rosen.2018. </w:t>
      </w:r>
      <w:r w:rsidRPr="00DE44CE">
        <w:rPr>
          <w:i/>
          <w:sz w:val="22"/>
          <w:szCs w:val="22"/>
        </w:rPr>
        <w:t>Promoting female labor force participation</w:t>
      </w:r>
      <w:r w:rsidRPr="00DE44CE">
        <w:rPr>
          <w:sz w:val="22"/>
          <w:szCs w:val="22"/>
        </w:rPr>
        <w:t>. Washington D.C.: World Bank.</w:t>
      </w:r>
    </w:p>
    <w:p w14:paraId="5406FCC5" w14:textId="77777777" w:rsidR="00522908" w:rsidRPr="00DE44CE" w:rsidRDefault="00522908" w:rsidP="00D07A4E">
      <w:pPr>
        <w:pStyle w:val="61"/>
        <w:shd w:val="clear" w:color="auto" w:fill="auto"/>
        <w:spacing w:before="120" w:line="240" w:lineRule="auto"/>
        <w:jc w:val="both"/>
        <w:rPr>
          <w:sz w:val="22"/>
          <w:szCs w:val="22"/>
        </w:rPr>
      </w:pPr>
      <w:r w:rsidRPr="00DE44CE">
        <w:rPr>
          <w:sz w:val="22"/>
          <w:szCs w:val="22"/>
        </w:rPr>
        <w:t xml:space="preserve">World Bank. 2013. </w:t>
      </w:r>
      <w:r w:rsidRPr="00DE44CE">
        <w:rPr>
          <w:i/>
          <w:sz w:val="22"/>
          <w:szCs w:val="22"/>
        </w:rPr>
        <w:t>Women, Business and the Law 2014. Removing Restrictions to Enhance Gender Equality</w:t>
      </w:r>
      <w:r w:rsidRPr="00DE44CE">
        <w:rPr>
          <w:sz w:val="22"/>
          <w:szCs w:val="22"/>
        </w:rPr>
        <w:t>. World Bank, Washington D.C.: World Bank.</w:t>
      </w:r>
    </w:p>
    <w:p w14:paraId="2B1BFD8A" w14:textId="77777777" w:rsidR="00464562" w:rsidRPr="00DE44CE" w:rsidRDefault="00FD4245" w:rsidP="00D07A4E">
      <w:pPr>
        <w:pStyle w:val="61"/>
        <w:shd w:val="clear" w:color="auto" w:fill="auto"/>
        <w:spacing w:before="120" w:line="240" w:lineRule="auto"/>
        <w:jc w:val="both"/>
        <w:rPr>
          <w:sz w:val="22"/>
          <w:szCs w:val="22"/>
        </w:rPr>
      </w:pPr>
      <w:r w:rsidRPr="00DE44CE">
        <w:rPr>
          <w:sz w:val="22"/>
          <w:szCs w:val="22"/>
        </w:rPr>
        <w:t>World Bank. 2014</w:t>
      </w:r>
      <w:r w:rsidR="00BD0FD3" w:rsidRPr="00DE44CE">
        <w:rPr>
          <w:sz w:val="22"/>
          <w:szCs w:val="22"/>
        </w:rPr>
        <w:t>a</w:t>
      </w:r>
      <w:r w:rsidRPr="00DE44CE">
        <w:rPr>
          <w:sz w:val="22"/>
          <w:szCs w:val="22"/>
        </w:rPr>
        <w:t xml:space="preserve">. </w:t>
      </w:r>
      <w:r w:rsidRPr="00DE44CE">
        <w:rPr>
          <w:i/>
          <w:sz w:val="22"/>
          <w:szCs w:val="22"/>
        </w:rPr>
        <w:t>Moldova: Gender Disparities in Endowments and Access to Economic Opportunities</w:t>
      </w:r>
      <w:r w:rsidRPr="00DE44CE">
        <w:rPr>
          <w:sz w:val="22"/>
          <w:szCs w:val="22"/>
        </w:rPr>
        <w:t>. World Bank, Washington D.C.: World Bank.</w:t>
      </w:r>
    </w:p>
    <w:p w14:paraId="6BDA6727" w14:textId="77777777" w:rsidR="00BD0FD3" w:rsidRPr="00DE44CE" w:rsidRDefault="00BD0FD3" w:rsidP="00D07A4E">
      <w:pPr>
        <w:pStyle w:val="61"/>
        <w:shd w:val="clear" w:color="auto" w:fill="auto"/>
        <w:spacing w:before="120" w:line="240" w:lineRule="auto"/>
        <w:jc w:val="both"/>
        <w:rPr>
          <w:sz w:val="22"/>
          <w:szCs w:val="22"/>
        </w:rPr>
      </w:pPr>
      <w:r w:rsidRPr="00DE44CE">
        <w:rPr>
          <w:sz w:val="22"/>
          <w:szCs w:val="22"/>
        </w:rPr>
        <w:t xml:space="preserve">World Bank. 2014b. </w:t>
      </w:r>
      <w:r w:rsidRPr="00DE44CE">
        <w:rPr>
          <w:i/>
          <w:sz w:val="22"/>
          <w:szCs w:val="22"/>
        </w:rPr>
        <w:t>Informal Employment in Moldova: Characteristics and Policy Measures</w:t>
      </w:r>
      <w:r w:rsidRPr="00DE44CE">
        <w:rPr>
          <w:sz w:val="22"/>
          <w:szCs w:val="22"/>
        </w:rPr>
        <w:t>.</w:t>
      </w:r>
      <w:r w:rsidRPr="00DE44CE">
        <w:t xml:space="preserve"> </w:t>
      </w:r>
      <w:r w:rsidRPr="00DE44CE">
        <w:rPr>
          <w:sz w:val="22"/>
          <w:szCs w:val="22"/>
        </w:rPr>
        <w:t>Policy Note for the Government of Moldova prepared by O.</w:t>
      </w:r>
      <w:r w:rsidR="004C0379" w:rsidRPr="00DE44CE">
        <w:rPr>
          <w:sz w:val="22"/>
          <w:szCs w:val="22"/>
        </w:rPr>
        <w:t xml:space="preserve"> </w:t>
      </w:r>
      <w:proofErr w:type="spellStart"/>
      <w:r w:rsidRPr="00DE44CE">
        <w:rPr>
          <w:sz w:val="22"/>
          <w:szCs w:val="22"/>
        </w:rPr>
        <w:t>Kupets</w:t>
      </w:r>
      <w:proofErr w:type="spellEnd"/>
      <w:r w:rsidRPr="00DE44CE">
        <w:rPr>
          <w:sz w:val="22"/>
          <w:szCs w:val="22"/>
        </w:rPr>
        <w:t xml:space="preserve"> and A. </w:t>
      </w:r>
      <w:proofErr w:type="spellStart"/>
      <w:r w:rsidRPr="00DE44CE">
        <w:rPr>
          <w:sz w:val="22"/>
          <w:szCs w:val="22"/>
        </w:rPr>
        <w:t>Safir</w:t>
      </w:r>
      <w:proofErr w:type="spellEnd"/>
      <w:r w:rsidRPr="00DE44CE">
        <w:rPr>
          <w:sz w:val="22"/>
          <w:szCs w:val="22"/>
        </w:rPr>
        <w:t>.</w:t>
      </w:r>
    </w:p>
    <w:p w14:paraId="34B44312" w14:textId="6D4C7A3E" w:rsidR="000F649E" w:rsidRDefault="000F649E" w:rsidP="00D07A4E">
      <w:pPr>
        <w:pStyle w:val="61"/>
        <w:shd w:val="clear" w:color="auto" w:fill="auto"/>
        <w:spacing w:before="120" w:line="240" w:lineRule="auto"/>
        <w:jc w:val="both"/>
        <w:rPr>
          <w:sz w:val="22"/>
          <w:szCs w:val="22"/>
        </w:rPr>
      </w:pPr>
      <w:r w:rsidRPr="00DE44CE">
        <w:rPr>
          <w:sz w:val="22"/>
          <w:szCs w:val="22"/>
        </w:rPr>
        <w:lastRenderedPageBreak/>
        <w:t>World Bank. 2015</w:t>
      </w:r>
      <w:r w:rsidR="00983DF8">
        <w:rPr>
          <w:sz w:val="22"/>
          <w:szCs w:val="22"/>
        </w:rPr>
        <w:t>a</w:t>
      </w:r>
      <w:r w:rsidRPr="00DE44CE">
        <w:rPr>
          <w:sz w:val="22"/>
          <w:szCs w:val="22"/>
        </w:rPr>
        <w:t xml:space="preserve">. </w:t>
      </w:r>
      <w:r w:rsidRPr="00DE44CE">
        <w:rPr>
          <w:i/>
          <w:sz w:val="22"/>
          <w:szCs w:val="22"/>
        </w:rPr>
        <w:t>Why Should We Care about Care? The Role of Informal Childcare and Eldercare in Aging Societies</w:t>
      </w:r>
      <w:r w:rsidRPr="00DE44CE">
        <w:rPr>
          <w:sz w:val="22"/>
          <w:szCs w:val="22"/>
        </w:rPr>
        <w:t>. Report No: ACS13024. Washington D.C.: World Bank.</w:t>
      </w:r>
    </w:p>
    <w:p w14:paraId="13585B3F" w14:textId="3942D314" w:rsidR="00983DF8" w:rsidRPr="00DE44CE" w:rsidRDefault="00983DF8" w:rsidP="00983DF8">
      <w:pPr>
        <w:pStyle w:val="61"/>
        <w:shd w:val="clear" w:color="auto" w:fill="auto"/>
        <w:spacing w:before="120" w:line="240" w:lineRule="auto"/>
        <w:jc w:val="both"/>
        <w:rPr>
          <w:sz w:val="22"/>
          <w:szCs w:val="22"/>
        </w:rPr>
      </w:pPr>
      <w:r w:rsidRPr="00DE44CE">
        <w:rPr>
          <w:sz w:val="22"/>
          <w:szCs w:val="22"/>
        </w:rPr>
        <w:t>World Bank. 2015</w:t>
      </w:r>
      <w:r>
        <w:rPr>
          <w:sz w:val="22"/>
          <w:szCs w:val="22"/>
        </w:rPr>
        <w:t>b</w:t>
      </w:r>
      <w:r w:rsidRPr="00DE44CE">
        <w:rPr>
          <w:sz w:val="22"/>
          <w:szCs w:val="22"/>
        </w:rPr>
        <w:t xml:space="preserve">. </w:t>
      </w:r>
      <w:r w:rsidRPr="00983DF8">
        <w:rPr>
          <w:i/>
          <w:sz w:val="22"/>
          <w:szCs w:val="22"/>
        </w:rPr>
        <w:t>Maternity Leave and Women’s Labor Market Status in Kosovo: Five Key Messages</w:t>
      </w:r>
      <w:r w:rsidRPr="00DE44CE">
        <w:rPr>
          <w:sz w:val="22"/>
          <w:szCs w:val="22"/>
        </w:rPr>
        <w:t>. Washington D.C.: World Bank.</w:t>
      </w:r>
    </w:p>
    <w:p w14:paraId="027DE5C8" w14:textId="4E940880" w:rsidR="000D6173" w:rsidRDefault="000D6173" w:rsidP="00D07A4E">
      <w:pPr>
        <w:pStyle w:val="61"/>
        <w:shd w:val="clear" w:color="auto" w:fill="auto"/>
        <w:spacing w:before="120" w:line="240" w:lineRule="auto"/>
        <w:jc w:val="both"/>
        <w:rPr>
          <w:sz w:val="22"/>
          <w:szCs w:val="22"/>
        </w:rPr>
      </w:pPr>
      <w:r w:rsidRPr="00DE44CE">
        <w:rPr>
          <w:sz w:val="22"/>
          <w:szCs w:val="22"/>
        </w:rPr>
        <w:t>World Bank. 2016</w:t>
      </w:r>
      <w:r w:rsidR="008C0353">
        <w:rPr>
          <w:sz w:val="22"/>
          <w:szCs w:val="22"/>
        </w:rPr>
        <w:t>a</w:t>
      </w:r>
      <w:r w:rsidRPr="00DE44CE">
        <w:rPr>
          <w:sz w:val="22"/>
          <w:szCs w:val="22"/>
        </w:rPr>
        <w:t xml:space="preserve">. </w:t>
      </w:r>
      <w:proofErr w:type="gramStart"/>
      <w:r w:rsidR="00B21A25" w:rsidRPr="00DE44CE">
        <w:rPr>
          <w:i/>
          <w:sz w:val="22"/>
          <w:szCs w:val="22"/>
        </w:rPr>
        <w:t>From</w:t>
      </w:r>
      <w:proofErr w:type="gramEnd"/>
      <w:r w:rsidR="00B21A25" w:rsidRPr="00DE44CE">
        <w:rPr>
          <w:i/>
          <w:sz w:val="22"/>
          <w:szCs w:val="22"/>
        </w:rPr>
        <w:t xml:space="preserve"> Aspirations to Occupations</w:t>
      </w:r>
      <w:r w:rsidRPr="00DE44CE">
        <w:rPr>
          <w:i/>
          <w:sz w:val="22"/>
          <w:szCs w:val="22"/>
        </w:rPr>
        <w:t>: The Role of Information in Educational and Labor Market Decisions in Moldova</w:t>
      </w:r>
      <w:r w:rsidRPr="00DE44CE">
        <w:rPr>
          <w:sz w:val="22"/>
          <w:szCs w:val="22"/>
        </w:rPr>
        <w:t>. Washington D.C.: World Bank.</w:t>
      </w:r>
    </w:p>
    <w:p w14:paraId="5F930747" w14:textId="2E8399A8" w:rsidR="0066124A" w:rsidRPr="0066124A" w:rsidRDefault="0066124A" w:rsidP="0066124A">
      <w:pPr>
        <w:pStyle w:val="61"/>
        <w:spacing w:before="120" w:line="240" w:lineRule="auto"/>
        <w:jc w:val="both"/>
        <w:rPr>
          <w:sz w:val="22"/>
          <w:szCs w:val="22"/>
        </w:rPr>
      </w:pPr>
      <w:r w:rsidRPr="00DE44CE">
        <w:rPr>
          <w:sz w:val="22"/>
          <w:szCs w:val="22"/>
        </w:rPr>
        <w:t>World Bank. 2016</w:t>
      </w:r>
      <w:r>
        <w:rPr>
          <w:sz w:val="22"/>
          <w:szCs w:val="22"/>
        </w:rPr>
        <w:t>b</w:t>
      </w:r>
      <w:r>
        <w:t xml:space="preserve">. </w:t>
      </w:r>
      <w:r w:rsidRPr="0066124A">
        <w:rPr>
          <w:i/>
          <w:sz w:val="22"/>
          <w:szCs w:val="22"/>
        </w:rPr>
        <w:t xml:space="preserve">Paths </w:t>
      </w:r>
      <w:r>
        <w:rPr>
          <w:i/>
          <w:sz w:val="22"/>
          <w:szCs w:val="22"/>
        </w:rPr>
        <w:t>t</w:t>
      </w:r>
      <w:r w:rsidRPr="0066124A">
        <w:rPr>
          <w:i/>
          <w:sz w:val="22"/>
          <w:szCs w:val="22"/>
        </w:rPr>
        <w:t>o Sustained Prosperity</w:t>
      </w:r>
      <w:r>
        <w:rPr>
          <w:i/>
          <w:sz w:val="22"/>
          <w:szCs w:val="22"/>
        </w:rPr>
        <w:t>.</w:t>
      </w:r>
      <w:r w:rsidRPr="0066124A">
        <w:rPr>
          <w:i/>
          <w:sz w:val="22"/>
          <w:szCs w:val="22"/>
        </w:rPr>
        <w:t xml:space="preserve"> A Systematic Country Diagnostic. </w:t>
      </w:r>
      <w:r w:rsidRPr="0066124A">
        <w:rPr>
          <w:sz w:val="22"/>
          <w:szCs w:val="22"/>
        </w:rPr>
        <w:t>Report No. 107502-MD. Washington D.C.: World Bank.</w:t>
      </w:r>
    </w:p>
    <w:p w14:paraId="3E794D37" w14:textId="17F93F8F" w:rsidR="008C0353" w:rsidRPr="00DE44CE" w:rsidRDefault="008C0353" w:rsidP="008C0353">
      <w:pPr>
        <w:pStyle w:val="61"/>
        <w:spacing w:before="120" w:line="240" w:lineRule="auto"/>
        <w:jc w:val="both"/>
        <w:rPr>
          <w:sz w:val="22"/>
          <w:szCs w:val="22"/>
        </w:rPr>
      </w:pPr>
      <w:r w:rsidRPr="00DE44CE">
        <w:rPr>
          <w:sz w:val="22"/>
          <w:szCs w:val="22"/>
        </w:rPr>
        <w:t>World Bank. 2016</w:t>
      </w:r>
      <w:r w:rsidR="0066124A">
        <w:rPr>
          <w:sz w:val="22"/>
          <w:szCs w:val="22"/>
        </w:rPr>
        <w:t>c</w:t>
      </w:r>
      <w:r>
        <w:t xml:space="preserve">. </w:t>
      </w:r>
      <w:proofErr w:type="gramStart"/>
      <w:r w:rsidRPr="008C0353">
        <w:rPr>
          <w:i/>
          <w:sz w:val="22"/>
          <w:szCs w:val="22"/>
        </w:rPr>
        <w:t>A</w:t>
      </w:r>
      <w:proofErr w:type="gramEnd"/>
      <w:r w:rsidRPr="008C0353">
        <w:rPr>
          <w:i/>
          <w:sz w:val="22"/>
          <w:szCs w:val="22"/>
        </w:rPr>
        <w:t xml:space="preserve"> Jobs Diagnostic for Moldova: 10 Key Facts</w:t>
      </w:r>
      <w:r w:rsidRPr="00DE44CE">
        <w:rPr>
          <w:sz w:val="22"/>
          <w:szCs w:val="22"/>
        </w:rPr>
        <w:t xml:space="preserve">. </w:t>
      </w:r>
      <w:r>
        <w:rPr>
          <w:sz w:val="23"/>
          <w:szCs w:val="23"/>
        </w:rPr>
        <w:t xml:space="preserve">Report No. 112338-MD. </w:t>
      </w:r>
      <w:r w:rsidRPr="00DE44CE">
        <w:rPr>
          <w:sz w:val="22"/>
          <w:szCs w:val="22"/>
        </w:rPr>
        <w:t>Washington D.C.: World Bank.</w:t>
      </w:r>
    </w:p>
    <w:p w14:paraId="32E4CDC6" w14:textId="77777777" w:rsidR="007805E1" w:rsidRPr="00DE44CE" w:rsidRDefault="00FD4245" w:rsidP="008C0353">
      <w:pPr>
        <w:pStyle w:val="61"/>
        <w:shd w:val="clear" w:color="auto" w:fill="auto"/>
        <w:spacing w:before="120" w:line="240" w:lineRule="auto"/>
        <w:jc w:val="both"/>
        <w:rPr>
          <w:sz w:val="22"/>
          <w:szCs w:val="22"/>
        </w:rPr>
      </w:pPr>
      <w:r w:rsidRPr="00DE44CE">
        <w:rPr>
          <w:sz w:val="22"/>
          <w:szCs w:val="22"/>
        </w:rPr>
        <w:t xml:space="preserve">World Bank. 2017. </w:t>
      </w:r>
      <w:r w:rsidRPr="00DE44CE">
        <w:rPr>
          <w:i/>
          <w:color w:val="000000"/>
          <w:sz w:val="22"/>
          <w:szCs w:val="22"/>
        </w:rPr>
        <w:t>Moldova Country Gender Action Plan</w:t>
      </w:r>
      <w:r w:rsidRPr="00DE44CE">
        <w:rPr>
          <w:color w:val="000000"/>
          <w:sz w:val="22"/>
          <w:szCs w:val="22"/>
        </w:rPr>
        <w:t xml:space="preserve">. </w:t>
      </w:r>
      <w:r w:rsidRPr="00DE44CE">
        <w:rPr>
          <w:sz w:val="22"/>
          <w:szCs w:val="22"/>
        </w:rPr>
        <w:t>Report No: ACS21875. Washington D.C.: World Bank.</w:t>
      </w:r>
    </w:p>
    <w:p w14:paraId="0EB6ED8A" w14:textId="77777777" w:rsidR="00522908" w:rsidRPr="00DE44CE" w:rsidRDefault="00522908" w:rsidP="00D07A4E">
      <w:pPr>
        <w:pStyle w:val="61"/>
        <w:shd w:val="clear" w:color="auto" w:fill="auto"/>
        <w:spacing w:before="120" w:line="240" w:lineRule="auto"/>
        <w:jc w:val="both"/>
        <w:rPr>
          <w:sz w:val="22"/>
          <w:szCs w:val="22"/>
        </w:rPr>
      </w:pPr>
      <w:r w:rsidRPr="00DE44CE">
        <w:rPr>
          <w:sz w:val="22"/>
          <w:szCs w:val="22"/>
        </w:rPr>
        <w:t>World Economic Forum (WEF). 201</w:t>
      </w:r>
      <w:r w:rsidR="00A908C1" w:rsidRPr="00DE44CE">
        <w:rPr>
          <w:sz w:val="22"/>
          <w:szCs w:val="22"/>
        </w:rPr>
        <w:t>5</w:t>
      </w:r>
      <w:r w:rsidRPr="00DE44CE">
        <w:rPr>
          <w:sz w:val="22"/>
          <w:szCs w:val="22"/>
        </w:rPr>
        <w:t xml:space="preserve">. </w:t>
      </w:r>
      <w:r w:rsidRPr="00DE44CE">
        <w:rPr>
          <w:i/>
          <w:sz w:val="22"/>
          <w:szCs w:val="22"/>
        </w:rPr>
        <w:t>The Global Gender Gap Report 201</w:t>
      </w:r>
      <w:r w:rsidR="00A908C1" w:rsidRPr="00DE44CE">
        <w:rPr>
          <w:i/>
          <w:sz w:val="22"/>
          <w:szCs w:val="22"/>
        </w:rPr>
        <w:t>5</w:t>
      </w:r>
      <w:r w:rsidRPr="00DE44CE">
        <w:rPr>
          <w:sz w:val="22"/>
          <w:szCs w:val="22"/>
        </w:rPr>
        <w:t>. Geneva: WEF.</w:t>
      </w:r>
    </w:p>
    <w:p w14:paraId="1AC391FD" w14:textId="77777777" w:rsidR="00DB2904" w:rsidRPr="00AD37B1" w:rsidRDefault="00DB2904" w:rsidP="00D07A4E">
      <w:pPr>
        <w:pStyle w:val="61"/>
        <w:shd w:val="clear" w:color="auto" w:fill="auto"/>
        <w:spacing w:before="120" w:line="240" w:lineRule="auto"/>
        <w:jc w:val="both"/>
        <w:rPr>
          <w:color w:val="000000"/>
          <w:sz w:val="22"/>
          <w:szCs w:val="22"/>
        </w:rPr>
      </w:pPr>
      <w:r w:rsidRPr="00AD37B1">
        <w:rPr>
          <w:color w:val="000000"/>
          <w:sz w:val="22"/>
          <w:szCs w:val="22"/>
        </w:rPr>
        <w:t xml:space="preserve">United Nations, Department of Economic and Social Affairs, Population Division. 2017. </w:t>
      </w:r>
      <w:r w:rsidRPr="00AD37B1">
        <w:rPr>
          <w:i/>
          <w:color w:val="000000"/>
          <w:sz w:val="22"/>
          <w:szCs w:val="22"/>
        </w:rPr>
        <w:t>World Population Prospects: The 2017 Revision</w:t>
      </w:r>
      <w:r w:rsidRPr="00AD37B1">
        <w:rPr>
          <w:color w:val="000000"/>
          <w:sz w:val="22"/>
          <w:szCs w:val="22"/>
        </w:rPr>
        <w:t xml:space="preserve">, </w:t>
      </w:r>
      <w:r w:rsidR="00BC4D1E" w:rsidRPr="00AD37B1">
        <w:rPr>
          <w:color w:val="000000"/>
          <w:sz w:val="22"/>
          <w:szCs w:val="22"/>
        </w:rPr>
        <w:t xml:space="preserve">data </w:t>
      </w:r>
      <w:r w:rsidRPr="00AD37B1">
        <w:rPr>
          <w:color w:val="000000"/>
          <w:sz w:val="22"/>
          <w:szCs w:val="22"/>
        </w:rPr>
        <w:t>available at:</w:t>
      </w:r>
    </w:p>
    <w:p w14:paraId="5BC45BFE" w14:textId="77777777" w:rsidR="00BD0FD3" w:rsidRPr="004A792A" w:rsidRDefault="00993835" w:rsidP="00D07A4E">
      <w:pPr>
        <w:pStyle w:val="61"/>
        <w:shd w:val="clear" w:color="auto" w:fill="auto"/>
        <w:spacing w:line="240" w:lineRule="auto"/>
        <w:jc w:val="both"/>
        <w:rPr>
          <w:color w:val="000000"/>
          <w:sz w:val="22"/>
          <w:szCs w:val="22"/>
        </w:rPr>
      </w:pPr>
      <w:hyperlink r:id="rId66" w:history="1">
        <w:r w:rsidR="00DB2904" w:rsidRPr="00AD37B1">
          <w:rPr>
            <w:rStyle w:val="afb"/>
            <w:sz w:val="22"/>
            <w:szCs w:val="22"/>
          </w:rPr>
          <w:t>https://population.un.org/wpp/Download/Standard/Population</w:t>
        </w:r>
      </w:hyperlink>
      <w:r w:rsidR="00DB2904" w:rsidRPr="00AD37B1">
        <w:rPr>
          <w:color w:val="000000"/>
          <w:sz w:val="22"/>
          <w:szCs w:val="22"/>
        </w:rPr>
        <w:t>.</w:t>
      </w:r>
    </w:p>
    <w:p w14:paraId="170A0B3F" w14:textId="0716CA13" w:rsidR="0027007D" w:rsidRDefault="0027007D" w:rsidP="0027007D">
      <w:pPr>
        <w:pStyle w:val="Headingoverview"/>
        <w:rPr>
          <w:color w:val="0070C0"/>
        </w:rPr>
      </w:pPr>
      <w:bookmarkStart w:id="134" w:name="_Toc533211750"/>
      <w:r w:rsidRPr="004A792A">
        <w:rPr>
          <w:color w:val="0070C0"/>
        </w:rPr>
        <w:lastRenderedPageBreak/>
        <w:t>Annex</w:t>
      </w:r>
      <w:r w:rsidR="00831F23">
        <w:rPr>
          <w:color w:val="0070C0"/>
        </w:rPr>
        <w:t xml:space="preserve"> I. Methodological issues</w:t>
      </w:r>
      <w:bookmarkEnd w:id="134"/>
    </w:p>
    <w:p w14:paraId="1F37602B" w14:textId="4022AC8C" w:rsidR="0036157B" w:rsidRDefault="0036157B" w:rsidP="00684929">
      <w:pPr>
        <w:pStyle w:val="2"/>
        <w:numPr>
          <w:ilvl w:val="0"/>
          <w:numId w:val="0"/>
        </w:numPr>
        <w:spacing w:before="360"/>
        <w:rPr>
          <w:color w:val="0070C0"/>
          <w:sz w:val="32"/>
        </w:rPr>
      </w:pPr>
      <w:bookmarkStart w:id="135" w:name="_Toc533211751"/>
      <w:r w:rsidRPr="00684929">
        <w:rPr>
          <w:color w:val="0070C0"/>
          <w:sz w:val="32"/>
          <w:szCs w:val="32"/>
        </w:rPr>
        <w:t xml:space="preserve">Measures of </w:t>
      </w:r>
      <w:r>
        <w:rPr>
          <w:color w:val="0070C0"/>
          <w:sz w:val="32"/>
          <w:szCs w:val="32"/>
        </w:rPr>
        <w:t xml:space="preserve">occupational </w:t>
      </w:r>
      <w:r w:rsidRPr="00684929">
        <w:rPr>
          <w:color w:val="0070C0"/>
          <w:sz w:val="32"/>
          <w:szCs w:val="32"/>
        </w:rPr>
        <w:t>segregation</w:t>
      </w:r>
      <w:bookmarkEnd w:id="135"/>
    </w:p>
    <w:p w14:paraId="7BAC16D7" w14:textId="6AC5DBA9" w:rsidR="00E8177E" w:rsidRPr="004A792A" w:rsidRDefault="00E8177E" w:rsidP="00E8177E">
      <w:pPr>
        <w:pStyle w:val="61"/>
        <w:shd w:val="clear" w:color="auto" w:fill="auto"/>
        <w:spacing w:before="120" w:line="240" w:lineRule="auto"/>
        <w:jc w:val="both"/>
        <w:rPr>
          <w:color w:val="000000"/>
          <w:sz w:val="22"/>
          <w:szCs w:val="22"/>
        </w:rPr>
      </w:pPr>
      <w:r w:rsidRPr="004A792A">
        <w:rPr>
          <w:color w:val="000000"/>
          <w:sz w:val="22"/>
          <w:szCs w:val="22"/>
        </w:rPr>
        <w:t xml:space="preserve">There are many approaches to measure occupational segregation that have their advantages and disadvantages and that are appropriate for different purposes (Bridges, 2003). In </w:t>
      </w:r>
      <w:r>
        <w:rPr>
          <w:color w:val="000000"/>
          <w:sz w:val="22"/>
          <w:szCs w:val="22"/>
        </w:rPr>
        <w:t>C</w:t>
      </w:r>
      <w:r w:rsidRPr="004A792A">
        <w:rPr>
          <w:color w:val="000000"/>
          <w:sz w:val="22"/>
          <w:szCs w:val="22"/>
        </w:rPr>
        <w:t>hapter</w:t>
      </w:r>
      <w:r>
        <w:rPr>
          <w:color w:val="000000"/>
          <w:sz w:val="22"/>
          <w:szCs w:val="22"/>
        </w:rPr>
        <w:t xml:space="preserve"> 2</w:t>
      </w:r>
      <w:r w:rsidRPr="004A792A">
        <w:rPr>
          <w:color w:val="000000"/>
          <w:sz w:val="22"/>
          <w:szCs w:val="22"/>
        </w:rPr>
        <w:t xml:space="preserve"> we follow the literature in developed countries making use of the three common approaches:</w:t>
      </w:r>
    </w:p>
    <w:p w14:paraId="13F52CB8" w14:textId="77777777" w:rsidR="00E8177E" w:rsidRPr="004A792A" w:rsidRDefault="00E8177E" w:rsidP="00E8177E">
      <w:pPr>
        <w:pStyle w:val="61"/>
        <w:numPr>
          <w:ilvl w:val="0"/>
          <w:numId w:val="2"/>
        </w:numPr>
        <w:shd w:val="clear" w:color="auto" w:fill="auto"/>
        <w:spacing w:before="120" w:line="240" w:lineRule="auto"/>
        <w:ind w:left="426" w:hanging="426"/>
        <w:jc w:val="both"/>
        <w:rPr>
          <w:color w:val="000000"/>
          <w:sz w:val="22"/>
          <w:szCs w:val="22"/>
        </w:rPr>
      </w:pPr>
      <w:proofErr w:type="gramStart"/>
      <w:r w:rsidRPr="004A792A">
        <w:rPr>
          <w:color w:val="000000"/>
          <w:sz w:val="22"/>
          <w:szCs w:val="22"/>
        </w:rPr>
        <w:t>examine</w:t>
      </w:r>
      <w:proofErr w:type="gramEnd"/>
      <w:r w:rsidRPr="004A792A">
        <w:rPr>
          <w:color w:val="000000"/>
          <w:sz w:val="22"/>
          <w:szCs w:val="22"/>
        </w:rPr>
        <w:t xml:space="preserve"> </w:t>
      </w:r>
      <w:r w:rsidRPr="00684929">
        <w:rPr>
          <w:b/>
          <w:color w:val="000000"/>
          <w:sz w:val="22"/>
          <w:szCs w:val="22"/>
        </w:rPr>
        <w:t>trends in the gender composition of occupations over time, overall and with a tripartite classification of female-dominated, mixed, and male-dominated occupations</w:t>
      </w:r>
      <w:r w:rsidRPr="004A792A">
        <w:rPr>
          <w:color w:val="000000"/>
          <w:sz w:val="22"/>
          <w:szCs w:val="22"/>
        </w:rPr>
        <w:t xml:space="preserve">. We follow </w:t>
      </w:r>
      <w:proofErr w:type="spellStart"/>
      <w:r w:rsidRPr="004A792A">
        <w:rPr>
          <w:color w:val="000000"/>
          <w:sz w:val="22"/>
          <w:szCs w:val="22"/>
        </w:rPr>
        <w:t>Burchell</w:t>
      </w:r>
      <w:proofErr w:type="spellEnd"/>
      <w:r w:rsidRPr="004A792A">
        <w:rPr>
          <w:color w:val="000000"/>
          <w:sz w:val="22"/>
          <w:szCs w:val="22"/>
        </w:rPr>
        <w:t xml:space="preserve"> et al. (2014) in using the cut-off points of 40 and 60 percent in order to compare Moldova to EU</w:t>
      </w:r>
      <w:r>
        <w:rPr>
          <w:color w:val="000000"/>
          <w:sz w:val="22"/>
          <w:szCs w:val="22"/>
        </w:rPr>
        <w:t xml:space="preserve"> </w:t>
      </w:r>
      <w:r w:rsidRPr="004A792A">
        <w:rPr>
          <w:color w:val="000000"/>
          <w:sz w:val="22"/>
          <w:szCs w:val="22"/>
        </w:rPr>
        <w:t>countries. An occupation is defined as female-dominated if the average share of women employed in this occupation in 2014-2016 was 60 percent or more;</w:t>
      </w:r>
      <w:r w:rsidRPr="004A792A">
        <w:rPr>
          <w:rStyle w:val="af9"/>
          <w:color w:val="000000"/>
          <w:sz w:val="22"/>
          <w:szCs w:val="22"/>
        </w:rPr>
        <w:footnoteReference w:id="44"/>
      </w:r>
      <w:r w:rsidRPr="004A792A">
        <w:rPr>
          <w:color w:val="000000"/>
          <w:sz w:val="22"/>
          <w:szCs w:val="22"/>
        </w:rPr>
        <w:t xml:space="preserve"> an occupation is defined as male-dominated if the average share of women employed in this occupation in 2014-2016 was 40 percent or less; and remaining occupations with the female share between 40 and 60 percent are classified as mixed;</w:t>
      </w:r>
    </w:p>
    <w:p w14:paraId="3FC15700" w14:textId="77777777" w:rsidR="00E8177E" w:rsidRPr="004A792A" w:rsidRDefault="00E8177E" w:rsidP="00E8177E">
      <w:pPr>
        <w:pStyle w:val="61"/>
        <w:numPr>
          <w:ilvl w:val="0"/>
          <w:numId w:val="2"/>
        </w:numPr>
        <w:shd w:val="clear" w:color="auto" w:fill="auto"/>
        <w:spacing w:before="120" w:line="240" w:lineRule="auto"/>
        <w:ind w:left="426" w:hanging="426"/>
        <w:jc w:val="both"/>
        <w:rPr>
          <w:color w:val="000000"/>
          <w:sz w:val="22"/>
          <w:szCs w:val="22"/>
        </w:rPr>
      </w:pPr>
      <w:r w:rsidRPr="004A792A">
        <w:rPr>
          <w:color w:val="000000"/>
          <w:sz w:val="22"/>
          <w:szCs w:val="22"/>
        </w:rPr>
        <w:t xml:space="preserve">analyze trends in the most popular index of occupational segregation – </w:t>
      </w:r>
      <w:r w:rsidRPr="00684929">
        <w:rPr>
          <w:b/>
          <w:color w:val="000000"/>
          <w:sz w:val="22"/>
          <w:szCs w:val="22"/>
        </w:rPr>
        <w:t>the Index of Dissimilarity (ID) based on the methodology developed by Duncan and Duncan</w:t>
      </w:r>
      <w:r w:rsidRPr="004A792A">
        <w:rPr>
          <w:color w:val="000000"/>
          <w:sz w:val="22"/>
          <w:szCs w:val="22"/>
        </w:rPr>
        <w:t xml:space="preserve"> (1955):</w:t>
      </w:r>
    </w:p>
    <w:p w14:paraId="773371C4" w14:textId="77777777" w:rsidR="00E8177E" w:rsidRPr="004A792A" w:rsidRDefault="00E8177E" w:rsidP="00E8177E">
      <w:pPr>
        <w:pStyle w:val="61"/>
        <w:shd w:val="clear" w:color="auto" w:fill="auto"/>
        <w:spacing w:before="120" w:line="240" w:lineRule="auto"/>
        <w:ind w:left="426"/>
        <w:jc w:val="right"/>
        <w:rPr>
          <w:color w:val="000000"/>
          <w:sz w:val="22"/>
          <w:szCs w:val="22"/>
        </w:rPr>
      </w:pPr>
      <w:r w:rsidRPr="004A792A">
        <w:rPr>
          <w:color w:val="000000"/>
          <w:position w:val="-32"/>
          <w:sz w:val="22"/>
          <w:szCs w:val="22"/>
        </w:rPr>
        <w:object w:dxaOrig="2200" w:dyaOrig="780" w14:anchorId="42F9A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8.25pt" o:ole="">
            <v:imagedata r:id="rId67" o:title=""/>
          </v:shape>
          <o:OLEObject Type="Embed" ProgID="Equation.3" ShapeID="_x0000_i1025" DrawAspect="Content" ObjectID="_1606954421" r:id="rId68"/>
        </w:object>
      </w:r>
      <w:r w:rsidRPr="004A792A">
        <w:rPr>
          <w:color w:val="000000"/>
          <w:sz w:val="22"/>
          <w:szCs w:val="22"/>
        </w:rPr>
        <w:t>,</w:t>
      </w:r>
      <w:r w:rsidRPr="004A792A">
        <w:rPr>
          <w:color w:val="000000"/>
          <w:sz w:val="22"/>
          <w:szCs w:val="22"/>
        </w:rPr>
        <w:tab/>
      </w:r>
      <w:r w:rsidRPr="004A792A">
        <w:rPr>
          <w:color w:val="000000"/>
          <w:sz w:val="22"/>
          <w:szCs w:val="22"/>
        </w:rPr>
        <w:tab/>
      </w:r>
      <w:r w:rsidRPr="004A792A">
        <w:rPr>
          <w:color w:val="000000"/>
          <w:sz w:val="22"/>
          <w:szCs w:val="22"/>
        </w:rPr>
        <w:tab/>
      </w:r>
      <w:r w:rsidRPr="004A792A">
        <w:rPr>
          <w:color w:val="000000"/>
          <w:sz w:val="22"/>
          <w:szCs w:val="22"/>
        </w:rPr>
        <w:tab/>
      </w:r>
      <w:r w:rsidRPr="004A792A">
        <w:rPr>
          <w:color w:val="000000"/>
          <w:sz w:val="22"/>
          <w:szCs w:val="22"/>
        </w:rPr>
        <w:tab/>
        <w:t>(</w:t>
      </w:r>
      <w:r w:rsidRPr="004A792A">
        <w:rPr>
          <w:sz w:val="22"/>
          <w:szCs w:val="22"/>
        </w:rPr>
        <w:t>1</w:t>
      </w:r>
      <w:r w:rsidRPr="004A792A">
        <w:rPr>
          <w:color w:val="000000"/>
          <w:sz w:val="22"/>
          <w:szCs w:val="22"/>
        </w:rPr>
        <w:t>)</w:t>
      </w:r>
    </w:p>
    <w:p w14:paraId="0BA05315" w14:textId="77777777" w:rsidR="00E8177E" w:rsidRPr="004A792A" w:rsidRDefault="00E8177E" w:rsidP="00E8177E">
      <w:pPr>
        <w:pStyle w:val="61"/>
        <w:shd w:val="clear" w:color="auto" w:fill="auto"/>
        <w:spacing w:before="120" w:line="240" w:lineRule="auto"/>
        <w:ind w:left="426"/>
        <w:jc w:val="both"/>
        <w:rPr>
          <w:color w:val="000000"/>
          <w:sz w:val="22"/>
          <w:szCs w:val="22"/>
        </w:rPr>
      </w:pPr>
      <w:proofErr w:type="gramStart"/>
      <w:r w:rsidRPr="004A792A">
        <w:rPr>
          <w:color w:val="000000"/>
          <w:sz w:val="22"/>
          <w:szCs w:val="22"/>
        </w:rPr>
        <w:t>where</w:t>
      </w:r>
      <w:proofErr w:type="gramEnd"/>
      <w:r w:rsidRPr="004A792A">
        <w:rPr>
          <w:color w:val="000000"/>
          <w:sz w:val="22"/>
          <w:szCs w:val="22"/>
        </w:rPr>
        <w:t xml:space="preserve"> </w:t>
      </w:r>
      <w:r w:rsidRPr="004A792A">
        <w:rPr>
          <w:i/>
          <w:iCs/>
          <w:sz w:val="22"/>
          <w:szCs w:val="22"/>
        </w:rPr>
        <w:t>n</w:t>
      </w:r>
      <w:r w:rsidRPr="004A792A">
        <w:rPr>
          <w:color w:val="000000"/>
          <w:sz w:val="22"/>
          <w:szCs w:val="22"/>
        </w:rPr>
        <w:t xml:space="preserve"> is the number of occupations, the subscript </w:t>
      </w:r>
      <w:proofErr w:type="spellStart"/>
      <w:r w:rsidRPr="004A792A">
        <w:rPr>
          <w:i/>
          <w:color w:val="000000"/>
          <w:sz w:val="22"/>
          <w:szCs w:val="22"/>
        </w:rPr>
        <w:t>i</w:t>
      </w:r>
      <w:proofErr w:type="spellEnd"/>
      <w:r w:rsidRPr="004A792A">
        <w:rPr>
          <w:i/>
          <w:color w:val="000000"/>
          <w:sz w:val="22"/>
          <w:szCs w:val="22"/>
        </w:rPr>
        <w:t xml:space="preserve"> </w:t>
      </w:r>
      <w:r w:rsidRPr="004A792A">
        <w:rPr>
          <w:color w:val="000000"/>
          <w:sz w:val="22"/>
          <w:szCs w:val="22"/>
        </w:rPr>
        <w:t xml:space="preserve">denotes the </w:t>
      </w:r>
      <w:proofErr w:type="spellStart"/>
      <w:r w:rsidRPr="004A792A">
        <w:rPr>
          <w:i/>
          <w:color w:val="000000"/>
          <w:sz w:val="22"/>
          <w:szCs w:val="22"/>
        </w:rPr>
        <w:t>i</w:t>
      </w:r>
      <w:r w:rsidRPr="004A792A">
        <w:rPr>
          <w:color w:val="000000"/>
          <w:sz w:val="22"/>
          <w:szCs w:val="22"/>
          <w:vertAlign w:val="superscript"/>
        </w:rPr>
        <w:t>th</w:t>
      </w:r>
      <w:proofErr w:type="spellEnd"/>
      <w:r w:rsidRPr="004A792A">
        <w:rPr>
          <w:color w:val="000000"/>
          <w:sz w:val="22"/>
          <w:szCs w:val="22"/>
        </w:rPr>
        <w:t xml:space="preserve"> occupation, </w:t>
      </w:r>
      <w:r w:rsidRPr="004A792A">
        <w:rPr>
          <w:i/>
          <w:iCs/>
          <w:sz w:val="22"/>
          <w:szCs w:val="22"/>
        </w:rPr>
        <w:t>F</w:t>
      </w:r>
      <w:r w:rsidRPr="004A792A">
        <w:rPr>
          <w:i/>
          <w:iCs/>
          <w:sz w:val="22"/>
          <w:szCs w:val="22"/>
          <w:vertAlign w:val="subscript"/>
        </w:rPr>
        <w:t>i</w:t>
      </w:r>
      <w:r>
        <w:rPr>
          <w:color w:val="000000"/>
          <w:sz w:val="22"/>
          <w:szCs w:val="22"/>
          <w:vertAlign w:val="subscript"/>
        </w:rPr>
        <w:t xml:space="preserve"> </w:t>
      </w:r>
      <w:r w:rsidRPr="004A792A">
        <w:rPr>
          <w:color w:val="000000"/>
          <w:sz w:val="22"/>
          <w:szCs w:val="22"/>
        </w:rPr>
        <w:t xml:space="preserve">and </w:t>
      </w:r>
      <w:proofErr w:type="spellStart"/>
      <w:r w:rsidRPr="004A792A">
        <w:rPr>
          <w:i/>
          <w:iCs/>
          <w:sz w:val="22"/>
          <w:szCs w:val="22"/>
        </w:rPr>
        <w:t>M</w:t>
      </w:r>
      <w:r w:rsidRPr="004A792A">
        <w:rPr>
          <w:i/>
          <w:iCs/>
          <w:sz w:val="22"/>
          <w:szCs w:val="22"/>
          <w:vertAlign w:val="subscript"/>
        </w:rPr>
        <w:t>i</w:t>
      </w:r>
      <w:proofErr w:type="spellEnd"/>
      <w:r w:rsidRPr="004A792A">
        <w:rPr>
          <w:i/>
          <w:iCs/>
          <w:sz w:val="22"/>
          <w:szCs w:val="22"/>
          <w:vertAlign w:val="subscript"/>
        </w:rPr>
        <w:t xml:space="preserve"> </w:t>
      </w:r>
      <w:r w:rsidRPr="004A792A">
        <w:rPr>
          <w:iCs/>
          <w:sz w:val="22"/>
          <w:szCs w:val="22"/>
        </w:rPr>
        <w:t>are</w:t>
      </w:r>
      <w:r w:rsidRPr="004A792A">
        <w:rPr>
          <w:color w:val="000000"/>
          <w:sz w:val="22"/>
          <w:szCs w:val="22"/>
        </w:rPr>
        <w:t xml:space="preserve"> the number of female and male workers in occupation </w:t>
      </w:r>
      <w:proofErr w:type="spellStart"/>
      <w:r w:rsidRPr="004A792A">
        <w:rPr>
          <w:i/>
          <w:iCs/>
          <w:sz w:val="22"/>
          <w:szCs w:val="22"/>
        </w:rPr>
        <w:t>i</w:t>
      </w:r>
      <w:proofErr w:type="spellEnd"/>
      <w:r w:rsidRPr="004A792A">
        <w:rPr>
          <w:color w:val="000000"/>
          <w:sz w:val="22"/>
          <w:szCs w:val="22"/>
        </w:rPr>
        <w:t xml:space="preserve">, respectively, and </w:t>
      </w:r>
      <w:r w:rsidRPr="004A792A">
        <w:rPr>
          <w:i/>
          <w:iCs/>
          <w:sz w:val="22"/>
          <w:szCs w:val="22"/>
        </w:rPr>
        <w:t>F</w:t>
      </w:r>
      <w:r w:rsidRPr="004A792A">
        <w:rPr>
          <w:color w:val="000000"/>
          <w:sz w:val="22"/>
          <w:szCs w:val="22"/>
        </w:rPr>
        <w:t xml:space="preserve"> and </w:t>
      </w:r>
      <w:r w:rsidRPr="004A792A">
        <w:rPr>
          <w:i/>
          <w:iCs/>
          <w:sz w:val="22"/>
          <w:szCs w:val="22"/>
        </w:rPr>
        <w:t>M</w:t>
      </w:r>
      <w:r w:rsidRPr="004A792A">
        <w:rPr>
          <w:color w:val="000000"/>
          <w:sz w:val="22"/>
          <w:szCs w:val="22"/>
        </w:rPr>
        <w:t xml:space="preserve"> are the total number of female and male workers. This index indicates the proportion of women (men) that would need to change occupations in order to eliminate the difference in occupational distributions. The index has the values from 0 meaning completely identical employment distributions across occupations to 1 (or 100 in percentage terms) corresponding to the extreme situation of complete segregation. Like many other measures, this index of dissimilarity is sensitive to the level of categorization of occupations, with larger values of segregation for the more detailed classification of occupations. For this reason, we present the estimates of the ID for 2-</w:t>
      </w:r>
      <w:r>
        <w:rPr>
          <w:color w:val="000000"/>
          <w:sz w:val="22"/>
          <w:szCs w:val="22"/>
        </w:rPr>
        <w:t xml:space="preserve"> and 3-d</w:t>
      </w:r>
      <w:r w:rsidRPr="004A792A">
        <w:rPr>
          <w:color w:val="000000"/>
          <w:sz w:val="22"/>
          <w:szCs w:val="22"/>
        </w:rPr>
        <w:t>igit occupations. The index of dissimilarity is the most widely used measure of segregation, especially in the studies of segregation and gender inequality in the US;</w:t>
      </w:r>
    </w:p>
    <w:p w14:paraId="20A00F3E" w14:textId="77777777" w:rsidR="00E8177E" w:rsidRPr="004A792A" w:rsidRDefault="00E8177E" w:rsidP="00E8177E">
      <w:pPr>
        <w:pStyle w:val="61"/>
        <w:numPr>
          <w:ilvl w:val="0"/>
          <w:numId w:val="2"/>
        </w:numPr>
        <w:shd w:val="clear" w:color="auto" w:fill="auto"/>
        <w:spacing w:before="120" w:line="240" w:lineRule="auto"/>
        <w:ind w:left="426" w:hanging="426"/>
        <w:jc w:val="both"/>
        <w:rPr>
          <w:color w:val="000000"/>
          <w:sz w:val="22"/>
          <w:szCs w:val="22"/>
        </w:rPr>
      </w:pPr>
      <w:proofErr w:type="gramStart"/>
      <w:r w:rsidRPr="004A792A">
        <w:rPr>
          <w:color w:val="000000"/>
          <w:sz w:val="22"/>
          <w:szCs w:val="22"/>
        </w:rPr>
        <w:t>analyze</w:t>
      </w:r>
      <w:proofErr w:type="gramEnd"/>
      <w:r w:rsidRPr="004A792A">
        <w:rPr>
          <w:color w:val="000000"/>
          <w:sz w:val="22"/>
          <w:szCs w:val="22"/>
        </w:rPr>
        <w:t xml:space="preserve"> recent trends in the </w:t>
      </w:r>
      <w:proofErr w:type="spellStart"/>
      <w:r w:rsidRPr="00684929">
        <w:rPr>
          <w:b/>
          <w:color w:val="000000"/>
          <w:sz w:val="22"/>
          <w:szCs w:val="22"/>
        </w:rPr>
        <w:t>Karmel</w:t>
      </w:r>
      <w:proofErr w:type="spellEnd"/>
      <w:r w:rsidRPr="00684929">
        <w:rPr>
          <w:b/>
          <w:color w:val="000000"/>
          <w:sz w:val="22"/>
          <w:szCs w:val="22"/>
        </w:rPr>
        <w:t xml:space="preserve"> and </w:t>
      </w:r>
      <w:proofErr w:type="spellStart"/>
      <w:r w:rsidRPr="00684929">
        <w:rPr>
          <w:b/>
          <w:color w:val="000000"/>
          <w:sz w:val="22"/>
          <w:szCs w:val="22"/>
        </w:rPr>
        <w:t>MacLachlan</w:t>
      </w:r>
      <w:proofErr w:type="spellEnd"/>
      <w:r w:rsidRPr="00684929">
        <w:rPr>
          <w:b/>
          <w:color w:val="000000"/>
          <w:sz w:val="22"/>
          <w:szCs w:val="22"/>
        </w:rPr>
        <w:t xml:space="preserve"> (1988) index (IP)</w:t>
      </w:r>
      <w:r w:rsidRPr="004A792A">
        <w:rPr>
          <w:color w:val="000000"/>
          <w:sz w:val="22"/>
          <w:szCs w:val="22"/>
        </w:rPr>
        <w:t xml:space="preserve"> which is the reference index used to monitor gender equality within the European Union (EGGE, 2009). It is defined as:</w:t>
      </w:r>
    </w:p>
    <w:p w14:paraId="3775835C" w14:textId="77777777" w:rsidR="00E8177E" w:rsidRPr="004A792A" w:rsidRDefault="00E8177E" w:rsidP="00E8177E">
      <w:pPr>
        <w:pStyle w:val="61"/>
        <w:shd w:val="clear" w:color="auto" w:fill="auto"/>
        <w:spacing w:before="120" w:line="240" w:lineRule="auto"/>
        <w:ind w:left="720"/>
        <w:jc w:val="right"/>
        <w:rPr>
          <w:color w:val="000000"/>
          <w:sz w:val="22"/>
          <w:szCs w:val="22"/>
        </w:rPr>
      </w:pPr>
      <w:r w:rsidRPr="004A792A">
        <w:rPr>
          <w:color w:val="000000"/>
          <w:position w:val="-34"/>
          <w:sz w:val="22"/>
          <w:szCs w:val="22"/>
        </w:rPr>
        <w:object w:dxaOrig="3440" w:dyaOrig="820" w14:anchorId="7E7F7B5A">
          <v:shape id="_x0000_i1026" type="#_x0000_t75" style="width:171pt;height:41.25pt" o:ole="">
            <v:imagedata r:id="rId69" o:title=""/>
          </v:shape>
          <o:OLEObject Type="Embed" ProgID="Equation.3" ShapeID="_x0000_i1026" DrawAspect="Content" ObjectID="_1606954422" r:id="rId70"/>
        </w:object>
      </w:r>
      <w:r w:rsidRPr="004A792A">
        <w:rPr>
          <w:color w:val="000000"/>
          <w:sz w:val="22"/>
          <w:szCs w:val="22"/>
        </w:rPr>
        <w:t>,</w:t>
      </w:r>
      <w:r w:rsidRPr="004A792A">
        <w:rPr>
          <w:color w:val="000000"/>
          <w:sz w:val="22"/>
          <w:szCs w:val="22"/>
        </w:rPr>
        <w:tab/>
      </w:r>
      <w:r w:rsidRPr="004A792A">
        <w:rPr>
          <w:color w:val="000000"/>
          <w:sz w:val="22"/>
          <w:szCs w:val="22"/>
        </w:rPr>
        <w:tab/>
      </w:r>
      <w:r w:rsidRPr="004A792A">
        <w:rPr>
          <w:color w:val="000000"/>
          <w:sz w:val="22"/>
          <w:szCs w:val="22"/>
        </w:rPr>
        <w:tab/>
      </w:r>
      <w:r w:rsidRPr="004A792A">
        <w:rPr>
          <w:color w:val="000000"/>
          <w:sz w:val="22"/>
          <w:szCs w:val="22"/>
        </w:rPr>
        <w:tab/>
        <w:t>(</w:t>
      </w:r>
      <w:r w:rsidRPr="004A792A">
        <w:rPr>
          <w:sz w:val="22"/>
          <w:szCs w:val="22"/>
        </w:rPr>
        <w:t>2</w:t>
      </w:r>
      <w:r w:rsidRPr="004A792A">
        <w:rPr>
          <w:color w:val="000000"/>
          <w:sz w:val="22"/>
          <w:szCs w:val="22"/>
        </w:rPr>
        <w:t>)</w:t>
      </w:r>
    </w:p>
    <w:p w14:paraId="323D1EFD" w14:textId="77777777" w:rsidR="00E8177E" w:rsidRPr="004A792A" w:rsidRDefault="00E8177E" w:rsidP="00E8177E">
      <w:pPr>
        <w:pStyle w:val="61"/>
        <w:shd w:val="clear" w:color="auto" w:fill="auto"/>
        <w:spacing w:before="120" w:line="240" w:lineRule="auto"/>
        <w:ind w:left="426"/>
        <w:jc w:val="both"/>
        <w:rPr>
          <w:color w:val="000000"/>
          <w:sz w:val="22"/>
          <w:szCs w:val="22"/>
        </w:rPr>
      </w:pPr>
      <w:proofErr w:type="gramStart"/>
      <w:r w:rsidRPr="004A792A">
        <w:rPr>
          <w:color w:val="000000"/>
          <w:sz w:val="22"/>
          <w:szCs w:val="22"/>
        </w:rPr>
        <w:t>where</w:t>
      </w:r>
      <w:proofErr w:type="gramEnd"/>
      <w:r w:rsidRPr="004A792A">
        <w:rPr>
          <w:color w:val="000000"/>
          <w:sz w:val="22"/>
          <w:szCs w:val="22"/>
        </w:rPr>
        <w:t xml:space="preserve"> </w:t>
      </w:r>
      <w:r w:rsidRPr="004A792A">
        <w:rPr>
          <w:i/>
          <w:iCs/>
          <w:sz w:val="22"/>
          <w:szCs w:val="22"/>
        </w:rPr>
        <w:t>T</w:t>
      </w:r>
      <w:r w:rsidRPr="004A792A">
        <w:rPr>
          <w:color w:val="000000"/>
          <w:sz w:val="22"/>
          <w:szCs w:val="22"/>
        </w:rPr>
        <w:t xml:space="preserve"> is total employment (i.e. </w:t>
      </w:r>
      <w:r w:rsidRPr="004A792A">
        <w:rPr>
          <w:i/>
          <w:iCs/>
          <w:sz w:val="22"/>
          <w:szCs w:val="22"/>
        </w:rPr>
        <w:t>T= F + M),</w:t>
      </w:r>
      <w:r w:rsidRPr="004A792A">
        <w:rPr>
          <w:color w:val="000000"/>
          <w:sz w:val="22"/>
          <w:szCs w:val="22"/>
        </w:rPr>
        <w:t xml:space="preserve"> and the other variables are the same as defined above. The IP index ranges from 0 in the case of complete similarity to the absolute maximum of 50 percent when there are as many women as men in employment working in completely segregated occupations. The IP index can be interpreted as the share of the employed population that would have to relocate with replacement to achieve zero segregation by gender but maintaining the occupational structure and the overa</w:t>
      </w:r>
      <w:r>
        <w:rPr>
          <w:color w:val="000000"/>
          <w:sz w:val="22"/>
          <w:szCs w:val="22"/>
        </w:rPr>
        <w:t>ll gender shares of employment</w:t>
      </w:r>
      <w:r w:rsidRPr="004A792A">
        <w:rPr>
          <w:color w:val="000000"/>
          <w:sz w:val="22"/>
          <w:szCs w:val="22"/>
        </w:rPr>
        <w:t xml:space="preserve"> (EGGE, 2009).</w:t>
      </w:r>
    </w:p>
    <w:p w14:paraId="7DF88B01" w14:textId="1961B6CB" w:rsidR="00E8177E" w:rsidRDefault="00CD59B9" w:rsidP="00684929">
      <w:pPr>
        <w:pStyle w:val="a"/>
        <w:numPr>
          <w:ilvl w:val="0"/>
          <w:numId w:val="0"/>
        </w:numPr>
        <w:rPr>
          <w:rFonts w:cstheme="minorHAnsi"/>
          <w:color w:val="000000"/>
        </w:rPr>
      </w:pPr>
      <w:r>
        <w:rPr>
          <w:color w:val="000000"/>
        </w:rPr>
        <w:lastRenderedPageBreak/>
        <w:t>T</w:t>
      </w:r>
      <w:r w:rsidR="00E8177E" w:rsidRPr="004A792A">
        <w:rPr>
          <w:color w:val="000000"/>
        </w:rPr>
        <w:t xml:space="preserve">he analysis of trends in gender occupational and educational segregation </w:t>
      </w:r>
      <w:r w:rsidR="00E8177E">
        <w:rPr>
          <w:color w:val="000000"/>
        </w:rPr>
        <w:t xml:space="preserve">among </w:t>
      </w:r>
      <w:r w:rsidR="00E8177E" w:rsidRPr="004A792A">
        <w:rPr>
          <w:color w:val="000000"/>
        </w:rPr>
        <w:t xml:space="preserve">all employed persons aged 15 years and older </w:t>
      </w:r>
      <w:r>
        <w:rPr>
          <w:color w:val="000000"/>
        </w:rPr>
        <w:t xml:space="preserve">in Chapter 2 </w:t>
      </w:r>
      <w:r w:rsidR="00E8177E" w:rsidRPr="004A792A">
        <w:rPr>
          <w:color w:val="000000"/>
        </w:rPr>
        <w:t>us</w:t>
      </w:r>
      <w:r>
        <w:rPr>
          <w:color w:val="000000"/>
        </w:rPr>
        <w:t>es</w:t>
      </w:r>
      <w:r w:rsidR="00E8177E" w:rsidRPr="004A792A">
        <w:rPr>
          <w:color w:val="000000"/>
        </w:rPr>
        <w:t xml:space="preserve"> the LFS </w:t>
      </w:r>
      <w:r>
        <w:rPr>
          <w:color w:val="000000"/>
        </w:rPr>
        <w:t xml:space="preserve">individual-level </w:t>
      </w:r>
      <w:r w:rsidR="00E8177E" w:rsidRPr="004A792A">
        <w:rPr>
          <w:color w:val="000000"/>
        </w:rPr>
        <w:t>data in 2006-2016</w:t>
      </w:r>
      <w:r w:rsidR="00E8177E" w:rsidRPr="00634882">
        <w:rPr>
          <w:color w:val="000000"/>
        </w:rPr>
        <w:t>.</w:t>
      </w:r>
      <w:r w:rsidR="00E8177E" w:rsidRPr="00684929">
        <w:rPr>
          <w:rFonts w:cstheme="minorHAnsi"/>
          <w:color w:val="000000"/>
        </w:rPr>
        <w:t xml:space="preserve"> To compare occupations over time we applied a crosswalk between ISCO-88 and ISCO-0</w:t>
      </w:r>
      <w:r w:rsidR="00E8177E" w:rsidRPr="00684929">
        <w:t>8</w:t>
      </w:r>
      <w:r w:rsidR="00E8177E" w:rsidRPr="00684929">
        <w:rPr>
          <w:rFonts w:cstheme="minorHAnsi"/>
          <w:color w:val="000000"/>
        </w:rPr>
        <w:t xml:space="preserve"> 4-digit occupations developed by the NBS and adjusted by us to make one-to-one correspondence for the 2014 occupational reclassification. Hence, if not mentioned otherwise, the analysis is based on ISCO-08 occupations in 2006-2016: occupations transformed from ISCO-88 in 2006-2013, and original occupations reported by respondents in 2014-2016. To ensure data compatibility across years and to minimize reclassification error, the analysis is performed at 2-and 3-digit occupations. Individual sample weights provided in the LFS data are applied to get population-based estimates. Data refer to annual averages</w:t>
      </w:r>
      <w:r w:rsidR="00E8177E">
        <w:rPr>
          <w:rFonts w:cstheme="minorHAnsi"/>
          <w:color w:val="000000"/>
        </w:rPr>
        <w:t>.</w:t>
      </w:r>
    </w:p>
    <w:p w14:paraId="10211CB7" w14:textId="58BED905" w:rsidR="00CC5017" w:rsidRDefault="00CC5017" w:rsidP="00CC5017">
      <w:pPr>
        <w:pStyle w:val="2"/>
        <w:numPr>
          <w:ilvl w:val="0"/>
          <w:numId w:val="0"/>
        </w:numPr>
        <w:spacing w:before="360"/>
        <w:rPr>
          <w:color w:val="0070C0"/>
          <w:sz w:val="32"/>
        </w:rPr>
      </w:pPr>
      <w:bookmarkStart w:id="136" w:name="_Toc533211752"/>
      <w:r>
        <w:rPr>
          <w:color w:val="0070C0"/>
          <w:sz w:val="32"/>
          <w:szCs w:val="32"/>
        </w:rPr>
        <w:t>Construction of children-related variables based on the LFS data</w:t>
      </w:r>
      <w:bookmarkEnd w:id="136"/>
    </w:p>
    <w:p w14:paraId="615755C5" w14:textId="77777777" w:rsidR="00CC5017" w:rsidRDefault="00CC5017" w:rsidP="00684929">
      <w:pPr>
        <w:pStyle w:val="a"/>
        <w:numPr>
          <w:ilvl w:val="0"/>
          <w:numId w:val="0"/>
        </w:numPr>
        <w:rPr>
          <w:rFonts w:cs="Times New Roman"/>
          <w:color w:val="000000"/>
        </w:rPr>
      </w:pPr>
      <w:r>
        <w:t>T</w:t>
      </w:r>
      <w:r w:rsidRPr="004A792A">
        <w:t xml:space="preserve">o examine the effects of </w:t>
      </w:r>
      <w:r w:rsidRPr="004A792A">
        <w:rPr>
          <w:rFonts w:cs="Times New Roman"/>
          <w:color w:val="000000"/>
        </w:rPr>
        <w:t xml:space="preserve">children on labor </w:t>
      </w:r>
      <w:r w:rsidRPr="004A792A">
        <w:t xml:space="preserve">force participation and employment characteristics </w:t>
      </w:r>
      <w:r w:rsidRPr="004A792A">
        <w:rPr>
          <w:rFonts w:cs="Times New Roman"/>
          <w:color w:val="000000"/>
        </w:rPr>
        <w:t xml:space="preserve">of mothers </w:t>
      </w:r>
      <w:r>
        <w:rPr>
          <w:rFonts w:cs="Times New Roman"/>
          <w:color w:val="000000"/>
        </w:rPr>
        <w:t xml:space="preserve">and fathers </w:t>
      </w:r>
      <w:r w:rsidRPr="004A792A">
        <w:rPr>
          <w:rFonts w:cs="Times New Roman"/>
          <w:color w:val="000000"/>
        </w:rPr>
        <w:t>in Moldova we use the individual-level LFS data, limiting the age of individuals to 15-64 years</w:t>
      </w:r>
      <w:r>
        <w:rPr>
          <w:rFonts w:cs="Times New Roman"/>
          <w:color w:val="000000"/>
        </w:rPr>
        <w:t xml:space="preserve"> to cover working-age population according to the EU and OECD definitions</w:t>
      </w:r>
      <w:r w:rsidRPr="004A792A">
        <w:rPr>
          <w:rFonts w:cs="Times New Roman"/>
          <w:color w:val="000000"/>
        </w:rPr>
        <w:t>.</w:t>
      </w:r>
    </w:p>
    <w:p w14:paraId="32908CA3" w14:textId="77777777" w:rsidR="00CC5017" w:rsidRDefault="00CC5017" w:rsidP="00684929">
      <w:pPr>
        <w:pStyle w:val="a"/>
        <w:numPr>
          <w:ilvl w:val="0"/>
          <w:numId w:val="0"/>
        </w:numPr>
      </w:pPr>
      <w:r w:rsidRPr="004A792A">
        <w:rPr>
          <w:rFonts w:cs="Times New Roman"/>
          <w:color w:val="000000"/>
        </w:rPr>
        <w:t>We construct children-related variables – number of children and their age – from the household roster using mother’s and father’s codes attached to all household members. We use information about children under the official age of adulthood in Moldova (18 years).</w:t>
      </w:r>
      <w:r w:rsidRPr="00CC5017">
        <w:t xml:space="preserve"> </w:t>
      </w:r>
      <w:r w:rsidRPr="0067542D">
        <w:t xml:space="preserve">It should be noted that this exercise accounts only for the children living in the household. If, for example, a couple is divorced and a child lives with his/her mother, a farther living separately will be coded as </w:t>
      </w:r>
      <w:proofErr w:type="spellStart"/>
      <w:r w:rsidRPr="0067542D">
        <w:t>nonfather</w:t>
      </w:r>
      <w:proofErr w:type="spellEnd"/>
      <w:r w:rsidRPr="0067542D">
        <w:t xml:space="preserve"> (unless he has other children living in his current household).</w:t>
      </w:r>
    </w:p>
    <w:p w14:paraId="496DA979" w14:textId="6000561E" w:rsidR="00CC5017" w:rsidRDefault="00CC5017" w:rsidP="00684929">
      <w:pPr>
        <w:pStyle w:val="a"/>
        <w:numPr>
          <w:ilvl w:val="0"/>
          <w:numId w:val="0"/>
        </w:numPr>
        <w:rPr>
          <w:rFonts w:cs="Times New Roman"/>
          <w:color w:val="000000"/>
        </w:rPr>
      </w:pPr>
      <w:r w:rsidRPr="004A792A">
        <w:rPr>
          <w:rFonts w:cs="Times New Roman"/>
          <w:color w:val="000000"/>
        </w:rPr>
        <w:t xml:space="preserve">Parents of older </w:t>
      </w:r>
      <w:r>
        <w:rPr>
          <w:rFonts w:cs="Times New Roman"/>
          <w:color w:val="000000"/>
        </w:rPr>
        <w:t xml:space="preserve">(18+) </w:t>
      </w:r>
      <w:r w:rsidRPr="004A792A">
        <w:rPr>
          <w:rFonts w:cs="Times New Roman"/>
          <w:color w:val="000000"/>
        </w:rPr>
        <w:t xml:space="preserve">children living in the same household are classified as women or men not having children of the specified age. In addition to using age of the youngest child, we also compare women and men </w:t>
      </w:r>
      <w:r>
        <w:rPr>
          <w:rFonts w:cs="Times New Roman"/>
          <w:color w:val="000000"/>
        </w:rPr>
        <w:t>using</w:t>
      </w:r>
      <w:r w:rsidRPr="004A792A">
        <w:rPr>
          <w:rFonts w:cs="Times New Roman"/>
          <w:color w:val="000000"/>
        </w:rPr>
        <w:t xml:space="preserve"> the number of children of pre-school age (i.e. children in the age from 0 to 6 years) and of non-working age (i.e. children in the age from 0 to 14 years). Taking into account a small number of women with 3 and more children under 7 years in our sample, especially among the employed, we distinguish between women with no children under 7 years, 1 child, and 2 and more children under 7 years. As regards a larger sample of individuals with children under 15 years, we provide statistics for 4 categories: with no children under 15 years, with 1 child, with 2 children, and with 3 and more children under 15 years.</w:t>
      </w:r>
    </w:p>
    <w:p w14:paraId="34DF4FBA" w14:textId="7F4A8C33" w:rsidR="007511C2" w:rsidRDefault="007511C2" w:rsidP="007511C2">
      <w:pPr>
        <w:pStyle w:val="2"/>
        <w:numPr>
          <w:ilvl w:val="0"/>
          <w:numId w:val="0"/>
        </w:numPr>
        <w:spacing w:before="360"/>
        <w:rPr>
          <w:rFonts w:cs="Times New Roman"/>
          <w:color w:val="000000"/>
        </w:rPr>
      </w:pPr>
      <w:bookmarkStart w:id="137" w:name="_Toc533211753"/>
      <w:r>
        <w:rPr>
          <w:color w:val="0070C0"/>
          <w:sz w:val="32"/>
          <w:szCs w:val="32"/>
        </w:rPr>
        <w:t>Labor force participation and employment rates: with and without international migrants</w:t>
      </w:r>
      <w:bookmarkEnd w:id="137"/>
    </w:p>
    <w:p w14:paraId="76FBB85D" w14:textId="4CDA7A94" w:rsidR="007511C2" w:rsidRDefault="007511C2" w:rsidP="00684929">
      <w:pPr>
        <w:pStyle w:val="a"/>
        <w:numPr>
          <w:ilvl w:val="0"/>
          <w:numId w:val="0"/>
        </w:numPr>
      </w:pPr>
      <w:r>
        <w:t>W</w:t>
      </w:r>
      <w:r w:rsidRPr="004A792A">
        <w:t>e followed two approaches</w:t>
      </w:r>
      <w:r w:rsidRPr="007511C2">
        <w:t xml:space="preserve"> </w:t>
      </w:r>
      <w:r>
        <w:t xml:space="preserve">in the analysis of labor force participation and employment </w:t>
      </w:r>
      <w:r w:rsidRPr="004A792A">
        <w:t>rates: (1) the NBS approach that includes international migrants</w:t>
      </w:r>
      <w:r>
        <w:t>,</w:t>
      </w:r>
      <w:r w:rsidRPr="004A792A">
        <w:t xml:space="preserve"> counting them as inactive and therefore </w:t>
      </w:r>
      <w:r>
        <w:t>reducing</w:t>
      </w:r>
      <w:r w:rsidRPr="004A792A">
        <w:t xml:space="preserve"> the labor force and employment rate; and (2) </w:t>
      </w:r>
      <w:r>
        <w:t xml:space="preserve">the </w:t>
      </w:r>
      <w:r w:rsidRPr="004A792A">
        <w:t>alternative approach that excludes international migrants reported by household members from the Moldovan population.</w:t>
      </w:r>
      <w:r w:rsidRPr="004A792A">
        <w:rPr>
          <w:rStyle w:val="af9"/>
        </w:rPr>
        <w:footnoteReference w:id="45"/>
      </w:r>
    </w:p>
    <w:p w14:paraId="3B97EF0A" w14:textId="77777777" w:rsidR="007511C2" w:rsidRPr="007511C2" w:rsidRDefault="007511C2" w:rsidP="007511C2">
      <w:pPr>
        <w:pStyle w:val="a"/>
        <w:numPr>
          <w:ilvl w:val="0"/>
          <w:numId w:val="0"/>
        </w:numPr>
        <w:rPr>
          <w:rFonts w:cs="Times New Roman"/>
          <w:color w:val="000000"/>
        </w:rPr>
      </w:pPr>
      <w:r w:rsidRPr="007511C2">
        <w:rPr>
          <w:rFonts w:cs="Times New Roman"/>
          <w:color w:val="000000"/>
        </w:rPr>
        <w:t>An important question that can seriously bias the estimates for labor force participation and employment rates of women is how women on maternity and parental leave are classified – as inactive or as employed but temporarily not working (</w:t>
      </w:r>
      <w:proofErr w:type="spellStart"/>
      <w:r w:rsidRPr="007511C2">
        <w:rPr>
          <w:rFonts w:cs="Times New Roman"/>
          <w:color w:val="000000"/>
        </w:rPr>
        <w:t>Mikucka</w:t>
      </w:r>
      <w:proofErr w:type="spellEnd"/>
      <w:r w:rsidRPr="007511C2">
        <w:rPr>
          <w:rFonts w:cs="Times New Roman"/>
          <w:color w:val="000000"/>
        </w:rPr>
        <w:t xml:space="preserve"> and </w:t>
      </w:r>
      <w:proofErr w:type="spellStart"/>
      <w:r w:rsidRPr="007511C2">
        <w:rPr>
          <w:rFonts w:cs="Times New Roman"/>
          <w:color w:val="000000"/>
        </w:rPr>
        <w:t>Valentova</w:t>
      </w:r>
      <w:proofErr w:type="spellEnd"/>
      <w:r w:rsidRPr="007511C2">
        <w:rPr>
          <w:rFonts w:cs="Times New Roman"/>
          <w:color w:val="000000"/>
        </w:rPr>
        <w:t xml:space="preserve">, 2013). Based on the analysis of the LFS-2016 sample of Moldovan women with children under 3 years we find that they are predominantly classified as inactive. Out of 1,178 women with small children, only 168 women reported that they had a job or business from which they were absent during the reference week, mainly because of maternity leave (13 cases) or parental leave until a child reaches the age of 3 or 6 years (148 cases). All 13 women on maternity leave were classified as employed by the NBS. On the </w:t>
      </w:r>
      <w:r w:rsidRPr="007511C2">
        <w:rPr>
          <w:rFonts w:cs="Times New Roman"/>
          <w:color w:val="000000"/>
        </w:rPr>
        <w:lastRenderedPageBreak/>
        <w:t>contrary, the overwhelming majority of women on parental leave (142) were classified as inactive because they told that they would not return to a job within 3 months. Overall, 196 women with small children were classified as employed, but only 19 of them were temporarily not working because of maternity or parental leave.</w:t>
      </w:r>
    </w:p>
    <w:p w14:paraId="685FBB0E" w14:textId="20801D5A" w:rsidR="007511C2" w:rsidRPr="00183275" w:rsidRDefault="00183275" w:rsidP="00183275">
      <w:pPr>
        <w:pStyle w:val="2"/>
        <w:numPr>
          <w:ilvl w:val="0"/>
          <w:numId w:val="0"/>
        </w:numPr>
        <w:spacing w:before="360"/>
        <w:rPr>
          <w:color w:val="0070C0"/>
          <w:sz w:val="32"/>
          <w:szCs w:val="32"/>
        </w:rPr>
      </w:pPr>
      <w:bookmarkStart w:id="138" w:name="_Toc533211754"/>
      <w:r>
        <w:rPr>
          <w:color w:val="0070C0"/>
          <w:sz w:val="32"/>
          <w:szCs w:val="32"/>
        </w:rPr>
        <w:t>Analysis of gender pay gap: data and methodology</w:t>
      </w:r>
      <w:bookmarkEnd w:id="138"/>
    </w:p>
    <w:p w14:paraId="79A8F0EF" w14:textId="63DE3A3A" w:rsidR="00183275" w:rsidRPr="004A792A" w:rsidRDefault="00183275" w:rsidP="00183275">
      <w:pPr>
        <w:pStyle w:val="61"/>
        <w:shd w:val="clear" w:color="auto" w:fill="auto"/>
        <w:spacing w:before="120" w:line="240" w:lineRule="auto"/>
        <w:jc w:val="both"/>
        <w:rPr>
          <w:color w:val="000000"/>
          <w:sz w:val="22"/>
          <w:szCs w:val="22"/>
        </w:rPr>
      </w:pPr>
      <w:r w:rsidRPr="004A792A">
        <w:rPr>
          <w:color w:val="000000"/>
          <w:sz w:val="22"/>
          <w:szCs w:val="22"/>
        </w:rPr>
        <w:t xml:space="preserve">Following the conventional literature on gender pay gaps and using the individual-level LFS data, we focus on the analysis of net hourly earnings of employees </w:t>
      </w:r>
      <w:r>
        <w:rPr>
          <w:color w:val="000000"/>
          <w:sz w:val="22"/>
          <w:szCs w:val="22"/>
        </w:rPr>
        <w:t xml:space="preserve">(i.e. wage and salaried workers) </w:t>
      </w:r>
      <w:r w:rsidRPr="004A792A">
        <w:rPr>
          <w:color w:val="000000"/>
          <w:sz w:val="22"/>
          <w:szCs w:val="22"/>
        </w:rPr>
        <w:t>computed by dividing monthly net wages by the number of hours worked during the reference week times 4.28, i.e. assuming that the reference week is a typical week in terms of hours worked.</w:t>
      </w:r>
      <w:r>
        <w:rPr>
          <w:rStyle w:val="af9"/>
          <w:color w:val="000000"/>
          <w:sz w:val="22"/>
          <w:szCs w:val="22"/>
        </w:rPr>
        <w:footnoteReference w:id="46"/>
      </w:r>
      <w:r w:rsidRPr="004A792A">
        <w:rPr>
          <w:color w:val="000000"/>
          <w:sz w:val="22"/>
          <w:szCs w:val="22"/>
        </w:rPr>
        <w:t xml:space="preserve"> This is preferred to using monthly wages because the number of hours worked by women is often lower than that </w:t>
      </w:r>
      <w:r>
        <w:rPr>
          <w:color w:val="000000"/>
          <w:sz w:val="22"/>
          <w:szCs w:val="22"/>
        </w:rPr>
        <w:t>worked by</w:t>
      </w:r>
      <w:r w:rsidRPr="004A792A">
        <w:rPr>
          <w:color w:val="000000"/>
          <w:sz w:val="22"/>
          <w:szCs w:val="22"/>
        </w:rPr>
        <w:t xml:space="preserve"> men</w:t>
      </w:r>
      <w:r>
        <w:rPr>
          <w:color w:val="000000"/>
          <w:sz w:val="22"/>
          <w:szCs w:val="22"/>
        </w:rPr>
        <w:t xml:space="preserve"> (</w:t>
      </w:r>
      <w:r w:rsidRPr="003579C8">
        <w:rPr>
          <w:color w:val="000000"/>
          <w:sz w:val="22"/>
          <w:szCs w:val="22"/>
        </w:rPr>
        <w:fldChar w:fldCharType="begin"/>
      </w:r>
      <w:r w:rsidRPr="003579C8">
        <w:rPr>
          <w:color w:val="000000"/>
          <w:sz w:val="22"/>
          <w:szCs w:val="22"/>
        </w:rPr>
        <w:instrText xml:space="preserve"> REF _Ref519278627 \h </w:instrText>
      </w:r>
      <w:r>
        <w:rPr>
          <w:color w:val="000000"/>
          <w:sz w:val="22"/>
          <w:szCs w:val="22"/>
        </w:rPr>
        <w:instrText xml:space="preserve"> \* MERGEFORMAT </w:instrText>
      </w:r>
      <w:r w:rsidRPr="003579C8">
        <w:rPr>
          <w:color w:val="000000"/>
          <w:sz w:val="22"/>
          <w:szCs w:val="22"/>
        </w:rPr>
      </w:r>
      <w:r w:rsidRPr="003579C8">
        <w:rPr>
          <w:color w:val="000000"/>
          <w:sz w:val="22"/>
          <w:szCs w:val="22"/>
        </w:rPr>
        <w:fldChar w:fldCharType="separate"/>
      </w:r>
      <w:r w:rsidRPr="00183275">
        <w:rPr>
          <w:sz w:val="22"/>
          <w:szCs w:val="22"/>
        </w:rPr>
        <w:t xml:space="preserve">Figure </w:t>
      </w:r>
      <w:r w:rsidRPr="00183275">
        <w:rPr>
          <w:noProof/>
          <w:sz w:val="22"/>
          <w:szCs w:val="22"/>
        </w:rPr>
        <w:t>19</w:t>
      </w:r>
      <w:r w:rsidRPr="003579C8">
        <w:rPr>
          <w:color w:val="000000"/>
          <w:sz w:val="22"/>
          <w:szCs w:val="22"/>
        </w:rPr>
        <w:fldChar w:fldCharType="end"/>
      </w:r>
      <w:r>
        <w:rPr>
          <w:color w:val="000000"/>
          <w:sz w:val="22"/>
          <w:szCs w:val="22"/>
        </w:rPr>
        <w:t>)</w:t>
      </w:r>
      <w:r w:rsidRPr="004A792A">
        <w:rPr>
          <w:color w:val="000000"/>
          <w:sz w:val="22"/>
          <w:szCs w:val="22"/>
        </w:rPr>
        <w:t xml:space="preserve">, and if this difference in working hours is not taken into account the gender pay gap tends to be larger. In addition, we analyze the differences in monthly wages using a subsample of employees who </w:t>
      </w:r>
      <w:r>
        <w:rPr>
          <w:color w:val="000000"/>
          <w:sz w:val="22"/>
          <w:szCs w:val="22"/>
        </w:rPr>
        <w:t>self-</w:t>
      </w:r>
      <w:r w:rsidRPr="004A792A">
        <w:rPr>
          <w:color w:val="000000"/>
          <w:sz w:val="22"/>
          <w:szCs w:val="22"/>
        </w:rPr>
        <w:t>reported work</w:t>
      </w:r>
      <w:r>
        <w:rPr>
          <w:color w:val="000000"/>
          <w:sz w:val="22"/>
          <w:szCs w:val="22"/>
        </w:rPr>
        <w:t>ing</w:t>
      </w:r>
      <w:r w:rsidRPr="004A792A">
        <w:rPr>
          <w:color w:val="000000"/>
          <w:sz w:val="22"/>
          <w:szCs w:val="22"/>
        </w:rPr>
        <w:t xml:space="preserve"> full-time. </w:t>
      </w:r>
      <w:proofErr w:type="spellStart"/>
      <w:r w:rsidRPr="004A792A">
        <w:rPr>
          <w:color w:val="000000"/>
          <w:sz w:val="22"/>
          <w:szCs w:val="22"/>
        </w:rPr>
        <w:t>Blau</w:t>
      </w:r>
      <w:proofErr w:type="spellEnd"/>
      <w:r w:rsidRPr="004A792A">
        <w:rPr>
          <w:color w:val="000000"/>
          <w:sz w:val="22"/>
          <w:szCs w:val="22"/>
        </w:rPr>
        <w:t xml:space="preserve"> and Kahn (2017) argues that this sample restriction leads to a relatively homogeneous sample with respect to labor</w:t>
      </w:r>
      <w:r>
        <w:rPr>
          <w:color w:val="000000"/>
          <w:sz w:val="22"/>
          <w:szCs w:val="22"/>
        </w:rPr>
        <w:t xml:space="preserve"> </w:t>
      </w:r>
      <w:r w:rsidRPr="004A792A">
        <w:rPr>
          <w:color w:val="000000"/>
          <w:sz w:val="22"/>
          <w:szCs w:val="22"/>
        </w:rPr>
        <w:t>market commitment, allowing more accurate conclusions about the prices women and men face in the labor market. Hourly and monthly wages were then transformed into real wages by dividing them by monthly CPI with the base period in January 2006.</w:t>
      </w:r>
    </w:p>
    <w:p w14:paraId="613008BE" w14:textId="77777777" w:rsidR="00183275" w:rsidRPr="004A792A" w:rsidRDefault="00183275" w:rsidP="00183275">
      <w:pPr>
        <w:pStyle w:val="61"/>
        <w:shd w:val="clear" w:color="auto" w:fill="auto"/>
        <w:spacing w:before="120" w:line="240" w:lineRule="auto"/>
        <w:jc w:val="both"/>
        <w:rPr>
          <w:color w:val="000000"/>
          <w:sz w:val="22"/>
          <w:szCs w:val="22"/>
        </w:rPr>
      </w:pPr>
      <w:r w:rsidRPr="004A792A">
        <w:rPr>
          <w:color w:val="000000"/>
          <w:sz w:val="22"/>
          <w:szCs w:val="22"/>
        </w:rPr>
        <w:t xml:space="preserve">An important issue that should be </w:t>
      </w:r>
      <w:r>
        <w:rPr>
          <w:color w:val="000000"/>
          <w:sz w:val="22"/>
          <w:szCs w:val="22"/>
        </w:rPr>
        <w:t>noted</w:t>
      </w:r>
      <w:r w:rsidRPr="004A792A">
        <w:rPr>
          <w:color w:val="000000"/>
          <w:sz w:val="22"/>
          <w:szCs w:val="22"/>
        </w:rPr>
        <w:t xml:space="preserve"> when analyzing wages in post-Soviet countries based on the individual-level survey data is a large share of respondents who refuse to report their wages. The share of such observations with missing wage</w:t>
      </w:r>
      <w:r>
        <w:rPr>
          <w:color w:val="000000"/>
          <w:sz w:val="22"/>
          <w:szCs w:val="22"/>
        </w:rPr>
        <w:t>s</w:t>
      </w:r>
      <w:r w:rsidRPr="004A792A">
        <w:rPr>
          <w:color w:val="000000"/>
          <w:sz w:val="22"/>
          <w:szCs w:val="22"/>
        </w:rPr>
        <w:t xml:space="preserve"> in the total sample of full-time employees in Moldova in 2010-2016 is 18.4 percent (increasing from 14.6 percent in 2010 to 23.6 percent in 2016). If the sample of employees who refused to report wages for some reason (non-respondents) is similar to the sample of employees reporting their monthly wages (respondents) among measured attributes, findings of the analysis based on the sample of reported wages can be extended to the whole population. Otherwise, the results might be biased and therefore not valid for </w:t>
      </w:r>
      <w:r>
        <w:rPr>
          <w:color w:val="000000"/>
          <w:sz w:val="22"/>
          <w:szCs w:val="22"/>
        </w:rPr>
        <w:t xml:space="preserve">inference to </w:t>
      </w:r>
      <w:r w:rsidRPr="004A792A">
        <w:rPr>
          <w:color w:val="000000"/>
          <w:sz w:val="22"/>
          <w:szCs w:val="22"/>
        </w:rPr>
        <w:t xml:space="preserve">the whole population. Comparison of the means of key individual characteristics (age, gender, marital status, education, place and region of living) for two samples of full-time employees in Moldova in 2010-2016 reveals significant differences between the two samples: compared to </w:t>
      </w:r>
      <w:r>
        <w:rPr>
          <w:color w:val="000000"/>
          <w:sz w:val="22"/>
          <w:szCs w:val="22"/>
        </w:rPr>
        <w:t>r</w:t>
      </w:r>
      <w:r w:rsidRPr="00DA705E">
        <w:rPr>
          <w:color w:val="000000"/>
          <w:sz w:val="22"/>
          <w:szCs w:val="22"/>
        </w:rPr>
        <w:t>espondents who did not report their wages</w:t>
      </w:r>
      <w:r>
        <w:rPr>
          <w:color w:val="000000"/>
          <w:sz w:val="22"/>
          <w:szCs w:val="22"/>
        </w:rPr>
        <w:t>,</w:t>
      </w:r>
      <w:r w:rsidRPr="004A792A">
        <w:rPr>
          <w:color w:val="000000"/>
          <w:sz w:val="22"/>
          <w:szCs w:val="22"/>
        </w:rPr>
        <w:t xml:space="preserve"> employees who reported wages are on average </w:t>
      </w:r>
      <w:r>
        <w:rPr>
          <w:color w:val="000000"/>
          <w:sz w:val="22"/>
          <w:szCs w:val="22"/>
        </w:rPr>
        <w:t xml:space="preserve">a </w:t>
      </w:r>
      <w:r w:rsidRPr="004A792A">
        <w:rPr>
          <w:color w:val="000000"/>
          <w:sz w:val="22"/>
          <w:szCs w:val="22"/>
        </w:rPr>
        <w:t xml:space="preserve">little older and less educated, are more likely to be women, married, and rural workers and less likely to reside in the Chisinau municipality. The observed dissimilarity in measured characteristics among </w:t>
      </w:r>
      <w:r>
        <w:rPr>
          <w:color w:val="000000"/>
          <w:sz w:val="22"/>
          <w:szCs w:val="22"/>
        </w:rPr>
        <w:t xml:space="preserve">these two groups of employees </w:t>
      </w:r>
      <w:r w:rsidRPr="004A792A">
        <w:rPr>
          <w:color w:val="000000"/>
          <w:sz w:val="22"/>
          <w:szCs w:val="22"/>
        </w:rPr>
        <w:t xml:space="preserve">can </w:t>
      </w:r>
      <w:r>
        <w:rPr>
          <w:color w:val="000000"/>
          <w:sz w:val="22"/>
          <w:szCs w:val="22"/>
        </w:rPr>
        <w:t>indicate</w:t>
      </w:r>
      <w:r w:rsidRPr="004A792A">
        <w:rPr>
          <w:color w:val="000000"/>
          <w:sz w:val="22"/>
          <w:szCs w:val="22"/>
        </w:rPr>
        <w:t xml:space="preserve"> a bias in earnings function parameters attaching to those attributes, and therefore the results presented below should be interpreted with caution.</w:t>
      </w:r>
    </w:p>
    <w:p w14:paraId="0ACC4E0C" w14:textId="77777777" w:rsidR="00183275" w:rsidRPr="004A792A" w:rsidRDefault="00183275" w:rsidP="00183275">
      <w:pPr>
        <w:pStyle w:val="61"/>
        <w:shd w:val="clear" w:color="auto" w:fill="auto"/>
        <w:spacing w:before="120" w:line="240" w:lineRule="auto"/>
        <w:jc w:val="both"/>
        <w:rPr>
          <w:color w:val="000000"/>
          <w:sz w:val="22"/>
          <w:szCs w:val="22"/>
        </w:rPr>
      </w:pPr>
      <w:r w:rsidRPr="004A792A">
        <w:rPr>
          <w:color w:val="000000"/>
          <w:sz w:val="22"/>
          <w:szCs w:val="22"/>
        </w:rPr>
        <w:t xml:space="preserve">Although we have the LFS data </w:t>
      </w:r>
      <w:r>
        <w:rPr>
          <w:color w:val="000000"/>
          <w:sz w:val="22"/>
          <w:szCs w:val="22"/>
        </w:rPr>
        <w:t>for</w:t>
      </w:r>
      <w:r w:rsidRPr="004A792A">
        <w:rPr>
          <w:color w:val="000000"/>
          <w:sz w:val="22"/>
          <w:szCs w:val="22"/>
        </w:rPr>
        <w:t xml:space="preserve"> 2006-2016</w:t>
      </w:r>
      <w:r>
        <w:rPr>
          <w:color w:val="000000"/>
          <w:sz w:val="22"/>
          <w:szCs w:val="22"/>
        </w:rPr>
        <w:t>,</w:t>
      </w:r>
      <w:r w:rsidRPr="004A792A">
        <w:rPr>
          <w:color w:val="000000"/>
          <w:sz w:val="22"/>
          <w:szCs w:val="22"/>
        </w:rPr>
        <w:t xml:space="preserve"> </w:t>
      </w:r>
      <w:r>
        <w:rPr>
          <w:color w:val="000000"/>
          <w:sz w:val="22"/>
          <w:szCs w:val="22"/>
        </w:rPr>
        <w:t>which</w:t>
      </w:r>
      <w:r w:rsidRPr="004A792A">
        <w:rPr>
          <w:color w:val="000000"/>
          <w:sz w:val="22"/>
          <w:szCs w:val="22"/>
        </w:rPr>
        <w:t xml:space="preserve"> we used in the previous sections, the analysis of wage gaps is performed for 2010-2016. This restriction is forced by missing </w:t>
      </w:r>
      <w:r>
        <w:rPr>
          <w:color w:val="000000"/>
          <w:sz w:val="22"/>
          <w:szCs w:val="22"/>
        </w:rPr>
        <w:t xml:space="preserve">variables on </w:t>
      </w:r>
      <w:r w:rsidRPr="004A792A">
        <w:rPr>
          <w:color w:val="000000"/>
          <w:sz w:val="22"/>
          <w:szCs w:val="22"/>
        </w:rPr>
        <w:t>monthly wages in 2007 and 2008 and</w:t>
      </w:r>
      <w:r>
        <w:rPr>
          <w:color w:val="000000"/>
          <w:sz w:val="22"/>
          <w:szCs w:val="22"/>
        </w:rPr>
        <w:t xml:space="preserve"> on</w:t>
      </w:r>
      <w:r w:rsidRPr="004A792A">
        <w:rPr>
          <w:color w:val="000000"/>
          <w:sz w:val="22"/>
          <w:szCs w:val="22"/>
        </w:rPr>
        <w:t xml:space="preserve"> </w:t>
      </w:r>
      <w:r>
        <w:rPr>
          <w:color w:val="000000"/>
          <w:sz w:val="22"/>
          <w:szCs w:val="22"/>
        </w:rPr>
        <w:t xml:space="preserve">hours </w:t>
      </w:r>
      <w:r w:rsidRPr="004A792A">
        <w:rPr>
          <w:color w:val="000000"/>
          <w:sz w:val="22"/>
          <w:szCs w:val="22"/>
        </w:rPr>
        <w:t>worked during the reference week in 2009.</w:t>
      </w:r>
      <w:r>
        <w:rPr>
          <w:color w:val="000000"/>
          <w:sz w:val="22"/>
          <w:szCs w:val="22"/>
        </w:rPr>
        <w:t xml:space="preserve"> We restrict the sample to working-age employees, i.e. those aged from 15 to 64 years, to exclude possible outliers among older workers and to allow comparison with European countries. As a result of data restrictions (employees, aged 15-64 years, reporting wages and working hours), the sample used for the analysis of gender pay gap and parenthood penalty covers less than half of the initial sample of all employed individuals.</w:t>
      </w:r>
      <w:r>
        <w:rPr>
          <w:rStyle w:val="af9"/>
          <w:color w:val="000000"/>
          <w:sz w:val="22"/>
          <w:szCs w:val="22"/>
        </w:rPr>
        <w:footnoteReference w:id="47"/>
      </w:r>
    </w:p>
    <w:p w14:paraId="5ADAE0D9" w14:textId="77777777" w:rsidR="00183275" w:rsidRPr="004A792A" w:rsidRDefault="00183275" w:rsidP="00183275">
      <w:pPr>
        <w:pStyle w:val="61"/>
        <w:shd w:val="clear" w:color="auto" w:fill="auto"/>
        <w:spacing w:before="120" w:line="240" w:lineRule="auto"/>
        <w:jc w:val="both"/>
        <w:rPr>
          <w:color w:val="000000"/>
          <w:sz w:val="22"/>
          <w:szCs w:val="22"/>
        </w:rPr>
      </w:pPr>
      <w:r w:rsidRPr="004A792A">
        <w:rPr>
          <w:color w:val="000000"/>
          <w:sz w:val="22"/>
          <w:szCs w:val="22"/>
        </w:rPr>
        <w:lastRenderedPageBreak/>
        <w:t>Following the Eurostat definition of gender pay gap</w:t>
      </w:r>
      <w:r>
        <w:rPr>
          <w:color w:val="000000"/>
          <w:sz w:val="22"/>
          <w:szCs w:val="22"/>
        </w:rPr>
        <w:t xml:space="preserve"> </w:t>
      </w:r>
      <w:r w:rsidRPr="004A792A">
        <w:rPr>
          <w:vertAlign w:val="superscript"/>
        </w:rPr>
        <w:footnoteReference w:id="48"/>
      </w:r>
      <w:r w:rsidRPr="004A792A">
        <w:rPr>
          <w:color w:val="000000"/>
          <w:sz w:val="22"/>
          <w:szCs w:val="22"/>
        </w:rPr>
        <w:t xml:space="preserve"> but adapting it to the Moldovan LFS data, we define the unadjusted gender wage gap as the difference between the average net hourly/monthly wages of men and women expressed as a percentage of average net hourly/monthly wages of men. It is called unadjusted because it does not take into account different factors that might influence the gender pay gap, including education, work experience, sector, occupation</w:t>
      </w:r>
      <w:r>
        <w:rPr>
          <w:color w:val="000000"/>
          <w:sz w:val="22"/>
          <w:szCs w:val="22"/>
        </w:rPr>
        <w:t>,</w:t>
      </w:r>
      <w:r w:rsidRPr="004A792A">
        <w:rPr>
          <w:color w:val="000000"/>
          <w:sz w:val="22"/>
          <w:szCs w:val="22"/>
        </w:rPr>
        <w:t xml:space="preserve"> and other job characteristics.</w:t>
      </w:r>
    </w:p>
    <w:p w14:paraId="19F0D168" w14:textId="77777777" w:rsidR="00183275" w:rsidRPr="004A792A" w:rsidRDefault="00183275" w:rsidP="00183275">
      <w:pPr>
        <w:pStyle w:val="61"/>
        <w:shd w:val="clear" w:color="auto" w:fill="auto"/>
        <w:spacing w:before="120" w:line="240" w:lineRule="auto"/>
        <w:jc w:val="both"/>
        <w:rPr>
          <w:color w:val="000000"/>
          <w:sz w:val="22"/>
          <w:szCs w:val="22"/>
        </w:rPr>
      </w:pPr>
      <w:r w:rsidRPr="004A792A">
        <w:rPr>
          <w:color w:val="000000"/>
          <w:sz w:val="22"/>
          <w:szCs w:val="22"/>
        </w:rPr>
        <w:t xml:space="preserve">Similar to </w:t>
      </w:r>
      <w:proofErr w:type="spellStart"/>
      <w:r w:rsidRPr="004A792A">
        <w:rPr>
          <w:color w:val="000000"/>
          <w:sz w:val="22"/>
          <w:szCs w:val="22"/>
        </w:rPr>
        <w:t>Blau</w:t>
      </w:r>
      <w:proofErr w:type="spellEnd"/>
      <w:r w:rsidRPr="004A792A">
        <w:rPr>
          <w:color w:val="000000"/>
          <w:sz w:val="22"/>
          <w:szCs w:val="22"/>
        </w:rPr>
        <w:t xml:space="preserve"> and Kahn (2017), we also estimate the adjusted gap in mean hourly earnings between male and female workers in 2010 and 2016 and then apply the Binder-Oaxaca decomposition of the gap into explained and unexplained parts using two main specifications of the </w:t>
      </w:r>
      <w:proofErr w:type="spellStart"/>
      <w:r w:rsidRPr="004A792A">
        <w:rPr>
          <w:color w:val="000000"/>
          <w:sz w:val="22"/>
          <w:szCs w:val="22"/>
        </w:rPr>
        <w:t>Mincerian</w:t>
      </w:r>
      <w:proofErr w:type="spellEnd"/>
      <w:r w:rsidRPr="004A792A">
        <w:rPr>
          <w:color w:val="000000"/>
          <w:sz w:val="22"/>
          <w:szCs w:val="22"/>
        </w:rPr>
        <w:t xml:space="preserve"> wage regressions: (1) so-called human capital specification that controls for education, experience (</w:t>
      </w:r>
      <w:proofErr w:type="spellStart"/>
      <w:r w:rsidRPr="004A792A">
        <w:rPr>
          <w:color w:val="000000"/>
          <w:sz w:val="22"/>
          <w:szCs w:val="22"/>
        </w:rPr>
        <w:t>proxied</w:t>
      </w:r>
      <w:proofErr w:type="spellEnd"/>
      <w:r w:rsidRPr="004A792A">
        <w:rPr>
          <w:color w:val="000000"/>
          <w:sz w:val="22"/>
          <w:szCs w:val="22"/>
        </w:rPr>
        <w:t xml:space="preserve"> by age), region, and urban-rural area; and (2) full specification which, in addition to the above mentioned variables, includes dummies for </w:t>
      </w:r>
      <w:r w:rsidRPr="00DA705E">
        <w:rPr>
          <w:color w:val="000000"/>
          <w:sz w:val="22"/>
          <w:szCs w:val="22"/>
        </w:rPr>
        <w:t>1-digit</w:t>
      </w:r>
      <w:r w:rsidRPr="004A792A">
        <w:rPr>
          <w:color w:val="000000"/>
          <w:sz w:val="22"/>
          <w:szCs w:val="22"/>
        </w:rPr>
        <w:t xml:space="preserve"> ISCO occupation, economic activity (11 sectors), part-time employment, firm size, public sector</w:t>
      </w:r>
      <w:r>
        <w:rPr>
          <w:color w:val="000000"/>
          <w:sz w:val="22"/>
          <w:szCs w:val="22"/>
        </w:rPr>
        <w:t>,</w:t>
      </w:r>
      <w:r w:rsidRPr="004A792A">
        <w:rPr>
          <w:color w:val="000000"/>
          <w:sz w:val="22"/>
          <w:szCs w:val="22"/>
        </w:rPr>
        <w:t xml:space="preserve"> and informal employment. Unlike </w:t>
      </w:r>
      <w:proofErr w:type="spellStart"/>
      <w:r w:rsidRPr="004A792A">
        <w:rPr>
          <w:color w:val="000000"/>
          <w:sz w:val="22"/>
          <w:szCs w:val="22"/>
        </w:rPr>
        <w:t>Blau</w:t>
      </w:r>
      <w:proofErr w:type="spellEnd"/>
      <w:r w:rsidRPr="004A792A">
        <w:rPr>
          <w:color w:val="000000"/>
          <w:sz w:val="22"/>
          <w:szCs w:val="22"/>
        </w:rPr>
        <w:t xml:space="preserve"> and Kahn (2017),</w:t>
      </w:r>
      <w:r w:rsidRPr="004A792A">
        <w:rPr>
          <w:rStyle w:val="af9"/>
          <w:color w:val="000000"/>
          <w:sz w:val="22"/>
          <w:szCs w:val="22"/>
        </w:rPr>
        <w:footnoteReference w:id="49"/>
      </w:r>
      <w:r w:rsidRPr="004A792A">
        <w:rPr>
          <w:color w:val="000000"/>
          <w:sz w:val="22"/>
          <w:szCs w:val="22"/>
        </w:rPr>
        <w:t xml:space="preserve"> we also add marital status and number of children to both specifications as we are interested in the contribution of children to the explained gender wage gap.</w:t>
      </w:r>
    </w:p>
    <w:p w14:paraId="69969CB8" w14:textId="14614370" w:rsidR="00183275" w:rsidRPr="005022DC" w:rsidRDefault="005022DC" w:rsidP="005022DC">
      <w:pPr>
        <w:pStyle w:val="2"/>
        <w:numPr>
          <w:ilvl w:val="0"/>
          <w:numId w:val="0"/>
        </w:numPr>
        <w:spacing w:before="360"/>
        <w:rPr>
          <w:color w:val="0070C0"/>
          <w:sz w:val="32"/>
          <w:szCs w:val="32"/>
        </w:rPr>
      </w:pPr>
      <w:bookmarkStart w:id="139" w:name="_Toc533211755"/>
      <w:r>
        <w:rPr>
          <w:color w:val="0070C0"/>
          <w:sz w:val="32"/>
          <w:szCs w:val="32"/>
        </w:rPr>
        <w:t>Construction of the dataset for the analysis of j</w:t>
      </w:r>
      <w:r w:rsidRPr="005022DC">
        <w:rPr>
          <w:color w:val="0070C0"/>
          <w:sz w:val="32"/>
          <w:szCs w:val="32"/>
        </w:rPr>
        <w:t>ob seeker profiles</w:t>
      </w:r>
      <w:bookmarkEnd w:id="139"/>
    </w:p>
    <w:p w14:paraId="2D801307" w14:textId="77777777" w:rsidR="00A073E8" w:rsidRPr="000D5EE0" w:rsidRDefault="00A073E8" w:rsidP="00A073E8">
      <w:pPr>
        <w:spacing w:before="0" w:after="120"/>
        <w:jc w:val="both"/>
      </w:pPr>
      <w:r>
        <w:rPr>
          <w:color w:val="000000"/>
        </w:rPr>
        <w:t xml:space="preserve">To explore whether observed gender differences are shaped by different </w:t>
      </w:r>
      <w:proofErr w:type="spellStart"/>
      <w:r>
        <w:rPr>
          <w:color w:val="000000"/>
        </w:rPr>
        <w:t>labor</w:t>
      </w:r>
      <w:proofErr w:type="spellEnd"/>
      <w:r>
        <w:rPr>
          <w:color w:val="000000"/>
        </w:rPr>
        <w:t xml:space="preserve"> market aspirations and expectations, additional analysis was carried out based on information from </w:t>
      </w:r>
      <w:r w:rsidRPr="000D5EE0">
        <w:rPr>
          <w:lang w:val="en-US" w:eastAsia="en-CA"/>
        </w:rPr>
        <w:t>job seeker profiles</w:t>
      </w:r>
      <w:r>
        <w:rPr>
          <w:color w:val="000000"/>
        </w:rPr>
        <w:t xml:space="preserve"> (resumes) posted at</w:t>
      </w:r>
      <w:r w:rsidRPr="002F1BFB">
        <w:rPr>
          <w:color w:val="000000"/>
        </w:rPr>
        <w:t xml:space="preserve"> </w:t>
      </w:r>
      <w:r w:rsidRPr="00BA72D2">
        <w:rPr>
          <w:color w:val="000000"/>
        </w:rPr>
        <w:t>one of the largest online job search portal</w:t>
      </w:r>
      <w:r>
        <w:rPr>
          <w:color w:val="000000"/>
        </w:rPr>
        <w:t>s in Moldova</w:t>
      </w:r>
      <w:r w:rsidRPr="000D5EE0">
        <w:rPr>
          <w:lang w:val="en-US" w:eastAsia="en-CA"/>
        </w:rPr>
        <w:t xml:space="preserve">. </w:t>
      </w:r>
      <w:r w:rsidRPr="000D5EE0">
        <w:t>Each profile in the scraped dataset includes a number of elements, self-reported (unless specified otherwise):</w:t>
      </w:r>
    </w:p>
    <w:p w14:paraId="2566BB2D" w14:textId="77777777" w:rsidR="00A073E8" w:rsidRPr="000D5EE0" w:rsidRDefault="00A073E8" w:rsidP="00A073E8">
      <w:pPr>
        <w:pStyle w:val="a"/>
        <w:numPr>
          <w:ilvl w:val="0"/>
          <w:numId w:val="2"/>
        </w:numPr>
        <w:spacing w:before="0" w:after="120"/>
        <w:ind w:left="284" w:hanging="284"/>
      </w:pPr>
      <w:r w:rsidRPr="000D5EE0">
        <w:t>a photo and the date of profile registration (recorded by the portal);</w:t>
      </w:r>
    </w:p>
    <w:p w14:paraId="712779B2" w14:textId="77777777" w:rsidR="00A073E8" w:rsidRPr="000D5EE0" w:rsidRDefault="00A073E8" w:rsidP="00A073E8">
      <w:pPr>
        <w:pStyle w:val="a"/>
        <w:numPr>
          <w:ilvl w:val="0"/>
          <w:numId w:val="2"/>
        </w:numPr>
        <w:spacing w:before="0" w:after="120"/>
        <w:ind w:left="284" w:hanging="284"/>
      </w:pPr>
      <w:r w:rsidRPr="000D5EE0">
        <w:t>city, gender, age, the level of education, marital status (married/unmarried), presence of children (yes/no), and work experience in years and months;</w:t>
      </w:r>
    </w:p>
    <w:p w14:paraId="1274A564" w14:textId="77777777" w:rsidR="00A073E8" w:rsidRPr="000D5EE0" w:rsidRDefault="00A073E8" w:rsidP="00A073E8">
      <w:pPr>
        <w:pStyle w:val="a"/>
        <w:numPr>
          <w:ilvl w:val="0"/>
          <w:numId w:val="2"/>
        </w:numPr>
        <w:spacing w:before="0" w:after="120"/>
        <w:ind w:left="284" w:hanging="284"/>
      </w:pPr>
      <w:r w:rsidRPr="000D5EE0">
        <w:t>desired sector (based on the portal’s sector classification) and occupation (i.e. job title reported in a free manner), expected salary, the desired type of work (full-time, part-time, shift or distance work), availability for business trips, willingness to relocate to another city;</w:t>
      </w:r>
    </w:p>
    <w:p w14:paraId="1FF9AD65" w14:textId="77777777" w:rsidR="00A073E8" w:rsidRPr="000D5EE0" w:rsidRDefault="00A073E8" w:rsidP="00A073E8">
      <w:pPr>
        <w:pStyle w:val="a"/>
        <w:numPr>
          <w:ilvl w:val="0"/>
          <w:numId w:val="2"/>
        </w:numPr>
        <w:spacing w:before="0" w:after="120"/>
        <w:ind w:left="284" w:hanging="284"/>
      </w:pPr>
      <w:r w:rsidRPr="000D5EE0">
        <w:t xml:space="preserve">education history including the number of education episodes, details about the last education episode (the name of educational institution, department and the field of studies, the year of graduation), and the end year of </w:t>
      </w:r>
      <w:r w:rsidRPr="000D5EE0">
        <w:rPr>
          <w:rFonts w:ascii="Calibri" w:eastAsia="Times New Roman" w:hAnsi="Calibri" w:cs="Calibri"/>
          <w:bCs/>
          <w:color w:val="000000"/>
        </w:rPr>
        <w:t>previous education episode;</w:t>
      </w:r>
    </w:p>
    <w:p w14:paraId="487DBAC8" w14:textId="77777777" w:rsidR="00A073E8" w:rsidRPr="000D5EE0" w:rsidRDefault="00A073E8" w:rsidP="00A073E8">
      <w:pPr>
        <w:pStyle w:val="a"/>
        <w:numPr>
          <w:ilvl w:val="0"/>
          <w:numId w:val="2"/>
        </w:numPr>
        <w:spacing w:before="0" w:after="120"/>
        <w:ind w:left="284" w:hanging="284"/>
      </w:pPr>
      <w:r w:rsidRPr="000D5EE0">
        <w:rPr>
          <w:rFonts w:ascii="Calibri" w:eastAsia="Times New Roman" w:hAnsi="Calibri" w:cs="Calibri"/>
          <w:bCs/>
          <w:color w:val="000000"/>
        </w:rPr>
        <w:t xml:space="preserve">employment history </w:t>
      </w:r>
      <w:r w:rsidRPr="000D5EE0">
        <w:t>including the number of employment episodes and some details about the last employment episode (years of its beginning and end, job title and company name)</w:t>
      </w:r>
      <w:r w:rsidRPr="000D5EE0">
        <w:rPr>
          <w:rFonts w:ascii="Calibri" w:eastAsia="Times New Roman" w:hAnsi="Calibri" w:cs="Calibri"/>
          <w:bCs/>
          <w:color w:val="000000"/>
        </w:rPr>
        <w:t>;</w:t>
      </w:r>
    </w:p>
    <w:p w14:paraId="1A736240" w14:textId="77777777" w:rsidR="00A073E8" w:rsidRPr="000D5EE0" w:rsidRDefault="00A073E8" w:rsidP="00A073E8">
      <w:pPr>
        <w:pStyle w:val="a"/>
        <w:numPr>
          <w:ilvl w:val="0"/>
          <w:numId w:val="2"/>
        </w:numPr>
        <w:spacing w:before="0" w:after="120"/>
        <w:ind w:left="284" w:hanging="284"/>
      </w:pPr>
      <w:r w:rsidRPr="000D5EE0">
        <w:t xml:space="preserve">proficiency in languages, skills (reported in a free manner), </w:t>
      </w:r>
    </w:p>
    <w:p w14:paraId="578CF1B0" w14:textId="77777777" w:rsidR="00A073E8" w:rsidRPr="000D5EE0" w:rsidRDefault="00A073E8" w:rsidP="00A073E8">
      <w:pPr>
        <w:pStyle w:val="a"/>
        <w:numPr>
          <w:ilvl w:val="0"/>
          <w:numId w:val="2"/>
        </w:numPr>
        <w:spacing w:before="0" w:after="120"/>
        <w:ind w:left="284" w:hanging="284"/>
      </w:pPr>
      <w:proofErr w:type="gramStart"/>
      <w:r w:rsidRPr="000D5EE0">
        <w:t>driving</w:t>
      </w:r>
      <w:proofErr w:type="gramEnd"/>
      <w:r w:rsidRPr="000D5EE0">
        <w:t xml:space="preserve"> license and availability of a private car.</w:t>
      </w:r>
    </w:p>
    <w:p w14:paraId="5520CEDE" w14:textId="2C362DBB" w:rsidR="00A073E8" w:rsidRPr="000D5EE0" w:rsidRDefault="00A073E8" w:rsidP="00A073E8">
      <w:pPr>
        <w:spacing w:before="0" w:after="120"/>
        <w:jc w:val="both"/>
      </w:pPr>
      <w:r w:rsidRPr="000D5EE0">
        <w:rPr>
          <w:lang w:val="en-US" w:eastAsia="en-CA"/>
        </w:rPr>
        <w:t xml:space="preserve">The majority of important elements, including age, gender, </w:t>
      </w:r>
      <w:r w:rsidRPr="000D5EE0">
        <w:t>marital status of jobseekers, presence of children, educational attainment, work experience, and expected salary</w:t>
      </w:r>
      <w:r w:rsidR="008B174A">
        <w:t xml:space="preserve"> (reported either as numerical values or as “negotiable”)</w:t>
      </w:r>
      <w:r w:rsidRPr="000D5EE0">
        <w:t xml:space="preserve">, are reported by almost all job candidates, </w:t>
      </w:r>
      <w:r>
        <w:t>making</w:t>
      </w:r>
      <w:r w:rsidRPr="000D5EE0">
        <w:t xml:space="preserve"> the dataset particularly suitable for the analysis of gender issues in the Moldovan </w:t>
      </w:r>
      <w:proofErr w:type="spellStart"/>
      <w:r w:rsidRPr="000D5EE0">
        <w:t>labor</w:t>
      </w:r>
      <w:proofErr w:type="spellEnd"/>
      <w:r w:rsidRPr="000D5EE0">
        <w:t xml:space="preserve"> market.</w:t>
      </w:r>
    </w:p>
    <w:p w14:paraId="66AD03FF" w14:textId="0BC20D5C" w:rsidR="00A073E8" w:rsidRDefault="00A073E8" w:rsidP="00A073E8">
      <w:pPr>
        <w:spacing w:before="0" w:after="120"/>
        <w:jc w:val="both"/>
        <w:rPr>
          <w:lang w:val="en-US" w:eastAsia="en-CA"/>
        </w:rPr>
      </w:pPr>
      <w:r w:rsidRPr="000D5EE0">
        <w:rPr>
          <w:lang w:val="en-US" w:eastAsia="en-CA"/>
        </w:rPr>
        <w:t xml:space="preserve">According to NBS statistics (2017) based on the LFS data, unemployed job seekers in Moldova rarely register with private employment agencies or place their “job wanted” ads (0 and 7,700 out of 50,200 unemployed, respectively, in 2016), preferring to use personal connections (relatives, friends or </w:t>
      </w:r>
      <w:r w:rsidRPr="000D5EE0">
        <w:rPr>
          <w:lang w:val="en-US" w:eastAsia="en-CA"/>
        </w:rPr>
        <w:lastRenderedPageBreak/>
        <w:t xml:space="preserve">colleagues), to contact employers directly or to answer job ads. Hence, our analysis presented </w:t>
      </w:r>
      <w:proofErr w:type="gramStart"/>
      <w:r w:rsidRPr="000D5EE0">
        <w:rPr>
          <w:lang w:val="en-US" w:eastAsia="en-CA"/>
        </w:rPr>
        <w:t xml:space="preserve">in  </w:t>
      </w:r>
      <w:r w:rsidR="008B174A">
        <w:rPr>
          <w:lang w:val="en-US" w:eastAsia="en-CA"/>
        </w:rPr>
        <w:t>C</w:t>
      </w:r>
      <w:r w:rsidRPr="000D5EE0">
        <w:rPr>
          <w:lang w:val="en-US" w:eastAsia="en-CA"/>
        </w:rPr>
        <w:t>hapter</w:t>
      </w:r>
      <w:proofErr w:type="gramEnd"/>
      <w:r w:rsidRPr="000D5EE0">
        <w:rPr>
          <w:lang w:val="en-US" w:eastAsia="en-CA"/>
        </w:rPr>
        <w:t xml:space="preserve"> </w:t>
      </w:r>
      <w:r w:rsidR="008B174A">
        <w:rPr>
          <w:lang w:val="en-US" w:eastAsia="en-CA"/>
        </w:rPr>
        <w:t xml:space="preserve">5 </w:t>
      </w:r>
      <w:r w:rsidRPr="000D5EE0">
        <w:rPr>
          <w:lang w:val="en-US" w:eastAsia="en-CA"/>
        </w:rPr>
        <w:t xml:space="preserve">covers a very specific group of job seekers </w:t>
      </w:r>
      <w:r>
        <w:rPr>
          <w:lang w:val="en-US" w:eastAsia="en-CA"/>
        </w:rPr>
        <w:t>who</w:t>
      </w:r>
      <w:r w:rsidRPr="000D5EE0">
        <w:rPr>
          <w:lang w:val="en-US" w:eastAsia="en-CA"/>
        </w:rPr>
        <w:t xml:space="preserve"> have more developed digital job-seeking skills and </w:t>
      </w:r>
      <w:r>
        <w:rPr>
          <w:lang w:val="en-US" w:eastAsia="en-CA"/>
        </w:rPr>
        <w:t>who</w:t>
      </w:r>
      <w:r w:rsidRPr="000D5EE0">
        <w:rPr>
          <w:lang w:val="en-US" w:eastAsia="en-CA"/>
        </w:rPr>
        <w:t xml:space="preserve"> actively utilize online resources along with traditional personal networks and direct contacts with employers to look for and apply to jobs. </w:t>
      </w:r>
      <w:r w:rsidRPr="000D5EE0">
        <w:t xml:space="preserve">A study of US job seekers can be informative as to which populations we can expect to be overrepresented in our sample of scraped CVs: </w:t>
      </w:r>
      <w:r w:rsidRPr="000D5EE0">
        <w:rPr>
          <w:lang w:val="en-US" w:eastAsia="en-CA"/>
        </w:rPr>
        <w:t xml:space="preserve">youth, </w:t>
      </w:r>
      <w:r w:rsidRPr="000D5EE0">
        <w:rPr>
          <w:lang w:val="en-US"/>
        </w:rPr>
        <w:t xml:space="preserve">urban and suburban residents, and individuals with higher levels of income and educational attainment are more likely to engage in online job seeking behaviors than </w:t>
      </w:r>
      <w:r>
        <w:rPr>
          <w:lang w:val="en-US"/>
        </w:rPr>
        <w:t>other job seekers</w:t>
      </w:r>
      <w:r w:rsidRPr="004A792A">
        <w:rPr>
          <w:lang w:val="en-US"/>
        </w:rPr>
        <w:t xml:space="preserve"> </w:t>
      </w:r>
      <w:r w:rsidRPr="004A792A">
        <w:rPr>
          <w:lang w:val="en-US" w:eastAsia="en-CA"/>
        </w:rPr>
        <w:t>(Smith, 2015).</w:t>
      </w:r>
    </w:p>
    <w:p w14:paraId="167F3650" w14:textId="5E51EE68" w:rsidR="00A073E8" w:rsidRDefault="00A073E8" w:rsidP="00A073E8">
      <w:pPr>
        <w:spacing w:before="0" w:after="120"/>
        <w:jc w:val="both"/>
        <w:rPr>
          <w:lang w:val="en-US" w:eastAsia="en-CA"/>
        </w:rPr>
      </w:pPr>
      <w:r w:rsidRPr="004A792A">
        <w:rPr>
          <w:lang w:val="en-US" w:eastAsia="en-CA"/>
        </w:rPr>
        <w:t xml:space="preserve">The initial dataset included 34,155 resumes posted during December 2005 </w:t>
      </w:r>
      <w:r>
        <w:rPr>
          <w:lang w:val="en-US" w:eastAsia="en-CA"/>
        </w:rPr>
        <w:t>–</w:t>
      </w:r>
      <w:r w:rsidRPr="004A792A">
        <w:rPr>
          <w:lang w:val="en-US" w:eastAsia="en-CA"/>
        </w:rPr>
        <w:t xml:space="preserve"> July</w:t>
      </w:r>
      <w:r>
        <w:rPr>
          <w:lang w:val="en-US" w:eastAsia="en-CA"/>
        </w:rPr>
        <w:t xml:space="preserve"> </w:t>
      </w:r>
      <w:r w:rsidRPr="004A792A">
        <w:rPr>
          <w:lang w:val="en-US" w:eastAsia="en-CA"/>
        </w:rPr>
        <w:t>2018. In order to avoid analysis of potentially inactive resumes, on the one hand, and to reduce time costs o</w:t>
      </w:r>
      <w:r>
        <w:rPr>
          <w:lang w:val="en-US" w:eastAsia="en-CA"/>
        </w:rPr>
        <w:t>f</w:t>
      </w:r>
      <w:r w:rsidRPr="004A792A">
        <w:rPr>
          <w:lang w:val="en-US" w:eastAsia="en-CA"/>
        </w:rPr>
        <w:t xml:space="preserve"> translation and codification of occupations</w:t>
      </w:r>
      <w:r>
        <w:rPr>
          <w:lang w:val="en-US" w:eastAsia="en-CA"/>
        </w:rPr>
        <w:t xml:space="preserve"> and fields of studies</w:t>
      </w:r>
      <w:r w:rsidRPr="004A792A">
        <w:rPr>
          <w:lang w:val="en-US" w:eastAsia="en-CA"/>
        </w:rPr>
        <w:t>, on the other hand, we reduced the sample to recent resumes posted in January-June 2018 and excluded 30 profiles with unspecified gender.</w:t>
      </w:r>
    </w:p>
    <w:p w14:paraId="538E8090" w14:textId="7AB898EB" w:rsidR="008B174A" w:rsidRPr="004A792A" w:rsidRDefault="008B174A" w:rsidP="00A073E8">
      <w:pPr>
        <w:spacing w:before="0" w:after="120"/>
        <w:jc w:val="both"/>
        <w:rPr>
          <w:lang w:val="en-US" w:eastAsia="en-CA"/>
        </w:rPr>
      </w:pPr>
      <w:r w:rsidRPr="002E29DE">
        <w:rPr>
          <w:lang w:val="en-US"/>
        </w:rPr>
        <w:t xml:space="preserve">Text </w:t>
      </w:r>
      <w:r w:rsidRPr="002C08A0">
        <w:rPr>
          <w:lang w:val="en-US"/>
        </w:rPr>
        <w:t xml:space="preserve">information about occupation and education </w:t>
      </w:r>
      <w:r>
        <w:rPr>
          <w:lang w:val="en-US"/>
        </w:rPr>
        <w:t>was</w:t>
      </w:r>
      <w:r w:rsidRPr="002C08A0">
        <w:rPr>
          <w:lang w:val="en-US"/>
        </w:rPr>
        <w:t xml:space="preserve"> provided by job seekers either in Romanian or in Russian, and rarely in English (for IT professions). All occupations have been translated into</w:t>
      </w:r>
      <w:r w:rsidRPr="00BA0681">
        <w:rPr>
          <w:lang w:val="en-US"/>
        </w:rPr>
        <w:t xml:space="preserve"> English and matched with 4- or</w:t>
      </w:r>
      <w:r>
        <w:rPr>
          <w:lang w:val="en-US"/>
        </w:rPr>
        <w:t xml:space="preserve"> </w:t>
      </w:r>
      <w:r w:rsidRPr="00BA0681">
        <w:rPr>
          <w:lang w:val="en-US"/>
        </w:rPr>
        <w:t xml:space="preserve">3-digit ISCO-08 code. Fields of studies for the last education episode have been matched with 2- or 3-digit ISCED-F 2013 code. </w:t>
      </w:r>
      <w:r>
        <w:rPr>
          <w:lang w:val="en-US"/>
        </w:rPr>
        <w:t>As</w:t>
      </w:r>
      <w:r w:rsidRPr="00BA0681">
        <w:rPr>
          <w:lang w:val="en-US"/>
        </w:rPr>
        <w:t xml:space="preserve"> Stata does not recognize some letters in Cyrillic, translation and cod</w:t>
      </w:r>
      <w:r w:rsidRPr="002C08A0">
        <w:rPr>
          <w:lang w:val="en-US"/>
        </w:rPr>
        <w:t>ification has been done manually in Excel.</w:t>
      </w:r>
    </w:p>
    <w:p w14:paraId="3484BF17" w14:textId="29536B63" w:rsidR="00A073E8" w:rsidRPr="00684929" w:rsidRDefault="00A073E8" w:rsidP="00A073E8">
      <w:pPr>
        <w:pStyle w:val="a"/>
        <w:numPr>
          <w:ilvl w:val="0"/>
          <w:numId w:val="0"/>
        </w:numPr>
      </w:pPr>
      <w:r w:rsidRPr="004A792A">
        <w:rPr>
          <w:lang w:eastAsia="en-CA"/>
        </w:rPr>
        <w:t xml:space="preserve">The final sample used in our analysis contains 4,824 job seeker profiles, </w:t>
      </w:r>
      <w:r>
        <w:rPr>
          <w:lang w:eastAsia="en-CA"/>
        </w:rPr>
        <w:t xml:space="preserve">with </w:t>
      </w:r>
      <w:r w:rsidRPr="004A792A">
        <w:rPr>
          <w:rFonts w:ascii="Calibri" w:eastAsia="Times New Roman" w:hAnsi="Calibri" w:cs="Calibri"/>
          <w:color w:val="000000"/>
        </w:rPr>
        <w:t xml:space="preserve">1,949 (or 40.4 percent) </w:t>
      </w:r>
      <w:r>
        <w:rPr>
          <w:rFonts w:ascii="Calibri" w:eastAsia="Times New Roman" w:hAnsi="Calibri" w:cs="Calibri"/>
          <w:color w:val="000000"/>
        </w:rPr>
        <w:t xml:space="preserve">profiles from </w:t>
      </w:r>
      <w:r w:rsidRPr="004A792A">
        <w:rPr>
          <w:rFonts w:ascii="Calibri" w:eastAsia="Times New Roman" w:hAnsi="Calibri" w:cs="Calibri"/>
          <w:color w:val="000000"/>
        </w:rPr>
        <w:t>female applicants. Over 26 percent of resumes from female applicants and about 25 percent of resumes from male applicants are recent relative to the time of the scraping exercise</w:t>
      </w:r>
      <w:r>
        <w:rPr>
          <w:rFonts w:ascii="Calibri" w:eastAsia="Times New Roman" w:hAnsi="Calibri" w:cs="Calibri"/>
          <w:color w:val="000000"/>
        </w:rPr>
        <w:t xml:space="preserve"> (</w:t>
      </w:r>
      <w:r w:rsidRPr="004A792A">
        <w:rPr>
          <w:rFonts w:ascii="Calibri" w:eastAsia="Times New Roman" w:hAnsi="Calibri" w:cs="Calibri"/>
          <w:color w:val="000000"/>
        </w:rPr>
        <w:t>posted in June or early July</w:t>
      </w:r>
      <w:r>
        <w:rPr>
          <w:rFonts w:ascii="Calibri" w:eastAsia="Times New Roman" w:hAnsi="Calibri" w:cs="Calibri"/>
          <w:color w:val="000000"/>
        </w:rPr>
        <w:t>)</w:t>
      </w:r>
      <w:r w:rsidRPr="004A792A">
        <w:rPr>
          <w:rFonts w:ascii="Calibri" w:eastAsia="Times New Roman" w:hAnsi="Calibri" w:cs="Calibri"/>
          <w:color w:val="000000"/>
        </w:rPr>
        <w:t>. The remaining resumes have been posted in January-May without notable seasonal variations. Checking links to randomly selected resumes from our dataset shows that some links bec</w:t>
      </w:r>
      <w:r>
        <w:rPr>
          <w:rFonts w:ascii="Calibri" w:eastAsia="Times New Roman" w:hAnsi="Calibri" w:cs="Calibri"/>
          <w:color w:val="000000"/>
        </w:rPr>
        <w:t>a</w:t>
      </w:r>
      <w:r w:rsidRPr="004A792A">
        <w:rPr>
          <w:rFonts w:ascii="Calibri" w:eastAsia="Times New Roman" w:hAnsi="Calibri" w:cs="Calibri"/>
          <w:color w:val="000000"/>
        </w:rPr>
        <w:t xml:space="preserve">me unavailable </w:t>
      </w:r>
      <w:r>
        <w:rPr>
          <w:rFonts w:ascii="Calibri" w:eastAsia="Times New Roman" w:hAnsi="Calibri" w:cs="Calibri"/>
          <w:color w:val="000000"/>
        </w:rPr>
        <w:t xml:space="preserve">a month later </w:t>
      </w:r>
      <w:r w:rsidRPr="004A792A">
        <w:rPr>
          <w:rFonts w:ascii="Calibri" w:eastAsia="Times New Roman" w:hAnsi="Calibri" w:cs="Calibri"/>
          <w:color w:val="000000"/>
        </w:rPr>
        <w:t>meaning that either job seekers or a job portal moderator removed</w:t>
      </w:r>
      <w:r>
        <w:rPr>
          <w:rFonts w:ascii="Calibri" w:eastAsia="Times New Roman" w:hAnsi="Calibri" w:cs="Calibri"/>
          <w:color w:val="000000"/>
        </w:rPr>
        <w:t xml:space="preserve"> these</w:t>
      </w:r>
      <w:r w:rsidRPr="004A792A">
        <w:rPr>
          <w:rFonts w:ascii="Calibri" w:eastAsia="Times New Roman" w:hAnsi="Calibri" w:cs="Calibri"/>
          <w:color w:val="000000"/>
        </w:rPr>
        <w:t xml:space="preserve"> resumes from the job portal.</w:t>
      </w:r>
      <w:r w:rsidRPr="004A792A">
        <w:rPr>
          <w:rStyle w:val="af9"/>
          <w:rFonts w:ascii="Calibri" w:eastAsia="Times New Roman" w:hAnsi="Calibri" w:cs="Calibri"/>
          <w:color w:val="000000"/>
        </w:rPr>
        <w:footnoteReference w:id="50"/>
      </w:r>
    </w:p>
    <w:p w14:paraId="3D292803" w14:textId="44B25D98" w:rsidR="00831F23" w:rsidRPr="00831F23" w:rsidRDefault="00831F23" w:rsidP="00831F23">
      <w:pPr>
        <w:pStyle w:val="Headingoverview"/>
        <w:rPr>
          <w:color w:val="0070C0"/>
        </w:rPr>
      </w:pPr>
      <w:bookmarkStart w:id="140" w:name="_Toc533211756"/>
      <w:r w:rsidRPr="004A792A">
        <w:rPr>
          <w:color w:val="0070C0"/>
        </w:rPr>
        <w:lastRenderedPageBreak/>
        <w:t>Annex</w:t>
      </w:r>
      <w:r>
        <w:rPr>
          <w:color w:val="0070C0"/>
        </w:rPr>
        <w:t xml:space="preserve"> II. Additional tables</w:t>
      </w:r>
      <w:bookmarkEnd w:id="140"/>
    </w:p>
    <w:p w14:paraId="775E3FE8" w14:textId="49C56B1A" w:rsidR="00075733" w:rsidRDefault="00C83333" w:rsidP="004D7AFF">
      <w:pPr>
        <w:pStyle w:val="ad"/>
        <w:jc w:val="left"/>
        <w:rPr>
          <w:lang w:val="en-US"/>
        </w:rPr>
      </w:pPr>
      <w:bookmarkStart w:id="141" w:name="_Ref521603620"/>
      <w:bookmarkStart w:id="142" w:name="_Ref533171613"/>
      <w:r>
        <w:t>Table A-</w:t>
      </w:r>
      <w:r>
        <w:fldChar w:fldCharType="begin"/>
      </w:r>
      <w:r>
        <w:instrText xml:space="preserve"> SEQ Table_A- \* ARABIC </w:instrText>
      </w:r>
      <w:r>
        <w:fldChar w:fldCharType="separate"/>
      </w:r>
      <w:r w:rsidR="001F6FDC">
        <w:rPr>
          <w:noProof/>
        </w:rPr>
        <w:t>1</w:t>
      </w:r>
      <w:r>
        <w:fldChar w:fldCharType="end"/>
      </w:r>
      <w:bookmarkEnd w:id="141"/>
      <w:bookmarkEnd w:id="142"/>
      <w:r w:rsidR="00075733" w:rsidRPr="004A792A">
        <w:rPr>
          <w:lang w:val="en-US"/>
        </w:rPr>
        <w:t xml:space="preserve">: </w:t>
      </w:r>
      <w:r w:rsidR="00075733">
        <w:rPr>
          <w:lang w:val="en-US"/>
        </w:rPr>
        <w:t xml:space="preserve">Female share in STEM occupations </w:t>
      </w:r>
      <w:r w:rsidR="00075733" w:rsidRPr="004A792A">
        <w:rPr>
          <w:lang w:val="en-US"/>
        </w:rPr>
        <w:t xml:space="preserve">in </w:t>
      </w:r>
      <w:r w:rsidR="00075733">
        <w:rPr>
          <w:lang w:val="en-US"/>
        </w:rPr>
        <w:t xml:space="preserve">Moldova, </w:t>
      </w:r>
      <w:r w:rsidR="00075733" w:rsidRPr="004A792A">
        <w:rPr>
          <w:lang w:val="en-US"/>
        </w:rPr>
        <w:t xml:space="preserve">Ukraine, </w:t>
      </w:r>
      <w:r w:rsidR="00075733">
        <w:rPr>
          <w:lang w:val="en-US"/>
        </w:rPr>
        <w:t xml:space="preserve">and EU, </w:t>
      </w:r>
      <w:r w:rsidR="00075733" w:rsidRPr="004A792A">
        <w:rPr>
          <w:lang w:val="en-US"/>
        </w:rPr>
        <w:t>2010 and 2013</w:t>
      </w:r>
    </w:p>
    <w:tbl>
      <w:tblPr>
        <w:tblW w:w="7736" w:type="dxa"/>
        <w:tblLook w:val="04A0" w:firstRow="1" w:lastRow="0" w:firstColumn="1" w:lastColumn="0" w:noHBand="0" w:noVBand="1"/>
      </w:tblPr>
      <w:tblGrid>
        <w:gridCol w:w="3870"/>
        <w:gridCol w:w="939"/>
        <w:gridCol w:w="1007"/>
        <w:gridCol w:w="960"/>
        <w:gridCol w:w="960"/>
      </w:tblGrid>
      <w:tr w:rsidR="00CF65BD" w:rsidRPr="00CF65BD" w14:paraId="03E02EC0" w14:textId="77777777" w:rsidTr="0067542D">
        <w:trPr>
          <w:trHeight w:val="290"/>
        </w:trPr>
        <w:tc>
          <w:tcPr>
            <w:tcW w:w="3870" w:type="dxa"/>
            <w:tcBorders>
              <w:top w:val="single" w:sz="4" w:space="0" w:color="auto"/>
              <w:left w:val="nil"/>
              <w:bottom w:val="single" w:sz="4" w:space="0" w:color="auto"/>
              <w:right w:val="nil"/>
            </w:tcBorders>
            <w:shd w:val="clear" w:color="auto" w:fill="auto"/>
            <w:noWrap/>
            <w:vAlign w:val="bottom"/>
            <w:hideMark/>
          </w:tcPr>
          <w:p w14:paraId="75C6A72E" w14:textId="77777777" w:rsidR="00CF65BD" w:rsidRPr="00A91B3D" w:rsidRDefault="00CF65BD" w:rsidP="00CF65BD">
            <w:pPr>
              <w:spacing w:before="0"/>
              <w:rPr>
                <w:rFonts w:eastAsia="Times New Roman" w:cstheme="minorHAnsi"/>
                <w:b/>
                <w:sz w:val="20"/>
                <w:szCs w:val="20"/>
                <w:lang w:val="en-US"/>
              </w:rPr>
            </w:pPr>
            <w:r w:rsidRPr="00A91B3D">
              <w:rPr>
                <w:rFonts w:eastAsia="Times New Roman" w:cstheme="minorHAnsi"/>
                <w:b/>
                <w:sz w:val="20"/>
                <w:szCs w:val="20"/>
                <w:lang w:val="en-US"/>
              </w:rPr>
              <w:t>2-digit occupation (ISCO-88)</w:t>
            </w:r>
          </w:p>
        </w:tc>
        <w:tc>
          <w:tcPr>
            <w:tcW w:w="939" w:type="dxa"/>
            <w:tcBorders>
              <w:top w:val="single" w:sz="4" w:space="0" w:color="auto"/>
              <w:left w:val="nil"/>
              <w:bottom w:val="single" w:sz="4" w:space="0" w:color="auto"/>
              <w:right w:val="nil"/>
            </w:tcBorders>
            <w:shd w:val="clear" w:color="auto" w:fill="auto"/>
            <w:noWrap/>
            <w:vAlign w:val="bottom"/>
            <w:hideMark/>
          </w:tcPr>
          <w:p w14:paraId="6108924F" w14:textId="77777777" w:rsidR="00CF65BD" w:rsidRPr="00A91B3D" w:rsidRDefault="00CF65BD" w:rsidP="00CF65BD">
            <w:pPr>
              <w:spacing w:before="0"/>
              <w:jc w:val="center"/>
              <w:rPr>
                <w:rFonts w:eastAsia="Times New Roman" w:cstheme="minorHAnsi"/>
                <w:b/>
                <w:sz w:val="20"/>
                <w:szCs w:val="20"/>
                <w:lang w:val="en-US"/>
              </w:rPr>
            </w:pPr>
            <w:r w:rsidRPr="00A91B3D">
              <w:rPr>
                <w:rFonts w:eastAsia="Times New Roman" w:cstheme="minorHAnsi"/>
                <w:b/>
                <w:sz w:val="20"/>
                <w:szCs w:val="20"/>
                <w:lang w:val="en-US"/>
              </w:rPr>
              <w:t>Year</w:t>
            </w:r>
          </w:p>
        </w:tc>
        <w:tc>
          <w:tcPr>
            <w:tcW w:w="1007" w:type="dxa"/>
            <w:tcBorders>
              <w:top w:val="single" w:sz="4" w:space="0" w:color="auto"/>
              <w:left w:val="nil"/>
              <w:bottom w:val="single" w:sz="4" w:space="0" w:color="auto"/>
              <w:right w:val="nil"/>
            </w:tcBorders>
            <w:shd w:val="clear" w:color="auto" w:fill="auto"/>
            <w:noWrap/>
            <w:vAlign w:val="bottom"/>
            <w:hideMark/>
          </w:tcPr>
          <w:p w14:paraId="20E1D19E" w14:textId="77777777" w:rsidR="00CF65BD" w:rsidRPr="00A91B3D" w:rsidRDefault="00CF65BD" w:rsidP="00CF65BD">
            <w:pPr>
              <w:spacing w:before="0"/>
              <w:jc w:val="center"/>
              <w:rPr>
                <w:rFonts w:eastAsia="Times New Roman" w:cstheme="minorHAnsi"/>
                <w:b/>
                <w:color w:val="000000"/>
                <w:sz w:val="20"/>
                <w:szCs w:val="20"/>
                <w:lang w:val="en-US"/>
              </w:rPr>
            </w:pPr>
            <w:r w:rsidRPr="00A91B3D">
              <w:rPr>
                <w:rFonts w:eastAsia="Times New Roman" w:cstheme="minorHAnsi"/>
                <w:b/>
                <w:color w:val="000000"/>
                <w:sz w:val="20"/>
                <w:szCs w:val="20"/>
                <w:lang w:val="en-US"/>
              </w:rPr>
              <w:t>Moldova</w:t>
            </w:r>
          </w:p>
        </w:tc>
        <w:tc>
          <w:tcPr>
            <w:tcW w:w="960" w:type="dxa"/>
            <w:tcBorders>
              <w:top w:val="single" w:sz="4" w:space="0" w:color="auto"/>
              <w:left w:val="nil"/>
              <w:bottom w:val="single" w:sz="4" w:space="0" w:color="auto"/>
              <w:right w:val="nil"/>
            </w:tcBorders>
            <w:shd w:val="clear" w:color="auto" w:fill="auto"/>
            <w:noWrap/>
            <w:vAlign w:val="bottom"/>
            <w:hideMark/>
          </w:tcPr>
          <w:p w14:paraId="123369FA" w14:textId="77777777" w:rsidR="00CF65BD" w:rsidRPr="00A91B3D" w:rsidRDefault="00CF65BD" w:rsidP="00CF65BD">
            <w:pPr>
              <w:spacing w:before="0"/>
              <w:jc w:val="center"/>
              <w:rPr>
                <w:rFonts w:eastAsia="Times New Roman" w:cstheme="minorHAnsi"/>
                <w:b/>
                <w:color w:val="000000"/>
                <w:sz w:val="20"/>
                <w:szCs w:val="20"/>
                <w:lang w:val="en-US"/>
              </w:rPr>
            </w:pPr>
            <w:r w:rsidRPr="00A91B3D">
              <w:rPr>
                <w:rFonts w:eastAsia="Times New Roman" w:cstheme="minorHAnsi"/>
                <w:b/>
                <w:color w:val="000000"/>
                <w:sz w:val="20"/>
                <w:szCs w:val="20"/>
                <w:lang w:val="en-US"/>
              </w:rPr>
              <w:t>Ukraine</w:t>
            </w:r>
          </w:p>
        </w:tc>
        <w:tc>
          <w:tcPr>
            <w:tcW w:w="960" w:type="dxa"/>
            <w:tcBorders>
              <w:top w:val="single" w:sz="4" w:space="0" w:color="auto"/>
              <w:left w:val="nil"/>
              <w:bottom w:val="single" w:sz="4" w:space="0" w:color="auto"/>
              <w:right w:val="nil"/>
            </w:tcBorders>
            <w:shd w:val="clear" w:color="auto" w:fill="auto"/>
            <w:noWrap/>
            <w:vAlign w:val="bottom"/>
            <w:hideMark/>
          </w:tcPr>
          <w:p w14:paraId="59754B8C" w14:textId="77777777" w:rsidR="00CF65BD" w:rsidRPr="00A91B3D" w:rsidRDefault="00CF65BD" w:rsidP="00CF65BD">
            <w:pPr>
              <w:spacing w:before="0"/>
              <w:jc w:val="center"/>
              <w:rPr>
                <w:rFonts w:eastAsia="Times New Roman" w:cstheme="minorHAnsi"/>
                <w:b/>
                <w:color w:val="000000"/>
                <w:sz w:val="20"/>
                <w:szCs w:val="20"/>
                <w:lang w:val="en-US"/>
              </w:rPr>
            </w:pPr>
            <w:r w:rsidRPr="00A91B3D">
              <w:rPr>
                <w:rFonts w:eastAsia="Times New Roman" w:cstheme="minorHAnsi"/>
                <w:b/>
                <w:color w:val="000000"/>
                <w:sz w:val="20"/>
                <w:szCs w:val="20"/>
                <w:lang w:val="en-US"/>
              </w:rPr>
              <w:t>EU-26</w:t>
            </w:r>
          </w:p>
        </w:tc>
      </w:tr>
      <w:tr w:rsidR="00CF65BD" w:rsidRPr="00CF65BD" w14:paraId="106AD4C9" w14:textId="77777777" w:rsidTr="0067542D">
        <w:trPr>
          <w:trHeight w:val="290"/>
        </w:trPr>
        <w:tc>
          <w:tcPr>
            <w:tcW w:w="3870" w:type="dxa"/>
            <w:vMerge w:val="restart"/>
            <w:tcBorders>
              <w:top w:val="single" w:sz="4" w:space="0" w:color="auto"/>
              <w:left w:val="nil"/>
              <w:right w:val="nil"/>
            </w:tcBorders>
            <w:shd w:val="clear" w:color="auto" w:fill="auto"/>
            <w:noWrap/>
            <w:hideMark/>
          </w:tcPr>
          <w:p w14:paraId="4A6E3D03" w14:textId="77777777" w:rsidR="00CF65BD" w:rsidRPr="00CF65BD" w:rsidRDefault="00CF65BD" w:rsidP="0067542D">
            <w:pPr>
              <w:spacing w:before="0"/>
              <w:rPr>
                <w:rFonts w:eastAsia="Times New Roman" w:cstheme="minorHAnsi"/>
                <w:color w:val="000000"/>
                <w:sz w:val="20"/>
                <w:szCs w:val="20"/>
                <w:lang w:val="en-US"/>
              </w:rPr>
            </w:pPr>
            <w:r w:rsidRPr="00CF65BD">
              <w:rPr>
                <w:rFonts w:eastAsia="Times New Roman" w:cstheme="minorHAnsi"/>
                <w:color w:val="000000"/>
                <w:sz w:val="20"/>
                <w:szCs w:val="20"/>
                <w:lang w:val="en-US"/>
              </w:rPr>
              <w:t>21. Engineering and computing professionals</w:t>
            </w:r>
          </w:p>
        </w:tc>
        <w:tc>
          <w:tcPr>
            <w:tcW w:w="939" w:type="dxa"/>
            <w:tcBorders>
              <w:top w:val="single" w:sz="4" w:space="0" w:color="auto"/>
              <w:left w:val="nil"/>
              <w:bottom w:val="nil"/>
              <w:right w:val="nil"/>
            </w:tcBorders>
            <w:shd w:val="clear" w:color="auto" w:fill="auto"/>
            <w:noWrap/>
            <w:hideMark/>
          </w:tcPr>
          <w:p w14:paraId="02277DF3"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2010</w:t>
            </w:r>
          </w:p>
        </w:tc>
        <w:tc>
          <w:tcPr>
            <w:tcW w:w="1007" w:type="dxa"/>
            <w:tcBorders>
              <w:top w:val="single" w:sz="4" w:space="0" w:color="auto"/>
              <w:left w:val="nil"/>
              <w:bottom w:val="nil"/>
              <w:right w:val="nil"/>
            </w:tcBorders>
            <w:shd w:val="clear" w:color="auto" w:fill="auto"/>
            <w:noWrap/>
            <w:hideMark/>
          </w:tcPr>
          <w:p w14:paraId="40178F4C"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27.9</w:t>
            </w:r>
          </w:p>
        </w:tc>
        <w:tc>
          <w:tcPr>
            <w:tcW w:w="960" w:type="dxa"/>
            <w:tcBorders>
              <w:top w:val="single" w:sz="4" w:space="0" w:color="auto"/>
              <w:left w:val="nil"/>
              <w:bottom w:val="nil"/>
              <w:right w:val="nil"/>
            </w:tcBorders>
            <w:shd w:val="clear" w:color="auto" w:fill="auto"/>
            <w:noWrap/>
            <w:hideMark/>
          </w:tcPr>
          <w:p w14:paraId="62E11D0B"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28.3</w:t>
            </w:r>
          </w:p>
        </w:tc>
        <w:tc>
          <w:tcPr>
            <w:tcW w:w="960" w:type="dxa"/>
            <w:tcBorders>
              <w:top w:val="single" w:sz="4" w:space="0" w:color="auto"/>
              <w:left w:val="nil"/>
              <w:bottom w:val="nil"/>
              <w:right w:val="nil"/>
            </w:tcBorders>
            <w:shd w:val="clear" w:color="auto" w:fill="auto"/>
            <w:noWrap/>
            <w:hideMark/>
          </w:tcPr>
          <w:p w14:paraId="712415F2"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18.3</w:t>
            </w:r>
          </w:p>
        </w:tc>
      </w:tr>
      <w:tr w:rsidR="00CF65BD" w:rsidRPr="00CF65BD" w14:paraId="09BC697D" w14:textId="77777777" w:rsidTr="0067542D">
        <w:trPr>
          <w:trHeight w:val="290"/>
        </w:trPr>
        <w:tc>
          <w:tcPr>
            <w:tcW w:w="3870" w:type="dxa"/>
            <w:vMerge/>
            <w:tcBorders>
              <w:left w:val="nil"/>
              <w:bottom w:val="nil"/>
              <w:right w:val="nil"/>
            </w:tcBorders>
            <w:shd w:val="clear" w:color="auto" w:fill="auto"/>
            <w:noWrap/>
            <w:hideMark/>
          </w:tcPr>
          <w:p w14:paraId="6D71DDD6" w14:textId="77777777" w:rsidR="00CF65BD" w:rsidRPr="00CF65BD" w:rsidRDefault="00CF65BD" w:rsidP="0067542D">
            <w:pPr>
              <w:spacing w:before="0"/>
              <w:rPr>
                <w:rFonts w:eastAsia="Times New Roman" w:cstheme="minorHAnsi"/>
                <w:color w:val="000000"/>
                <w:sz w:val="20"/>
                <w:szCs w:val="20"/>
                <w:lang w:val="en-US"/>
              </w:rPr>
            </w:pPr>
          </w:p>
        </w:tc>
        <w:tc>
          <w:tcPr>
            <w:tcW w:w="939" w:type="dxa"/>
            <w:tcBorders>
              <w:top w:val="nil"/>
              <w:left w:val="nil"/>
              <w:bottom w:val="nil"/>
              <w:right w:val="nil"/>
            </w:tcBorders>
            <w:shd w:val="clear" w:color="auto" w:fill="auto"/>
            <w:noWrap/>
            <w:hideMark/>
          </w:tcPr>
          <w:p w14:paraId="44584B22"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2013</w:t>
            </w:r>
          </w:p>
        </w:tc>
        <w:tc>
          <w:tcPr>
            <w:tcW w:w="1007" w:type="dxa"/>
            <w:tcBorders>
              <w:top w:val="nil"/>
              <w:left w:val="nil"/>
              <w:bottom w:val="nil"/>
              <w:right w:val="nil"/>
            </w:tcBorders>
            <w:shd w:val="clear" w:color="auto" w:fill="auto"/>
            <w:noWrap/>
            <w:hideMark/>
          </w:tcPr>
          <w:p w14:paraId="0A4742E1"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21.3</w:t>
            </w:r>
          </w:p>
        </w:tc>
        <w:tc>
          <w:tcPr>
            <w:tcW w:w="960" w:type="dxa"/>
            <w:tcBorders>
              <w:top w:val="nil"/>
              <w:left w:val="nil"/>
              <w:bottom w:val="nil"/>
              <w:right w:val="nil"/>
            </w:tcBorders>
            <w:shd w:val="clear" w:color="auto" w:fill="auto"/>
            <w:noWrap/>
            <w:hideMark/>
          </w:tcPr>
          <w:p w14:paraId="6ADD57F3"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22.7</w:t>
            </w:r>
          </w:p>
        </w:tc>
        <w:tc>
          <w:tcPr>
            <w:tcW w:w="960" w:type="dxa"/>
            <w:tcBorders>
              <w:top w:val="nil"/>
              <w:left w:val="nil"/>
              <w:bottom w:val="nil"/>
              <w:right w:val="nil"/>
            </w:tcBorders>
            <w:shd w:val="clear" w:color="auto" w:fill="auto"/>
            <w:noWrap/>
            <w:hideMark/>
          </w:tcPr>
          <w:p w14:paraId="4883F78B" w14:textId="77777777" w:rsidR="00CF65BD" w:rsidRPr="00CF65BD" w:rsidRDefault="00CF65BD" w:rsidP="0067542D">
            <w:pPr>
              <w:spacing w:before="0"/>
              <w:jc w:val="center"/>
              <w:rPr>
                <w:rFonts w:eastAsia="Times New Roman" w:cstheme="minorHAnsi"/>
                <w:color w:val="000000"/>
                <w:sz w:val="20"/>
                <w:szCs w:val="20"/>
                <w:lang w:val="en-US"/>
              </w:rPr>
            </w:pPr>
            <w:proofErr w:type="spellStart"/>
            <w:r>
              <w:rPr>
                <w:rFonts w:eastAsia="Times New Roman" w:cstheme="minorHAnsi"/>
                <w:color w:val="000000"/>
                <w:sz w:val="20"/>
                <w:szCs w:val="20"/>
                <w:lang w:val="en-US"/>
              </w:rPr>
              <w:t>n.a</w:t>
            </w:r>
            <w:proofErr w:type="spellEnd"/>
            <w:r>
              <w:rPr>
                <w:rFonts w:eastAsia="Times New Roman" w:cstheme="minorHAnsi"/>
                <w:color w:val="000000"/>
                <w:sz w:val="20"/>
                <w:szCs w:val="20"/>
                <w:lang w:val="en-US"/>
              </w:rPr>
              <w:t>.</w:t>
            </w:r>
          </w:p>
        </w:tc>
      </w:tr>
      <w:tr w:rsidR="00CF65BD" w:rsidRPr="00CF65BD" w14:paraId="6CA6B1F3" w14:textId="77777777" w:rsidTr="0067542D">
        <w:trPr>
          <w:trHeight w:val="290"/>
        </w:trPr>
        <w:tc>
          <w:tcPr>
            <w:tcW w:w="3870" w:type="dxa"/>
            <w:vMerge w:val="restart"/>
            <w:tcBorders>
              <w:top w:val="nil"/>
              <w:left w:val="nil"/>
              <w:right w:val="nil"/>
            </w:tcBorders>
            <w:shd w:val="clear" w:color="auto" w:fill="auto"/>
            <w:noWrap/>
            <w:hideMark/>
          </w:tcPr>
          <w:p w14:paraId="1C2799A8" w14:textId="77777777" w:rsidR="00CF65BD" w:rsidRPr="00CF65BD" w:rsidRDefault="00CF65BD" w:rsidP="0067542D">
            <w:pPr>
              <w:spacing w:before="0"/>
              <w:rPr>
                <w:rFonts w:eastAsia="Times New Roman" w:cstheme="minorHAnsi"/>
                <w:color w:val="000000"/>
                <w:sz w:val="20"/>
                <w:szCs w:val="20"/>
                <w:lang w:val="en-US"/>
              </w:rPr>
            </w:pPr>
            <w:r w:rsidRPr="00CF65BD">
              <w:rPr>
                <w:rFonts w:eastAsia="Times New Roman" w:cstheme="minorHAnsi"/>
                <w:color w:val="000000"/>
                <w:sz w:val="20"/>
                <w:szCs w:val="20"/>
                <w:lang w:val="en-US"/>
              </w:rPr>
              <w:t>31. Engineering and computing technicians</w:t>
            </w:r>
          </w:p>
        </w:tc>
        <w:tc>
          <w:tcPr>
            <w:tcW w:w="939" w:type="dxa"/>
            <w:tcBorders>
              <w:top w:val="nil"/>
              <w:left w:val="nil"/>
              <w:right w:val="nil"/>
            </w:tcBorders>
            <w:shd w:val="clear" w:color="auto" w:fill="auto"/>
            <w:noWrap/>
            <w:hideMark/>
          </w:tcPr>
          <w:p w14:paraId="363E932E"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2010</w:t>
            </w:r>
          </w:p>
        </w:tc>
        <w:tc>
          <w:tcPr>
            <w:tcW w:w="1007" w:type="dxa"/>
            <w:tcBorders>
              <w:top w:val="nil"/>
              <w:left w:val="nil"/>
              <w:right w:val="nil"/>
            </w:tcBorders>
            <w:shd w:val="clear" w:color="auto" w:fill="auto"/>
            <w:noWrap/>
            <w:hideMark/>
          </w:tcPr>
          <w:p w14:paraId="19A11AB0"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28.2</w:t>
            </w:r>
          </w:p>
        </w:tc>
        <w:tc>
          <w:tcPr>
            <w:tcW w:w="960" w:type="dxa"/>
            <w:tcBorders>
              <w:top w:val="nil"/>
              <w:left w:val="nil"/>
              <w:right w:val="nil"/>
            </w:tcBorders>
            <w:shd w:val="clear" w:color="auto" w:fill="auto"/>
            <w:noWrap/>
            <w:hideMark/>
          </w:tcPr>
          <w:p w14:paraId="548996A5"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26.3</w:t>
            </w:r>
          </w:p>
        </w:tc>
        <w:tc>
          <w:tcPr>
            <w:tcW w:w="960" w:type="dxa"/>
            <w:tcBorders>
              <w:top w:val="nil"/>
              <w:left w:val="nil"/>
              <w:right w:val="nil"/>
            </w:tcBorders>
            <w:shd w:val="clear" w:color="auto" w:fill="auto"/>
            <w:noWrap/>
            <w:hideMark/>
          </w:tcPr>
          <w:p w14:paraId="3D65276F"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20.6</w:t>
            </w:r>
          </w:p>
        </w:tc>
      </w:tr>
      <w:tr w:rsidR="00CF65BD" w:rsidRPr="00CF65BD" w14:paraId="49AB4054" w14:textId="77777777" w:rsidTr="0067542D">
        <w:trPr>
          <w:trHeight w:val="290"/>
        </w:trPr>
        <w:tc>
          <w:tcPr>
            <w:tcW w:w="3870" w:type="dxa"/>
            <w:vMerge/>
            <w:tcBorders>
              <w:left w:val="nil"/>
              <w:bottom w:val="single" w:sz="4" w:space="0" w:color="auto"/>
              <w:right w:val="nil"/>
            </w:tcBorders>
            <w:shd w:val="clear" w:color="auto" w:fill="auto"/>
            <w:noWrap/>
            <w:vAlign w:val="bottom"/>
            <w:hideMark/>
          </w:tcPr>
          <w:p w14:paraId="5205B54E" w14:textId="77777777" w:rsidR="00CF65BD" w:rsidRPr="00CF65BD" w:rsidRDefault="00CF65BD" w:rsidP="00CF65BD">
            <w:pPr>
              <w:spacing w:before="0"/>
              <w:jc w:val="center"/>
              <w:rPr>
                <w:rFonts w:eastAsia="Times New Roman" w:cstheme="minorHAnsi"/>
                <w:color w:val="000000"/>
                <w:sz w:val="20"/>
                <w:szCs w:val="20"/>
                <w:lang w:val="en-US"/>
              </w:rPr>
            </w:pPr>
          </w:p>
        </w:tc>
        <w:tc>
          <w:tcPr>
            <w:tcW w:w="939" w:type="dxa"/>
            <w:tcBorders>
              <w:top w:val="nil"/>
              <w:left w:val="nil"/>
              <w:bottom w:val="single" w:sz="4" w:space="0" w:color="auto"/>
              <w:right w:val="nil"/>
            </w:tcBorders>
            <w:shd w:val="clear" w:color="auto" w:fill="auto"/>
            <w:noWrap/>
            <w:hideMark/>
          </w:tcPr>
          <w:p w14:paraId="40095F42"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2013</w:t>
            </w:r>
          </w:p>
        </w:tc>
        <w:tc>
          <w:tcPr>
            <w:tcW w:w="1007" w:type="dxa"/>
            <w:tcBorders>
              <w:top w:val="nil"/>
              <w:left w:val="nil"/>
              <w:bottom w:val="single" w:sz="4" w:space="0" w:color="auto"/>
              <w:right w:val="nil"/>
            </w:tcBorders>
            <w:shd w:val="clear" w:color="auto" w:fill="auto"/>
            <w:noWrap/>
            <w:hideMark/>
          </w:tcPr>
          <w:p w14:paraId="42982C5C"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24.8</w:t>
            </w:r>
          </w:p>
        </w:tc>
        <w:tc>
          <w:tcPr>
            <w:tcW w:w="960" w:type="dxa"/>
            <w:tcBorders>
              <w:top w:val="nil"/>
              <w:left w:val="nil"/>
              <w:bottom w:val="single" w:sz="4" w:space="0" w:color="auto"/>
              <w:right w:val="nil"/>
            </w:tcBorders>
            <w:shd w:val="clear" w:color="auto" w:fill="auto"/>
            <w:noWrap/>
            <w:hideMark/>
          </w:tcPr>
          <w:p w14:paraId="62EAA6E7" w14:textId="77777777" w:rsidR="00CF65BD" w:rsidRPr="00CF65BD" w:rsidRDefault="00CF65BD" w:rsidP="0067542D">
            <w:pPr>
              <w:spacing w:before="0"/>
              <w:jc w:val="center"/>
              <w:rPr>
                <w:rFonts w:eastAsia="Times New Roman" w:cstheme="minorHAnsi"/>
                <w:color w:val="000000"/>
                <w:sz w:val="20"/>
                <w:szCs w:val="20"/>
                <w:lang w:val="en-US"/>
              </w:rPr>
            </w:pPr>
            <w:r w:rsidRPr="00CF65BD">
              <w:rPr>
                <w:rFonts w:eastAsia="Times New Roman" w:cstheme="minorHAnsi"/>
                <w:color w:val="000000"/>
                <w:sz w:val="20"/>
                <w:szCs w:val="20"/>
                <w:lang w:val="en-US"/>
              </w:rPr>
              <w:t>27.3</w:t>
            </w:r>
          </w:p>
        </w:tc>
        <w:tc>
          <w:tcPr>
            <w:tcW w:w="960" w:type="dxa"/>
            <w:tcBorders>
              <w:top w:val="nil"/>
              <w:left w:val="nil"/>
              <w:bottom w:val="single" w:sz="4" w:space="0" w:color="auto"/>
              <w:right w:val="nil"/>
            </w:tcBorders>
            <w:shd w:val="clear" w:color="auto" w:fill="auto"/>
            <w:noWrap/>
            <w:hideMark/>
          </w:tcPr>
          <w:p w14:paraId="5F11D1D2" w14:textId="77777777" w:rsidR="00CF65BD" w:rsidRPr="00CF65BD" w:rsidRDefault="00CF65BD" w:rsidP="0067542D">
            <w:pPr>
              <w:spacing w:before="0"/>
              <w:jc w:val="center"/>
              <w:rPr>
                <w:rFonts w:eastAsia="Times New Roman" w:cstheme="minorHAnsi"/>
                <w:color w:val="000000"/>
                <w:sz w:val="20"/>
                <w:szCs w:val="20"/>
                <w:lang w:val="en-US"/>
              </w:rPr>
            </w:pPr>
            <w:proofErr w:type="spellStart"/>
            <w:r>
              <w:rPr>
                <w:rFonts w:eastAsia="Times New Roman" w:cstheme="minorHAnsi"/>
                <w:color w:val="000000"/>
                <w:sz w:val="20"/>
                <w:szCs w:val="20"/>
                <w:lang w:val="en-US"/>
              </w:rPr>
              <w:t>n.a</w:t>
            </w:r>
            <w:proofErr w:type="spellEnd"/>
            <w:r>
              <w:rPr>
                <w:rFonts w:eastAsia="Times New Roman" w:cstheme="minorHAnsi"/>
                <w:color w:val="000000"/>
                <w:sz w:val="20"/>
                <w:szCs w:val="20"/>
                <w:lang w:val="en-US"/>
              </w:rPr>
              <w:t>.</w:t>
            </w:r>
          </w:p>
        </w:tc>
      </w:tr>
    </w:tbl>
    <w:p w14:paraId="49CFA497" w14:textId="77777777" w:rsidR="00CF65BD" w:rsidRPr="0067696A" w:rsidRDefault="00CF65BD" w:rsidP="00CF65BD">
      <w:pPr>
        <w:rPr>
          <w:i/>
          <w:sz w:val="20"/>
          <w:szCs w:val="20"/>
          <w:lang w:val="en-US"/>
        </w:rPr>
      </w:pPr>
      <w:r w:rsidRPr="0067696A">
        <w:rPr>
          <w:rFonts w:eastAsia="Times New Roman" w:cstheme="minorHAnsi"/>
          <w:i/>
          <w:color w:val="000000"/>
          <w:sz w:val="20"/>
          <w:szCs w:val="20"/>
          <w:lang w:val="en-US"/>
        </w:rPr>
        <w:t>Source</w:t>
      </w:r>
      <w:r w:rsidR="0067542D">
        <w:rPr>
          <w:rFonts w:eastAsia="Times New Roman" w:cstheme="minorHAnsi"/>
          <w:i/>
          <w:color w:val="000000"/>
          <w:sz w:val="20"/>
          <w:szCs w:val="20"/>
          <w:lang w:val="en-US"/>
        </w:rPr>
        <w:t>s</w:t>
      </w:r>
      <w:r w:rsidRPr="0067696A">
        <w:rPr>
          <w:rFonts w:eastAsia="Times New Roman" w:cstheme="minorHAnsi"/>
          <w:i/>
          <w:color w:val="000000"/>
          <w:sz w:val="20"/>
          <w:szCs w:val="20"/>
          <w:lang w:val="en-US"/>
        </w:rPr>
        <w:t xml:space="preserve">: </w:t>
      </w:r>
      <w:r w:rsidR="0067696A">
        <w:rPr>
          <w:rFonts w:eastAsia="Times New Roman" w:cstheme="minorHAnsi"/>
          <w:i/>
          <w:color w:val="000000"/>
          <w:sz w:val="20"/>
          <w:szCs w:val="20"/>
          <w:lang w:val="en-US"/>
        </w:rPr>
        <w:t>A</w:t>
      </w:r>
      <w:r w:rsidRPr="0067696A">
        <w:rPr>
          <w:rFonts w:eastAsia="Times New Roman" w:cstheme="minorHAnsi"/>
          <w:i/>
          <w:color w:val="000000"/>
          <w:sz w:val="20"/>
          <w:szCs w:val="20"/>
          <w:lang w:val="en-US"/>
        </w:rPr>
        <w:t xml:space="preserve">uthor’s calculations </w:t>
      </w:r>
      <w:r w:rsidRPr="0067696A">
        <w:rPr>
          <w:i/>
          <w:sz w:val="20"/>
          <w:szCs w:val="20"/>
          <w:lang w:val="en-US"/>
        </w:rPr>
        <w:t>based of the individual-level LFS data</w:t>
      </w:r>
      <w:r w:rsidR="0067696A">
        <w:rPr>
          <w:i/>
          <w:sz w:val="20"/>
          <w:szCs w:val="20"/>
          <w:lang w:val="en-US"/>
        </w:rPr>
        <w:t xml:space="preserve"> for </w:t>
      </w:r>
      <w:r w:rsidR="0067696A" w:rsidRPr="0067696A">
        <w:rPr>
          <w:rFonts w:eastAsia="Times New Roman" w:cstheme="minorHAnsi"/>
          <w:i/>
          <w:color w:val="000000"/>
          <w:sz w:val="20"/>
          <w:szCs w:val="20"/>
          <w:lang w:val="en-US"/>
        </w:rPr>
        <w:t>Moldova and Ukraine</w:t>
      </w:r>
      <w:r w:rsidRPr="0067696A">
        <w:rPr>
          <w:i/>
          <w:sz w:val="20"/>
          <w:szCs w:val="20"/>
          <w:lang w:val="en-US"/>
        </w:rPr>
        <w:t xml:space="preserve">, </w:t>
      </w:r>
      <w:proofErr w:type="spellStart"/>
      <w:r w:rsidR="0067696A" w:rsidRPr="0067696A">
        <w:rPr>
          <w:i/>
          <w:sz w:val="20"/>
          <w:szCs w:val="20"/>
          <w:lang w:val="en-US"/>
        </w:rPr>
        <w:t>Burchell</w:t>
      </w:r>
      <w:proofErr w:type="spellEnd"/>
      <w:r w:rsidR="0067696A" w:rsidRPr="0067696A">
        <w:rPr>
          <w:i/>
          <w:sz w:val="20"/>
          <w:szCs w:val="20"/>
          <w:lang w:val="en-US"/>
        </w:rPr>
        <w:t xml:space="preserve"> et al. (2014, Figure 15</w:t>
      </w:r>
      <w:r w:rsidR="0067696A">
        <w:rPr>
          <w:i/>
          <w:sz w:val="20"/>
          <w:szCs w:val="20"/>
          <w:lang w:val="en-US"/>
        </w:rPr>
        <w:t xml:space="preserve">) for </w:t>
      </w:r>
      <w:r w:rsidRPr="0067696A">
        <w:rPr>
          <w:i/>
          <w:sz w:val="20"/>
          <w:szCs w:val="20"/>
          <w:lang w:val="en-US"/>
        </w:rPr>
        <w:t>EU-26</w:t>
      </w:r>
      <w:r w:rsidR="0067696A">
        <w:rPr>
          <w:i/>
          <w:sz w:val="20"/>
          <w:szCs w:val="20"/>
          <w:lang w:val="en-US"/>
        </w:rPr>
        <w:t xml:space="preserve"> (excluding Malta and Croatia)</w:t>
      </w:r>
      <w:r w:rsidRPr="0067696A">
        <w:rPr>
          <w:i/>
          <w:sz w:val="20"/>
          <w:szCs w:val="20"/>
          <w:lang w:val="en-US"/>
        </w:rPr>
        <w:t>.</w:t>
      </w:r>
    </w:p>
    <w:p w14:paraId="3DEA1909" w14:textId="77777777" w:rsidR="00A91B3D" w:rsidRDefault="00A91B3D">
      <w:pPr>
        <w:spacing w:before="0" w:after="160" w:line="259" w:lineRule="auto"/>
        <w:rPr>
          <w:b/>
          <w:iCs/>
          <w:szCs w:val="18"/>
        </w:rPr>
      </w:pPr>
      <w:r>
        <w:br w:type="page"/>
      </w:r>
    </w:p>
    <w:p w14:paraId="58CF427D" w14:textId="3698E5EA" w:rsidR="003A760E" w:rsidRDefault="001F6FDC" w:rsidP="001F6FDC">
      <w:pPr>
        <w:pStyle w:val="ad"/>
        <w:jc w:val="left"/>
      </w:pPr>
      <w:bookmarkStart w:id="143" w:name="_Ref525305983"/>
      <w:r>
        <w:lastRenderedPageBreak/>
        <w:t>Table A-</w:t>
      </w:r>
      <w:r>
        <w:fldChar w:fldCharType="begin"/>
      </w:r>
      <w:r>
        <w:instrText xml:space="preserve"> SEQ Table_A- \* ARABIC </w:instrText>
      </w:r>
      <w:r>
        <w:fldChar w:fldCharType="separate"/>
      </w:r>
      <w:r>
        <w:rPr>
          <w:noProof/>
        </w:rPr>
        <w:t>2</w:t>
      </w:r>
      <w:r>
        <w:fldChar w:fldCharType="end"/>
      </w:r>
      <w:bookmarkEnd w:id="143"/>
      <w:r w:rsidR="00863F44" w:rsidRPr="004E1089">
        <w:t>: Classification of 2-digit ISCO occupations into female-/male-dominated and mixed occupations</w:t>
      </w:r>
      <w:r w:rsidR="0014107C" w:rsidRPr="004E1089">
        <w:t xml:space="preserve"> based on the LFS data</w:t>
      </w:r>
    </w:p>
    <w:tbl>
      <w:tblPr>
        <w:tblW w:w="9923" w:type="dxa"/>
        <w:tblLayout w:type="fixed"/>
        <w:tblLook w:val="04A0" w:firstRow="1" w:lastRow="0" w:firstColumn="1" w:lastColumn="0" w:noHBand="0" w:noVBand="1"/>
      </w:tblPr>
      <w:tblGrid>
        <w:gridCol w:w="4395"/>
        <w:gridCol w:w="1183"/>
        <w:gridCol w:w="1085"/>
        <w:gridCol w:w="1282"/>
        <w:gridCol w:w="989"/>
        <w:gridCol w:w="989"/>
      </w:tblGrid>
      <w:tr w:rsidR="005E0578" w:rsidRPr="0021683E" w14:paraId="0076C07A" w14:textId="77777777" w:rsidTr="007D0141">
        <w:tc>
          <w:tcPr>
            <w:tcW w:w="4395" w:type="dxa"/>
            <w:vMerge w:val="restart"/>
            <w:tcBorders>
              <w:top w:val="single" w:sz="4" w:space="0" w:color="auto"/>
              <w:left w:val="nil"/>
              <w:right w:val="nil"/>
            </w:tcBorders>
            <w:shd w:val="clear" w:color="auto" w:fill="auto"/>
            <w:noWrap/>
          </w:tcPr>
          <w:p w14:paraId="1FDA84BB" w14:textId="3BED8957" w:rsidR="005E0578" w:rsidRPr="00A91B3D" w:rsidRDefault="005E0578" w:rsidP="005D67FD">
            <w:pPr>
              <w:spacing w:before="0"/>
              <w:jc w:val="center"/>
              <w:rPr>
                <w:rFonts w:eastAsia="Times New Roman" w:cstheme="minorHAnsi"/>
                <w:b/>
                <w:color w:val="000000"/>
                <w:sz w:val="20"/>
                <w:szCs w:val="20"/>
                <w:lang w:val="en-US"/>
              </w:rPr>
            </w:pPr>
            <w:r w:rsidRPr="00A91B3D">
              <w:rPr>
                <w:rFonts w:eastAsia="Times New Roman" w:cstheme="minorHAnsi"/>
                <w:b/>
                <w:color w:val="000000"/>
                <w:sz w:val="20"/>
                <w:szCs w:val="20"/>
                <w:lang w:val="en-US"/>
              </w:rPr>
              <w:t>Occupation</w:t>
            </w:r>
          </w:p>
        </w:tc>
        <w:tc>
          <w:tcPr>
            <w:tcW w:w="1183" w:type="dxa"/>
            <w:vMerge w:val="restart"/>
            <w:tcBorders>
              <w:top w:val="single" w:sz="4" w:space="0" w:color="auto"/>
              <w:left w:val="nil"/>
              <w:right w:val="nil"/>
            </w:tcBorders>
            <w:shd w:val="clear" w:color="auto" w:fill="auto"/>
            <w:noWrap/>
          </w:tcPr>
          <w:p w14:paraId="1D22BD39" w14:textId="6A896581" w:rsidR="005E0578" w:rsidRPr="00A91B3D" w:rsidRDefault="005E0578" w:rsidP="005D67FD">
            <w:pPr>
              <w:spacing w:before="0"/>
              <w:jc w:val="center"/>
              <w:rPr>
                <w:rFonts w:eastAsia="Times New Roman" w:cstheme="minorHAnsi"/>
                <w:b/>
                <w:color w:val="000000"/>
                <w:sz w:val="20"/>
                <w:szCs w:val="20"/>
                <w:lang w:val="en-US"/>
              </w:rPr>
            </w:pPr>
            <w:r w:rsidRPr="00A91B3D">
              <w:rPr>
                <w:rFonts w:eastAsia="Times New Roman" w:cstheme="minorHAnsi"/>
                <w:b/>
                <w:color w:val="000000"/>
                <w:sz w:val="20"/>
                <w:szCs w:val="20"/>
                <w:lang w:val="en-US"/>
              </w:rPr>
              <w:t>ISCO-08 code</w:t>
            </w:r>
          </w:p>
        </w:tc>
        <w:tc>
          <w:tcPr>
            <w:tcW w:w="1085" w:type="dxa"/>
            <w:vMerge w:val="restart"/>
            <w:tcBorders>
              <w:top w:val="single" w:sz="4" w:space="0" w:color="auto"/>
              <w:left w:val="nil"/>
              <w:right w:val="nil"/>
            </w:tcBorders>
            <w:shd w:val="clear" w:color="auto" w:fill="auto"/>
            <w:noWrap/>
          </w:tcPr>
          <w:p w14:paraId="58C1EB87" w14:textId="67EBDB94" w:rsidR="005E0578" w:rsidRDefault="005E0578" w:rsidP="005D67FD">
            <w:pPr>
              <w:spacing w:before="0"/>
              <w:jc w:val="center"/>
              <w:rPr>
                <w:rFonts w:eastAsia="Times New Roman" w:cstheme="minorHAnsi"/>
                <w:b/>
                <w:color w:val="000000"/>
                <w:sz w:val="20"/>
                <w:szCs w:val="20"/>
                <w:lang w:val="en-US"/>
              </w:rPr>
            </w:pPr>
            <w:r>
              <w:rPr>
                <w:rFonts w:eastAsia="Times New Roman" w:cstheme="minorHAnsi"/>
                <w:b/>
                <w:color w:val="000000"/>
                <w:sz w:val="20"/>
                <w:szCs w:val="20"/>
                <w:lang w:val="en-US"/>
              </w:rPr>
              <w:t xml:space="preserve">Female share, average in </w:t>
            </w:r>
            <w:r w:rsidRPr="0021683E">
              <w:rPr>
                <w:rFonts w:eastAsia="Times New Roman" w:cstheme="minorHAnsi"/>
                <w:b/>
                <w:color w:val="000000"/>
                <w:sz w:val="20"/>
                <w:szCs w:val="20"/>
                <w:lang w:val="en-US"/>
              </w:rPr>
              <w:t>2014-2016</w:t>
            </w:r>
            <w:r>
              <w:rPr>
                <w:rFonts w:eastAsia="Times New Roman" w:cstheme="minorHAnsi"/>
                <w:b/>
                <w:color w:val="000000"/>
                <w:sz w:val="20"/>
                <w:szCs w:val="20"/>
                <w:lang w:val="en-US"/>
              </w:rPr>
              <w:t xml:space="preserve"> (%)</w:t>
            </w:r>
          </w:p>
        </w:tc>
        <w:tc>
          <w:tcPr>
            <w:tcW w:w="1282" w:type="dxa"/>
            <w:vMerge w:val="restart"/>
            <w:tcBorders>
              <w:top w:val="single" w:sz="4" w:space="0" w:color="auto"/>
              <w:left w:val="nil"/>
              <w:right w:val="single" w:sz="4" w:space="0" w:color="auto"/>
            </w:tcBorders>
            <w:shd w:val="clear" w:color="auto" w:fill="auto"/>
            <w:noWrap/>
          </w:tcPr>
          <w:p w14:paraId="2275803F" w14:textId="4B4900D2" w:rsidR="005E0578" w:rsidRDefault="005E0578" w:rsidP="005D67FD">
            <w:pPr>
              <w:spacing w:before="0"/>
              <w:jc w:val="center"/>
              <w:rPr>
                <w:rFonts w:eastAsia="Times New Roman" w:cstheme="minorHAnsi"/>
                <w:b/>
                <w:color w:val="000000"/>
                <w:sz w:val="20"/>
                <w:szCs w:val="20"/>
                <w:lang w:val="en-US"/>
              </w:rPr>
            </w:pPr>
            <w:r>
              <w:rPr>
                <w:rFonts w:eastAsia="Times New Roman" w:cstheme="minorHAnsi"/>
                <w:b/>
                <w:color w:val="000000"/>
                <w:sz w:val="20"/>
                <w:szCs w:val="20"/>
                <w:lang w:val="en-US"/>
              </w:rPr>
              <w:t>Type of occupation*</w:t>
            </w:r>
          </w:p>
        </w:tc>
        <w:tc>
          <w:tcPr>
            <w:tcW w:w="1978" w:type="dxa"/>
            <w:gridSpan w:val="2"/>
            <w:tcBorders>
              <w:top w:val="single" w:sz="4" w:space="0" w:color="auto"/>
              <w:left w:val="single" w:sz="4" w:space="0" w:color="auto"/>
              <w:bottom w:val="single" w:sz="4" w:space="0" w:color="auto"/>
              <w:right w:val="nil"/>
            </w:tcBorders>
          </w:tcPr>
          <w:p w14:paraId="0D9AA348" w14:textId="7736BB78" w:rsidR="005E0578" w:rsidRPr="005D67FD" w:rsidRDefault="005E0578" w:rsidP="00A91B3D">
            <w:pPr>
              <w:spacing w:before="0"/>
              <w:jc w:val="center"/>
              <w:rPr>
                <w:rStyle w:val="25"/>
                <w:rFonts w:asciiTheme="minorHAnsi" w:hAnsiTheme="minorHAnsi" w:cstheme="minorHAnsi"/>
                <w:b/>
                <w:sz w:val="20"/>
                <w:szCs w:val="20"/>
              </w:rPr>
            </w:pPr>
            <w:r w:rsidRPr="005D67FD">
              <w:rPr>
                <w:rStyle w:val="25"/>
                <w:rFonts w:asciiTheme="minorHAnsi" w:hAnsiTheme="minorHAnsi" w:cstheme="minorHAnsi"/>
                <w:b/>
                <w:sz w:val="20"/>
                <w:szCs w:val="20"/>
              </w:rPr>
              <w:t>Share of occupation in total employment in 2016 (%)</w:t>
            </w:r>
          </w:p>
        </w:tc>
      </w:tr>
      <w:tr w:rsidR="005E0578" w:rsidRPr="0021683E" w14:paraId="3748ACF2" w14:textId="5B648690" w:rsidTr="005E0578">
        <w:tc>
          <w:tcPr>
            <w:tcW w:w="4395" w:type="dxa"/>
            <w:vMerge/>
            <w:tcBorders>
              <w:left w:val="nil"/>
              <w:bottom w:val="single" w:sz="4" w:space="0" w:color="auto"/>
              <w:right w:val="nil"/>
            </w:tcBorders>
            <w:shd w:val="clear" w:color="auto" w:fill="auto"/>
            <w:noWrap/>
            <w:hideMark/>
          </w:tcPr>
          <w:p w14:paraId="2236958C" w14:textId="5AF674D9" w:rsidR="005E0578" w:rsidRPr="0021683E" w:rsidRDefault="005E0578" w:rsidP="005D67FD">
            <w:pPr>
              <w:spacing w:before="0"/>
              <w:jc w:val="center"/>
              <w:rPr>
                <w:rFonts w:eastAsia="Times New Roman" w:cstheme="minorHAnsi"/>
                <w:b/>
                <w:color w:val="000000"/>
                <w:sz w:val="20"/>
                <w:szCs w:val="20"/>
                <w:lang w:val="en-US"/>
              </w:rPr>
            </w:pPr>
          </w:p>
        </w:tc>
        <w:tc>
          <w:tcPr>
            <w:tcW w:w="1183" w:type="dxa"/>
            <w:vMerge/>
            <w:tcBorders>
              <w:left w:val="nil"/>
              <w:bottom w:val="single" w:sz="4" w:space="0" w:color="auto"/>
              <w:right w:val="nil"/>
            </w:tcBorders>
            <w:shd w:val="clear" w:color="auto" w:fill="auto"/>
            <w:noWrap/>
            <w:hideMark/>
          </w:tcPr>
          <w:p w14:paraId="2313D110" w14:textId="2728FD47" w:rsidR="005E0578" w:rsidRPr="0021683E" w:rsidRDefault="005E0578" w:rsidP="005D67FD">
            <w:pPr>
              <w:spacing w:before="0"/>
              <w:jc w:val="center"/>
              <w:rPr>
                <w:rFonts w:eastAsia="Times New Roman" w:cstheme="minorHAnsi"/>
                <w:b/>
                <w:color w:val="000000"/>
                <w:sz w:val="20"/>
                <w:szCs w:val="20"/>
                <w:lang w:val="en-US"/>
              </w:rPr>
            </w:pPr>
          </w:p>
        </w:tc>
        <w:tc>
          <w:tcPr>
            <w:tcW w:w="1085" w:type="dxa"/>
            <w:vMerge/>
            <w:tcBorders>
              <w:left w:val="nil"/>
              <w:bottom w:val="single" w:sz="4" w:space="0" w:color="auto"/>
              <w:right w:val="nil"/>
            </w:tcBorders>
            <w:shd w:val="clear" w:color="auto" w:fill="auto"/>
            <w:noWrap/>
            <w:hideMark/>
          </w:tcPr>
          <w:p w14:paraId="4A4804F0" w14:textId="1F10F0A0" w:rsidR="005E0578" w:rsidRPr="0021683E" w:rsidRDefault="005E0578" w:rsidP="005D67FD">
            <w:pPr>
              <w:spacing w:before="0"/>
              <w:jc w:val="center"/>
              <w:rPr>
                <w:rFonts w:eastAsia="Times New Roman" w:cstheme="minorHAnsi"/>
                <w:b/>
                <w:color w:val="000000"/>
                <w:sz w:val="20"/>
                <w:szCs w:val="20"/>
                <w:lang w:val="en-US"/>
              </w:rPr>
            </w:pPr>
          </w:p>
        </w:tc>
        <w:tc>
          <w:tcPr>
            <w:tcW w:w="1282" w:type="dxa"/>
            <w:vMerge/>
            <w:tcBorders>
              <w:left w:val="nil"/>
              <w:bottom w:val="single" w:sz="4" w:space="0" w:color="auto"/>
              <w:right w:val="single" w:sz="4" w:space="0" w:color="auto"/>
            </w:tcBorders>
            <w:shd w:val="clear" w:color="auto" w:fill="auto"/>
            <w:noWrap/>
            <w:hideMark/>
          </w:tcPr>
          <w:p w14:paraId="47F258E2" w14:textId="75AB64DA" w:rsidR="005E0578" w:rsidRPr="0021683E" w:rsidRDefault="005E0578" w:rsidP="005D67FD">
            <w:pPr>
              <w:spacing w:before="0"/>
              <w:jc w:val="center"/>
              <w:rPr>
                <w:rFonts w:eastAsia="Times New Roman" w:cstheme="minorHAnsi"/>
                <w:b/>
                <w:color w:val="000000"/>
                <w:sz w:val="20"/>
                <w:szCs w:val="20"/>
                <w:lang w:val="en-US"/>
              </w:rPr>
            </w:pPr>
          </w:p>
        </w:tc>
        <w:tc>
          <w:tcPr>
            <w:tcW w:w="989" w:type="dxa"/>
            <w:tcBorders>
              <w:top w:val="single" w:sz="4" w:space="0" w:color="auto"/>
              <w:left w:val="single" w:sz="4" w:space="0" w:color="auto"/>
              <w:bottom w:val="single" w:sz="4" w:space="0" w:color="auto"/>
              <w:right w:val="nil"/>
            </w:tcBorders>
          </w:tcPr>
          <w:p w14:paraId="207D93E2" w14:textId="082A28D1" w:rsidR="005E0578" w:rsidRDefault="005E0578" w:rsidP="00A91B3D">
            <w:pPr>
              <w:spacing w:before="0"/>
              <w:jc w:val="center"/>
              <w:rPr>
                <w:rFonts w:eastAsia="Times New Roman" w:cstheme="minorHAnsi"/>
                <w:b/>
                <w:color w:val="000000"/>
                <w:sz w:val="20"/>
                <w:szCs w:val="20"/>
                <w:lang w:val="en-US"/>
              </w:rPr>
            </w:pPr>
            <w:r>
              <w:rPr>
                <w:rStyle w:val="25"/>
                <w:rFonts w:asciiTheme="minorHAnsi" w:hAnsiTheme="minorHAnsi" w:cstheme="minorHAnsi"/>
                <w:b/>
                <w:sz w:val="20"/>
                <w:szCs w:val="20"/>
              </w:rPr>
              <w:t>Women</w:t>
            </w:r>
          </w:p>
        </w:tc>
        <w:tc>
          <w:tcPr>
            <w:tcW w:w="989" w:type="dxa"/>
            <w:tcBorders>
              <w:top w:val="single" w:sz="4" w:space="0" w:color="auto"/>
              <w:left w:val="single" w:sz="4" w:space="0" w:color="auto"/>
              <w:bottom w:val="single" w:sz="4" w:space="0" w:color="auto"/>
              <w:right w:val="nil"/>
            </w:tcBorders>
          </w:tcPr>
          <w:p w14:paraId="3A8B3AB9" w14:textId="546C7C9E" w:rsidR="005E0578" w:rsidRPr="005D67FD" w:rsidRDefault="005E0578" w:rsidP="00A91B3D">
            <w:pPr>
              <w:spacing w:before="0"/>
              <w:jc w:val="center"/>
              <w:rPr>
                <w:rStyle w:val="25"/>
                <w:rFonts w:asciiTheme="minorHAnsi" w:hAnsiTheme="minorHAnsi" w:cstheme="minorHAnsi"/>
                <w:b/>
                <w:sz w:val="20"/>
                <w:szCs w:val="20"/>
              </w:rPr>
            </w:pPr>
            <w:r>
              <w:rPr>
                <w:rStyle w:val="25"/>
                <w:rFonts w:asciiTheme="minorHAnsi" w:hAnsiTheme="minorHAnsi" w:cstheme="minorHAnsi"/>
                <w:b/>
                <w:sz w:val="20"/>
                <w:szCs w:val="20"/>
              </w:rPr>
              <w:t>Men</w:t>
            </w:r>
          </w:p>
        </w:tc>
      </w:tr>
      <w:tr w:rsidR="005E0578" w:rsidRPr="0021683E" w14:paraId="51F5C8C0" w14:textId="0A58A114" w:rsidTr="005E0578">
        <w:tc>
          <w:tcPr>
            <w:tcW w:w="4395" w:type="dxa"/>
            <w:tcBorders>
              <w:top w:val="single" w:sz="4" w:space="0" w:color="auto"/>
              <w:left w:val="nil"/>
              <w:bottom w:val="nil"/>
              <w:right w:val="nil"/>
            </w:tcBorders>
            <w:shd w:val="clear" w:color="auto" w:fill="auto"/>
            <w:noWrap/>
            <w:hideMark/>
          </w:tcPr>
          <w:p w14:paraId="7A1F8764"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Commissioned armed forces officers</w:t>
            </w:r>
          </w:p>
        </w:tc>
        <w:tc>
          <w:tcPr>
            <w:tcW w:w="1183" w:type="dxa"/>
            <w:tcBorders>
              <w:top w:val="single" w:sz="4" w:space="0" w:color="auto"/>
              <w:left w:val="nil"/>
              <w:bottom w:val="nil"/>
              <w:right w:val="nil"/>
            </w:tcBorders>
            <w:shd w:val="clear" w:color="auto" w:fill="auto"/>
            <w:noWrap/>
            <w:hideMark/>
          </w:tcPr>
          <w:p w14:paraId="269A1279"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w:t>
            </w:r>
          </w:p>
        </w:tc>
        <w:tc>
          <w:tcPr>
            <w:tcW w:w="1085" w:type="dxa"/>
            <w:tcBorders>
              <w:top w:val="single" w:sz="4" w:space="0" w:color="auto"/>
              <w:left w:val="nil"/>
              <w:bottom w:val="nil"/>
              <w:right w:val="nil"/>
            </w:tcBorders>
            <w:shd w:val="clear" w:color="auto" w:fill="auto"/>
            <w:noWrap/>
            <w:hideMark/>
          </w:tcPr>
          <w:p w14:paraId="7FC36B4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4.5</w:t>
            </w:r>
          </w:p>
        </w:tc>
        <w:tc>
          <w:tcPr>
            <w:tcW w:w="1282" w:type="dxa"/>
            <w:tcBorders>
              <w:top w:val="single" w:sz="4" w:space="0" w:color="auto"/>
              <w:left w:val="nil"/>
              <w:bottom w:val="nil"/>
              <w:right w:val="single" w:sz="4" w:space="0" w:color="auto"/>
            </w:tcBorders>
            <w:shd w:val="clear" w:color="auto" w:fill="auto"/>
            <w:noWrap/>
            <w:hideMark/>
          </w:tcPr>
          <w:p w14:paraId="06F72291"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single" w:sz="4" w:space="0" w:color="auto"/>
              <w:left w:val="single" w:sz="4" w:space="0" w:color="auto"/>
              <w:bottom w:val="nil"/>
              <w:right w:val="nil"/>
            </w:tcBorders>
          </w:tcPr>
          <w:p w14:paraId="4970FA69" w14:textId="6059206F"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0.04</w:t>
            </w:r>
          </w:p>
        </w:tc>
        <w:tc>
          <w:tcPr>
            <w:tcW w:w="989" w:type="dxa"/>
            <w:tcBorders>
              <w:top w:val="single" w:sz="4" w:space="0" w:color="auto"/>
              <w:left w:val="single" w:sz="4" w:space="0" w:color="auto"/>
              <w:bottom w:val="nil"/>
              <w:right w:val="nil"/>
            </w:tcBorders>
          </w:tcPr>
          <w:p w14:paraId="052835E4" w14:textId="2E1EDDA5"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0.89</w:t>
            </w:r>
          </w:p>
        </w:tc>
      </w:tr>
      <w:tr w:rsidR="005E0578" w:rsidRPr="0021683E" w14:paraId="7196FC5C" w14:textId="72A81316" w:rsidTr="005E0578">
        <w:tc>
          <w:tcPr>
            <w:tcW w:w="4395" w:type="dxa"/>
            <w:tcBorders>
              <w:top w:val="nil"/>
              <w:left w:val="nil"/>
              <w:bottom w:val="nil"/>
              <w:right w:val="nil"/>
            </w:tcBorders>
            <w:shd w:val="clear" w:color="auto" w:fill="auto"/>
            <w:noWrap/>
            <w:hideMark/>
          </w:tcPr>
          <w:p w14:paraId="5D2350CE"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Chief executives, senior officials and legislators</w:t>
            </w:r>
          </w:p>
        </w:tc>
        <w:tc>
          <w:tcPr>
            <w:tcW w:w="1183" w:type="dxa"/>
            <w:tcBorders>
              <w:top w:val="nil"/>
              <w:left w:val="nil"/>
              <w:bottom w:val="nil"/>
              <w:right w:val="nil"/>
            </w:tcBorders>
            <w:shd w:val="clear" w:color="auto" w:fill="auto"/>
            <w:noWrap/>
            <w:hideMark/>
          </w:tcPr>
          <w:p w14:paraId="2EDFCD9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11</w:t>
            </w:r>
          </w:p>
        </w:tc>
        <w:tc>
          <w:tcPr>
            <w:tcW w:w="1085" w:type="dxa"/>
            <w:tcBorders>
              <w:top w:val="nil"/>
              <w:left w:val="nil"/>
              <w:bottom w:val="nil"/>
              <w:right w:val="nil"/>
            </w:tcBorders>
            <w:shd w:val="clear" w:color="auto" w:fill="auto"/>
            <w:noWrap/>
            <w:hideMark/>
          </w:tcPr>
          <w:p w14:paraId="5AE01DF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45.2</w:t>
            </w:r>
          </w:p>
        </w:tc>
        <w:tc>
          <w:tcPr>
            <w:tcW w:w="1282" w:type="dxa"/>
            <w:tcBorders>
              <w:top w:val="nil"/>
              <w:left w:val="nil"/>
              <w:bottom w:val="nil"/>
              <w:right w:val="single" w:sz="4" w:space="0" w:color="auto"/>
            </w:tcBorders>
            <w:shd w:val="clear" w:color="auto" w:fill="auto"/>
            <w:noWrap/>
            <w:hideMark/>
          </w:tcPr>
          <w:p w14:paraId="62EB227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nil"/>
              <w:right w:val="nil"/>
            </w:tcBorders>
          </w:tcPr>
          <w:p w14:paraId="4D9C81D4" w14:textId="563E2800"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0.66</w:t>
            </w:r>
          </w:p>
        </w:tc>
        <w:tc>
          <w:tcPr>
            <w:tcW w:w="989" w:type="dxa"/>
            <w:tcBorders>
              <w:top w:val="nil"/>
              <w:left w:val="single" w:sz="4" w:space="0" w:color="auto"/>
              <w:bottom w:val="nil"/>
              <w:right w:val="nil"/>
            </w:tcBorders>
          </w:tcPr>
          <w:p w14:paraId="34F13A17" w14:textId="7129C387"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0.83</w:t>
            </w:r>
          </w:p>
        </w:tc>
      </w:tr>
      <w:tr w:rsidR="005E0578" w:rsidRPr="0021683E" w14:paraId="3C7E8029" w14:textId="254E4B04" w:rsidTr="005E0578">
        <w:tc>
          <w:tcPr>
            <w:tcW w:w="4395" w:type="dxa"/>
            <w:tcBorders>
              <w:top w:val="nil"/>
              <w:left w:val="nil"/>
              <w:bottom w:val="nil"/>
              <w:right w:val="nil"/>
            </w:tcBorders>
            <w:shd w:val="clear" w:color="auto" w:fill="auto"/>
            <w:noWrap/>
            <w:hideMark/>
          </w:tcPr>
          <w:p w14:paraId="485C454A"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Administrative and commercial managers</w:t>
            </w:r>
          </w:p>
        </w:tc>
        <w:tc>
          <w:tcPr>
            <w:tcW w:w="1183" w:type="dxa"/>
            <w:tcBorders>
              <w:top w:val="nil"/>
              <w:left w:val="nil"/>
              <w:bottom w:val="nil"/>
              <w:right w:val="nil"/>
            </w:tcBorders>
            <w:shd w:val="clear" w:color="auto" w:fill="auto"/>
            <w:noWrap/>
            <w:hideMark/>
          </w:tcPr>
          <w:p w14:paraId="16DB0911"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12</w:t>
            </w:r>
          </w:p>
        </w:tc>
        <w:tc>
          <w:tcPr>
            <w:tcW w:w="1085" w:type="dxa"/>
            <w:tcBorders>
              <w:top w:val="nil"/>
              <w:left w:val="nil"/>
              <w:bottom w:val="nil"/>
              <w:right w:val="nil"/>
            </w:tcBorders>
            <w:shd w:val="clear" w:color="auto" w:fill="auto"/>
            <w:noWrap/>
            <w:hideMark/>
          </w:tcPr>
          <w:p w14:paraId="6BF79B34"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65.4</w:t>
            </w:r>
          </w:p>
        </w:tc>
        <w:tc>
          <w:tcPr>
            <w:tcW w:w="1282" w:type="dxa"/>
            <w:tcBorders>
              <w:top w:val="nil"/>
              <w:left w:val="nil"/>
              <w:bottom w:val="nil"/>
              <w:right w:val="single" w:sz="4" w:space="0" w:color="auto"/>
            </w:tcBorders>
            <w:shd w:val="clear" w:color="auto" w:fill="auto"/>
            <w:noWrap/>
            <w:hideMark/>
          </w:tcPr>
          <w:p w14:paraId="150A056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527CC32C" w14:textId="2991747F"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1.55</w:t>
            </w:r>
          </w:p>
        </w:tc>
        <w:tc>
          <w:tcPr>
            <w:tcW w:w="989" w:type="dxa"/>
            <w:tcBorders>
              <w:top w:val="nil"/>
              <w:left w:val="single" w:sz="4" w:space="0" w:color="auto"/>
              <w:bottom w:val="nil"/>
              <w:right w:val="nil"/>
            </w:tcBorders>
          </w:tcPr>
          <w:p w14:paraId="47A096F1" w14:textId="6A3F01E9"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0.9</w:t>
            </w:r>
          </w:p>
        </w:tc>
      </w:tr>
      <w:tr w:rsidR="005E0578" w:rsidRPr="0021683E" w14:paraId="33822CDE" w14:textId="76CB881E" w:rsidTr="005E0578">
        <w:tc>
          <w:tcPr>
            <w:tcW w:w="4395" w:type="dxa"/>
            <w:tcBorders>
              <w:top w:val="nil"/>
              <w:left w:val="nil"/>
              <w:right w:val="nil"/>
            </w:tcBorders>
            <w:shd w:val="clear" w:color="auto" w:fill="auto"/>
            <w:noWrap/>
            <w:hideMark/>
          </w:tcPr>
          <w:p w14:paraId="5C0777C4"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 xml:space="preserve">Production and </w:t>
            </w:r>
            <w:proofErr w:type="spellStart"/>
            <w:r w:rsidRPr="0021683E">
              <w:rPr>
                <w:rFonts w:eastAsia="Times New Roman" w:cstheme="minorHAnsi"/>
                <w:color w:val="000000"/>
                <w:sz w:val="20"/>
                <w:szCs w:val="20"/>
                <w:lang w:val="en-US"/>
              </w:rPr>
              <w:t>specialised</w:t>
            </w:r>
            <w:proofErr w:type="spellEnd"/>
            <w:r w:rsidRPr="0021683E">
              <w:rPr>
                <w:rFonts w:eastAsia="Times New Roman" w:cstheme="minorHAnsi"/>
                <w:color w:val="000000"/>
                <w:sz w:val="20"/>
                <w:szCs w:val="20"/>
                <w:lang w:val="en-US"/>
              </w:rPr>
              <w:t xml:space="preserve"> services managers</w:t>
            </w:r>
          </w:p>
        </w:tc>
        <w:tc>
          <w:tcPr>
            <w:tcW w:w="1183" w:type="dxa"/>
            <w:tcBorders>
              <w:top w:val="nil"/>
              <w:left w:val="nil"/>
              <w:right w:val="nil"/>
            </w:tcBorders>
            <w:shd w:val="clear" w:color="auto" w:fill="auto"/>
            <w:noWrap/>
            <w:hideMark/>
          </w:tcPr>
          <w:p w14:paraId="258A6FF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13</w:t>
            </w:r>
          </w:p>
        </w:tc>
        <w:tc>
          <w:tcPr>
            <w:tcW w:w="1085" w:type="dxa"/>
            <w:tcBorders>
              <w:top w:val="nil"/>
              <w:left w:val="nil"/>
              <w:right w:val="nil"/>
            </w:tcBorders>
            <w:shd w:val="clear" w:color="auto" w:fill="auto"/>
            <w:noWrap/>
            <w:hideMark/>
          </w:tcPr>
          <w:p w14:paraId="4AF762A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37.0</w:t>
            </w:r>
          </w:p>
        </w:tc>
        <w:tc>
          <w:tcPr>
            <w:tcW w:w="1282" w:type="dxa"/>
            <w:tcBorders>
              <w:top w:val="nil"/>
              <w:left w:val="nil"/>
              <w:right w:val="single" w:sz="4" w:space="0" w:color="auto"/>
            </w:tcBorders>
            <w:shd w:val="clear" w:color="auto" w:fill="auto"/>
            <w:noWrap/>
            <w:hideMark/>
          </w:tcPr>
          <w:p w14:paraId="0F90726B"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right w:val="nil"/>
            </w:tcBorders>
          </w:tcPr>
          <w:p w14:paraId="3147B451" w14:textId="4C2F0693"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1.79</w:t>
            </w:r>
          </w:p>
        </w:tc>
        <w:tc>
          <w:tcPr>
            <w:tcW w:w="989" w:type="dxa"/>
            <w:tcBorders>
              <w:top w:val="nil"/>
              <w:left w:val="single" w:sz="4" w:space="0" w:color="auto"/>
              <w:right w:val="nil"/>
            </w:tcBorders>
          </w:tcPr>
          <w:p w14:paraId="7931EEAA" w14:textId="0E3928D4"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2.9</w:t>
            </w:r>
          </w:p>
        </w:tc>
      </w:tr>
      <w:tr w:rsidR="005E0578" w:rsidRPr="0021683E" w14:paraId="65418E68" w14:textId="0B9DF50F" w:rsidTr="005E0578">
        <w:tc>
          <w:tcPr>
            <w:tcW w:w="4395" w:type="dxa"/>
            <w:tcBorders>
              <w:top w:val="nil"/>
              <w:left w:val="nil"/>
              <w:bottom w:val="single" w:sz="4" w:space="0" w:color="auto"/>
              <w:right w:val="nil"/>
            </w:tcBorders>
            <w:shd w:val="clear" w:color="auto" w:fill="auto"/>
            <w:noWrap/>
            <w:hideMark/>
          </w:tcPr>
          <w:p w14:paraId="24000AC1"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Hospitality, retail and other services managers</w:t>
            </w:r>
          </w:p>
        </w:tc>
        <w:tc>
          <w:tcPr>
            <w:tcW w:w="1183" w:type="dxa"/>
            <w:tcBorders>
              <w:top w:val="nil"/>
              <w:left w:val="nil"/>
              <w:bottom w:val="single" w:sz="4" w:space="0" w:color="auto"/>
              <w:right w:val="nil"/>
            </w:tcBorders>
            <w:shd w:val="clear" w:color="auto" w:fill="auto"/>
            <w:noWrap/>
            <w:hideMark/>
          </w:tcPr>
          <w:p w14:paraId="30A95A3E"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14</w:t>
            </w:r>
          </w:p>
        </w:tc>
        <w:tc>
          <w:tcPr>
            <w:tcW w:w="1085" w:type="dxa"/>
            <w:tcBorders>
              <w:top w:val="nil"/>
              <w:left w:val="nil"/>
              <w:bottom w:val="single" w:sz="4" w:space="0" w:color="auto"/>
              <w:right w:val="nil"/>
            </w:tcBorders>
            <w:shd w:val="clear" w:color="auto" w:fill="auto"/>
            <w:noWrap/>
            <w:hideMark/>
          </w:tcPr>
          <w:p w14:paraId="6BF7C4F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43.8</w:t>
            </w:r>
          </w:p>
        </w:tc>
        <w:tc>
          <w:tcPr>
            <w:tcW w:w="1282" w:type="dxa"/>
            <w:tcBorders>
              <w:top w:val="nil"/>
              <w:left w:val="nil"/>
              <w:bottom w:val="single" w:sz="4" w:space="0" w:color="auto"/>
              <w:right w:val="single" w:sz="4" w:space="0" w:color="auto"/>
            </w:tcBorders>
            <w:shd w:val="clear" w:color="auto" w:fill="auto"/>
            <w:noWrap/>
            <w:hideMark/>
          </w:tcPr>
          <w:p w14:paraId="1B4C9D7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single" w:sz="4" w:space="0" w:color="auto"/>
              <w:right w:val="nil"/>
            </w:tcBorders>
          </w:tcPr>
          <w:p w14:paraId="13F23603" w14:textId="431C1875"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2.49</w:t>
            </w:r>
          </w:p>
        </w:tc>
        <w:tc>
          <w:tcPr>
            <w:tcW w:w="989" w:type="dxa"/>
            <w:tcBorders>
              <w:top w:val="nil"/>
              <w:left w:val="single" w:sz="4" w:space="0" w:color="auto"/>
              <w:bottom w:val="single" w:sz="4" w:space="0" w:color="auto"/>
              <w:right w:val="nil"/>
            </w:tcBorders>
          </w:tcPr>
          <w:p w14:paraId="45CEF952" w14:textId="41E0170C"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2.84</w:t>
            </w:r>
          </w:p>
        </w:tc>
      </w:tr>
      <w:tr w:rsidR="005E0578" w:rsidRPr="0021683E" w14:paraId="4E8345B0" w14:textId="303F9376" w:rsidTr="005E0578">
        <w:tc>
          <w:tcPr>
            <w:tcW w:w="4395" w:type="dxa"/>
            <w:tcBorders>
              <w:top w:val="single" w:sz="4" w:space="0" w:color="auto"/>
              <w:left w:val="nil"/>
              <w:bottom w:val="nil"/>
              <w:right w:val="nil"/>
            </w:tcBorders>
            <w:shd w:val="clear" w:color="auto" w:fill="auto"/>
            <w:noWrap/>
            <w:hideMark/>
          </w:tcPr>
          <w:p w14:paraId="1F01241E"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Science and engineering professionals</w:t>
            </w:r>
          </w:p>
        </w:tc>
        <w:tc>
          <w:tcPr>
            <w:tcW w:w="1183" w:type="dxa"/>
            <w:tcBorders>
              <w:top w:val="single" w:sz="4" w:space="0" w:color="auto"/>
              <w:left w:val="nil"/>
              <w:bottom w:val="nil"/>
              <w:right w:val="nil"/>
            </w:tcBorders>
            <w:shd w:val="clear" w:color="auto" w:fill="auto"/>
            <w:noWrap/>
            <w:hideMark/>
          </w:tcPr>
          <w:p w14:paraId="09D361C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21</w:t>
            </w:r>
          </w:p>
        </w:tc>
        <w:tc>
          <w:tcPr>
            <w:tcW w:w="1085" w:type="dxa"/>
            <w:tcBorders>
              <w:top w:val="single" w:sz="4" w:space="0" w:color="auto"/>
              <w:left w:val="nil"/>
              <w:bottom w:val="nil"/>
              <w:right w:val="nil"/>
            </w:tcBorders>
            <w:shd w:val="clear" w:color="auto" w:fill="auto"/>
            <w:noWrap/>
            <w:hideMark/>
          </w:tcPr>
          <w:p w14:paraId="0D5BB338"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34.7</w:t>
            </w:r>
          </w:p>
        </w:tc>
        <w:tc>
          <w:tcPr>
            <w:tcW w:w="1282" w:type="dxa"/>
            <w:tcBorders>
              <w:top w:val="single" w:sz="4" w:space="0" w:color="auto"/>
              <w:left w:val="nil"/>
              <w:bottom w:val="nil"/>
              <w:right w:val="single" w:sz="4" w:space="0" w:color="auto"/>
            </w:tcBorders>
            <w:shd w:val="clear" w:color="auto" w:fill="auto"/>
            <w:noWrap/>
            <w:hideMark/>
          </w:tcPr>
          <w:p w14:paraId="11F7123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single" w:sz="4" w:space="0" w:color="auto"/>
              <w:left w:val="single" w:sz="4" w:space="0" w:color="auto"/>
              <w:bottom w:val="nil"/>
              <w:right w:val="nil"/>
            </w:tcBorders>
          </w:tcPr>
          <w:p w14:paraId="265E6E72" w14:textId="27E31F4A"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1.32</w:t>
            </w:r>
          </w:p>
        </w:tc>
        <w:tc>
          <w:tcPr>
            <w:tcW w:w="989" w:type="dxa"/>
            <w:tcBorders>
              <w:top w:val="single" w:sz="4" w:space="0" w:color="auto"/>
              <w:left w:val="single" w:sz="4" w:space="0" w:color="auto"/>
              <w:bottom w:val="nil"/>
              <w:right w:val="nil"/>
            </w:tcBorders>
          </w:tcPr>
          <w:p w14:paraId="1208D316" w14:textId="4CE0EC85"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2.43</w:t>
            </w:r>
          </w:p>
        </w:tc>
      </w:tr>
      <w:tr w:rsidR="005E0578" w:rsidRPr="0021683E" w14:paraId="4B7B90CE" w14:textId="7796B5D3" w:rsidTr="005E0578">
        <w:tc>
          <w:tcPr>
            <w:tcW w:w="4395" w:type="dxa"/>
            <w:tcBorders>
              <w:top w:val="nil"/>
              <w:left w:val="nil"/>
              <w:bottom w:val="nil"/>
              <w:right w:val="nil"/>
            </w:tcBorders>
            <w:shd w:val="clear" w:color="auto" w:fill="auto"/>
            <w:noWrap/>
            <w:hideMark/>
          </w:tcPr>
          <w:p w14:paraId="1D154C21"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Health professionals</w:t>
            </w:r>
          </w:p>
        </w:tc>
        <w:tc>
          <w:tcPr>
            <w:tcW w:w="1183" w:type="dxa"/>
            <w:tcBorders>
              <w:top w:val="nil"/>
              <w:left w:val="nil"/>
              <w:bottom w:val="nil"/>
              <w:right w:val="nil"/>
            </w:tcBorders>
            <w:shd w:val="clear" w:color="auto" w:fill="auto"/>
            <w:noWrap/>
            <w:hideMark/>
          </w:tcPr>
          <w:p w14:paraId="551643A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22</w:t>
            </w:r>
          </w:p>
        </w:tc>
        <w:tc>
          <w:tcPr>
            <w:tcW w:w="1085" w:type="dxa"/>
            <w:tcBorders>
              <w:top w:val="nil"/>
              <w:left w:val="nil"/>
              <w:bottom w:val="nil"/>
              <w:right w:val="nil"/>
            </w:tcBorders>
            <w:shd w:val="clear" w:color="auto" w:fill="auto"/>
            <w:noWrap/>
            <w:hideMark/>
          </w:tcPr>
          <w:p w14:paraId="522DA02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68.7</w:t>
            </w:r>
          </w:p>
        </w:tc>
        <w:tc>
          <w:tcPr>
            <w:tcW w:w="1282" w:type="dxa"/>
            <w:tcBorders>
              <w:top w:val="nil"/>
              <w:left w:val="nil"/>
              <w:bottom w:val="nil"/>
              <w:right w:val="single" w:sz="4" w:space="0" w:color="auto"/>
            </w:tcBorders>
            <w:shd w:val="clear" w:color="auto" w:fill="auto"/>
            <w:noWrap/>
            <w:hideMark/>
          </w:tcPr>
          <w:p w14:paraId="3B65CD2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4E0D3455" w14:textId="4F342B1B"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1.62</w:t>
            </w:r>
          </w:p>
        </w:tc>
        <w:tc>
          <w:tcPr>
            <w:tcW w:w="989" w:type="dxa"/>
            <w:tcBorders>
              <w:top w:val="nil"/>
              <w:left w:val="single" w:sz="4" w:space="0" w:color="auto"/>
              <w:bottom w:val="nil"/>
              <w:right w:val="nil"/>
            </w:tcBorders>
          </w:tcPr>
          <w:p w14:paraId="6BCA60C0" w14:textId="6BDE76E4"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1.18</w:t>
            </w:r>
          </w:p>
        </w:tc>
      </w:tr>
      <w:tr w:rsidR="005E0578" w:rsidRPr="0021683E" w14:paraId="262B6067" w14:textId="4DEEA4C1" w:rsidTr="005E0578">
        <w:tc>
          <w:tcPr>
            <w:tcW w:w="4395" w:type="dxa"/>
            <w:tcBorders>
              <w:top w:val="nil"/>
              <w:left w:val="nil"/>
              <w:bottom w:val="nil"/>
              <w:right w:val="nil"/>
            </w:tcBorders>
            <w:shd w:val="clear" w:color="auto" w:fill="auto"/>
            <w:noWrap/>
            <w:hideMark/>
          </w:tcPr>
          <w:p w14:paraId="5E6F078D"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Teaching professionals</w:t>
            </w:r>
          </w:p>
        </w:tc>
        <w:tc>
          <w:tcPr>
            <w:tcW w:w="1183" w:type="dxa"/>
            <w:tcBorders>
              <w:top w:val="nil"/>
              <w:left w:val="nil"/>
              <w:bottom w:val="nil"/>
              <w:right w:val="nil"/>
            </w:tcBorders>
            <w:shd w:val="clear" w:color="auto" w:fill="auto"/>
            <w:noWrap/>
            <w:hideMark/>
          </w:tcPr>
          <w:p w14:paraId="6481887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23</w:t>
            </w:r>
          </w:p>
        </w:tc>
        <w:tc>
          <w:tcPr>
            <w:tcW w:w="1085" w:type="dxa"/>
            <w:tcBorders>
              <w:top w:val="nil"/>
              <w:left w:val="nil"/>
              <w:bottom w:val="nil"/>
              <w:right w:val="nil"/>
            </w:tcBorders>
            <w:shd w:val="clear" w:color="auto" w:fill="auto"/>
            <w:noWrap/>
            <w:hideMark/>
          </w:tcPr>
          <w:p w14:paraId="585CE158"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82.9</w:t>
            </w:r>
          </w:p>
        </w:tc>
        <w:tc>
          <w:tcPr>
            <w:tcW w:w="1282" w:type="dxa"/>
            <w:tcBorders>
              <w:top w:val="nil"/>
              <w:left w:val="nil"/>
              <w:bottom w:val="nil"/>
              <w:right w:val="single" w:sz="4" w:space="0" w:color="auto"/>
            </w:tcBorders>
            <w:shd w:val="clear" w:color="auto" w:fill="auto"/>
            <w:noWrap/>
            <w:hideMark/>
          </w:tcPr>
          <w:p w14:paraId="7E3DDBE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1165EE72" w14:textId="1F6680C1"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7.5</w:t>
            </w:r>
          </w:p>
        </w:tc>
        <w:tc>
          <w:tcPr>
            <w:tcW w:w="989" w:type="dxa"/>
            <w:tcBorders>
              <w:top w:val="nil"/>
              <w:left w:val="single" w:sz="4" w:space="0" w:color="auto"/>
              <w:bottom w:val="nil"/>
              <w:right w:val="nil"/>
            </w:tcBorders>
          </w:tcPr>
          <w:p w14:paraId="57335575" w14:textId="5083FB18"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1.58</w:t>
            </w:r>
          </w:p>
        </w:tc>
      </w:tr>
      <w:tr w:rsidR="005E0578" w:rsidRPr="0021683E" w14:paraId="03CA4E06" w14:textId="67623F12" w:rsidTr="005E0578">
        <w:tc>
          <w:tcPr>
            <w:tcW w:w="4395" w:type="dxa"/>
            <w:tcBorders>
              <w:top w:val="nil"/>
              <w:left w:val="nil"/>
              <w:bottom w:val="nil"/>
              <w:right w:val="nil"/>
            </w:tcBorders>
            <w:shd w:val="clear" w:color="auto" w:fill="auto"/>
            <w:noWrap/>
            <w:hideMark/>
          </w:tcPr>
          <w:p w14:paraId="691E1D91"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Business and administration professionals</w:t>
            </w:r>
          </w:p>
        </w:tc>
        <w:tc>
          <w:tcPr>
            <w:tcW w:w="1183" w:type="dxa"/>
            <w:tcBorders>
              <w:top w:val="nil"/>
              <w:left w:val="nil"/>
              <w:bottom w:val="nil"/>
              <w:right w:val="nil"/>
            </w:tcBorders>
            <w:shd w:val="clear" w:color="auto" w:fill="auto"/>
            <w:noWrap/>
            <w:hideMark/>
          </w:tcPr>
          <w:p w14:paraId="43612ED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24</w:t>
            </w:r>
          </w:p>
        </w:tc>
        <w:tc>
          <w:tcPr>
            <w:tcW w:w="1085" w:type="dxa"/>
            <w:tcBorders>
              <w:top w:val="nil"/>
              <w:left w:val="nil"/>
              <w:bottom w:val="nil"/>
              <w:right w:val="nil"/>
            </w:tcBorders>
            <w:shd w:val="clear" w:color="auto" w:fill="auto"/>
            <w:noWrap/>
            <w:hideMark/>
          </w:tcPr>
          <w:p w14:paraId="024E24C1"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80.7</w:t>
            </w:r>
          </w:p>
        </w:tc>
        <w:tc>
          <w:tcPr>
            <w:tcW w:w="1282" w:type="dxa"/>
            <w:tcBorders>
              <w:top w:val="nil"/>
              <w:left w:val="nil"/>
              <w:bottom w:val="nil"/>
              <w:right w:val="single" w:sz="4" w:space="0" w:color="auto"/>
            </w:tcBorders>
            <w:shd w:val="clear" w:color="auto" w:fill="auto"/>
            <w:noWrap/>
            <w:hideMark/>
          </w:tcPr>
          <w:p w14:paraId="0AE4BA4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5BA54B8D" w14:textId="3A662CB4"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5.15</w:t>
            </w:r>
          </w:p>
        </w:tc>
        <w:tc>
          <w:tcPr>
            <w:tcW w:w="989" w:type="dxa"/>
            <w:tcBorders>
              <w:top w:val="nil"/>
              <w:left w:val="single" w:sz="4" w:space="0" w:color="auto"/>
              <w:bottom w:val="nil"/>
              <w:right w:val="nil"/>
            </w:tcBorders>
          </w:tcPr>
          <w:p w14:paraId="3F1A8003" w14:textId="7244A1B4"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1.07</w:t>
            </w:r>
          </w:p>
        </w:tc>
      </w:tr>
      <w:tr w:rsidR="005E0578" w:rsidRPr="0021683E" w14:paraId="0F3F7F65" w14:textId="76ADD132" w:rsidTr="005E0578">
        <w:tc>
          <w:tcPr>
            <w:tcW w:w="4395" w:type="dxa"/>
            <w:tcBorders>
              <w:top w:val="nil"/>
              <w:left w:val="nil"/>
              <w:right w:val="nil"/>
            </w:tcBorders>
            <w:shd w:val="clear" w:color="auto" w:fill="auto"/>
            <w:noWrap/>
            <w:hideMark/>
          </w:tcPr>
          <w:p w14:paraId="031FF0B3"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Information and communications technology professionals</w:t>
            </w:r>
          </w:p>
        </w:tc>
        <w:tc>
          <w:tcPr>
            <w:tcW w:w="1183" w:type="dxa"/>
            <w:tcBorders>
              <w:top w:val="nil"/>
              <w:left w:val="nil"/>
              <w:right w:val="nil"/>
            </w:tcBorders>
            <w:shd w:val="clear" w:color="auto" w:fill="auto"/>
            <w:noWrap/>
            <w:hideMark/>
          </w:tcPr>
          <w:p w14:paraId="7B61B3E8"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25</w:t>
            </w:r>
          </w:p>
        </w:tc>
        <w:tc>
          <w:tcPr>
            <w:tcW w:w="1085" w:type="dxa"/>
            <w:tcBorders>
              <w:top w:val="nil"/>
              <w:left w:val="nil"/>
              <w:right w:val="nil"/>
            </w:tcBorders>
            <w:shd w:val="clear" w:color="auto" w:fill="auto"/>
            <w:noWrap/>
            <w:hideMark/>
          </w:tcPr>
          <w:p w14:paraId="6E3FBD0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16.3</w:t>
            </w:r>
          </w:p>
        </w:tc>
        <w:tc>
          <w:tcPr>
            <w:tcW w:w="1282" w:type="dxa"/>
            <w:tcBorders>
              <w:top w:val="nil"/>
              <w:left w:val="nil"/>
              <w:right w:val="single" w:sz="4" w:space="0" w:color="auto"/>
            </w:tcBorders>
            <w:shd w:val="clear" w:color="auto" w:fill="auto"/>
            <w:noWrap/>
            <w:hideMark/>
          </w:tcPr>
          <w:p w14:paraId="1E4319B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right w:val="nil"/>
            </w:tcBorders>
          </w:tcPr>
          <w:p w14:paraId="76BBA7DB" w14:textId="7CCDBEE4"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0.18</w:t>
            </w:r>
          </w:p>
        </w:tc>
        <w:tc>
          <w:tcPr>
            <w:tcW w:w="989" w:type="dxa"/>
            <w:tcBorders>
              <w:top w:val="nil"/>
              <w:left w:val="single" w:sz="4" w:space="0" w:color="auto"/>
              <w:right w:val="nil"/>
            </w:tcBorders>
          </w:tcPr>
          <w:p w14:paraId="053F70C4" w14:textId="4DFC7C5D"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1.09</w:t>
            </w:r>
          </w:p>
        </w:tc>
      </w:tr>
      <w:tr w:rsidR="005E0578" w:rsidRPr="0021683E" w14:paraId="0DF9793A" w14:textId="6DD5BD95" w:rsidTr="005E0578">
        <w:tc>
          <w:tcPr>
            <w:tcW w:w="4395" w:type="dxa"/>
            <w:tcBorders>
              <w:top w:val="nil"/>
              <w:left w:val="nil"/>
              <w:bottom w:val="single" w:sz="4" w:space="0" w:color="auto"/>
              <w:right w:val="nil"/>
            </w:tcBorders>
            <w:shd w:val="clear" w:color="auto" w:fill="auto"/>
            <w:noWrap/>
            <w:hideMark/>
          </w:tcPr>
          <w:p w14:paraId="1206F25A"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Legal, social and cultural professionals</w:t>
            </w:r>
          </w:p>
        </w:tc>
        <w:tc>
          <w:tcPr>
            <w:tcW w:w="1183" w:type="dxa"/>
            <w:tcBorders>
              <w:top w:val="nil"/>
              <w:left w:val="nil"/>
              <w:bottom w:val="single" w:sz="4" w:space="0" w:color="auto"/>
              <w:right w:val="nil"/>
            </w:tcBorders>
            <w:shd w:val="clear" w:color="auto" w:fill="auto"/>
            <w:noWrap/>
            <w:hideMark/>
          </w:tcPr>
          <w:p w14:paraId="2F8C241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26</w:t>
            </w:r>
          </w:p>
        </w:tc>
        <w:tc>
          <w:tcPr>
            <w:tcW w:w="1085" w:type="dxa"/>
            <w:tcBorders>
              <w:top w:val="nil"/>
              <w:left w:val="nil"/>
              <w:bottom w:val="single" w:sz="4" w:space="0" w:color="auto"/>
              <w:right w:val="nil"/>
            </w:tcBorders>
            <w:shd w:val="clear" w:color="auto" w:fill="auto"/>
            <w:noWrap/>
            <w:hideMark/>
          </w:tcPr>
          <w:p w14:paraId="2E504A9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59.9</w:t>
            </w:r>
          </w:p>
        </w:tc>
        <w:tc>
          <w:tcPr>
            <w:tcW w:w="1282" w:type="dxa"/>
            <w:tcBorders>
              <w:top w:val="nil"/>
              <w:left w:val="nil"/>
              <w:bottom w:val="single" w:sz="4" w:space="0" w:color="auto"/>
              <w:right w:val="single" w:sz="4" w:space="0" w:color="auto"/>
            </w:tcBorders>
            <w:shd w:val="clear" w:color="auto" w:fill="auto"/>
            <w:noWrap/>
            <w:hideMark/>
          </w:tcPr>
          <w:p w14:paraId="594A2EF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single" w:sz="4" w:space="0" w:color="auto"/>
              <w:right w:val="nil"/>
            </w:tcBorders>
          </w:tcPr>
          <w:p w14:paraId="24D21273" w14:textId="7C21384C"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2.47</w:t>
            </w:r>
          </w:p>
        </w:tc>
        <w:tc>
          <w:tcPr>
            <w:tcW w:w="989" w:type="dxa"/>
            <w:tcBorders>
              <w:top w:val="nil"/>
              <w:left w:val="single" w:sz="4" w:space="0" w:color="auto"/>
              <w:bottom w:val="single" w:sz="4" w:space="0" w:color="auto"/>
              <w:right w:val="nil"/>
            </w:tcBorders>
          </w:tcPr>
          <w:p w14:paraId="3BD6E7AD" w14:textId="6A3BCCEE"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1.87</w:t>
            </w:r>
          </w:p>
        </w:tc>
      </w:tr>
      <w:tr w:rsidR="005E0578" w:rsidRPr="0021683E" w14:paraId="086ED76A" w14:textId="3E82BD14" w:rsidTr="005E0578">
        <w:tc>
          <w:tcPr>
            <w:tcW w:w="4395" w:type="dxa"/>
            <w:tcBorders>
              <w:top w:val="single" w:sz="4" w:space="0" w:color="auto"/>
              <w:left w:val="nil"/>
              <w:bottom w:val="nil"/>
              <w:right w:val="nil"/>
            </w:tcBorders>
            <w:shd w:val="clear" w:color="auto" w:fill="auto"/>
            <w:noWrap/>
            <w:hideMark/>
          </w:tcPr>
          <w:p w14:paraId="36AC6D54"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Science and engineering associate professionals</w:t>
            </w:r>
          </w:p>
        </w:tc>
        <w:tc>
          <w:tcPr>
            <w:tcW w:w="1183" w:type="dxa"/>
            <w:tcBorders>
              <w:top w:val="single" w:sz="4" w:space="0" w:color="auto"/>
              <w:left w:val="nil"/>
              <w:bottom w:val="nil"/>
              <w:right w:val="nil"/>
            </w:tcBorders>
            <w:shd w:val="clear" w:color="auto" w:fill="auto"/>
            <w:noWrap/>
            <w:hideMark/>
          </w:tcPr>
          <w:p w14:paraId="0FEAFF64"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31</w:t>
            </w:r>
          </w:p>
        </w:tc>
        <w:tc>
          <w:tcPr>
            <w:tcW w:w="1085" w:type="dxa"/>
            <w:tcBorders>
              <w:top w:val="single" w:sz="4" w:space="0" w:color="auto"/>
              <w:left w:val="nil"/>
              <w:bottom w:val="nil"/>
              <w:right w:val="nil"/>
            </w:tcBorders>
            <w:shd w:val="clear" w:color="auto" w:fill="auto"/>
            <w:noWrap/>
            <w:hideMark/>
          </w:tcPr>
          <w:p w14:paraId="45546AEE"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28.1</w:t>
            </w:r>
          </w:p>
        </w:tc>
        <w:tc>
          <w:tcPr>
            <w:tcW w:w="1282" w:type="dxa"/>
            <w:tcBorders>
              <w:top w:val="single" w:sz="4" w:space="0" w:color="auto"/>
              <w:left w:val="nil"/>
              <w:bottom w:val="nil"/>
              <w:right w:val="single" w:sz="4" w:space="0" w:color="auto"/>
            </w:tcBorders>
            <w:shd w:val="clear" w:color="auto" w:fill="auto"/>
            <w:noWrap/>
            <w:hideMark/>
          </w:tcPr>
          <w:p w14:paraId="529710D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single" w:sz="4" w:space="0" w:color="auto"/>
              <w:left w:val="single" w:sz="4" w:space="0" w:color="auto"/>
              <w:bottom w:val="nil"/>
              <w:right w:val="nil"/>
            </w:tcBorders>
          </w:tcPr>
          <w:p w14:paraId="58E073C9" w14:textId="2179A509"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0.52</w:t>
            </w:r>
          </w:p>
        </w:tc>
        <w:tc>
          <w:tcPr>
            <w:tcW w:w="989" w:type="dxa"/>
            <w:tcBorders>
              <w:top w:val="single" w:sz="4" w:space="0" w:color="auto"/>
              <w:left w:val="single" w:sz="4" w:space="0" w:color="auto"/>
              <w:bottom w:val="nil"/>
              <w:right w:val="nil"/>
            </w:tcBorders>
          </w:tcPr>
          <w:p w14:paraId="389C6AF4" w14:textId="1331BBCD"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1.26</w:t>
            </w:r>
          </w:p>
        </w:tc>
      </w:tr>
      <w:tr w:rsidR="005E0578" w:rsidRPr="0021683E" w14:paraId="5E200B8B" w14:textId="63BFDF71" w:rsidTr="005E0578">
        <w:tc>
          <w:tcPr>
            <w:tcW w:w="4395" w:type="dxa"/>
            <w:tcBorders>
              <w:top w:val="nil"/>
              <w:left w:val="nil"/>
              <w:bottom w:val="nil"/>
              <w:right w:val="nil"/>
            </w:tcBorders>
            <w:shd w:val="clear" w:color="auto" w:fill="auto"/>
            <w:noWrap/>
            <w:hideMark/>
          </w:tcPr>
          <w:p w14:paraId="1F4AAAEB"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Health associate professionals</w:t>
            </w:r>
          </w:p>
        </w:tc>
        <w:tc>
          <w:tcPr>
            <w:tcW w:w="1183" w:type="dxa"/>
            <w:tcBorders>
              <w:top w:val="nil"/>
              <w:left w:val="nil"/>
              <w:bottom w:val="nil"/>
              <w:right w:val="nil"/>
            </w:tcBorders>
            <w:shd w:val="clear" w:color="auto" w:fill="auto"/>
            <w:noWrap/>
            <w:hideMark/>
          </w:tcPr>
          <w:p w14:paraId="0E8BAFB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32</w:t>
            </w:r>
          </w:p>
        </w:tc>
        <w:tc>
          <w:tcPr>
            <w:tcW w:w="1085" w:type="dxa"/>
            <w:tcBorders>
              <w:top w:val="nil"/>
              <w:left w:val="nil"/>
              <w:bottom w:val="nil"/>
              <w:right w:val="nil"/>
            </w:tcBorders>
            <w:shd w:val="clear" w:color="auto" w:fill="auto"/>
            <w:noWrap/>
            <w:hideMark/>
          </w:tcPr>
          <w:p w14:paraId="1FE00D9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92.4</w:t>
            </w:r>
          </w:p>
        </w:tc>
        <w:tc>
          <w:tcPr>
            <w:tcW w:w="1282" w:type="dxa"/>
            <w:tcBorders>
              <w:top w:val="nil"/>
              <w:left w:val="nil"/>
              <w:bottom w:val="nil"/>
              <w:right w:val="single" w:sz="4" w:space="0" w:color="auto"/>
            </w:tcBorders>
            <w:shd w:val="clear" w:color="auto" w:fill="auto"/>
            <w:noWrap/>
            <w:hideMark/>
          </w:tcPr>
          <w:p w14:paraId="71763018"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28C8DDE9" w14:textId="52BD13A0"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3.92</w:t>
            </w:r>
          </w:p>
        </w:tc>
        <w:tc>
          <w:tcPr>
            <w:tcW w:w="989" w:type="dxa"/>
            <w:tcBorders>
              <w:top w:val="nil"/>
              <w:left w:val="single" w:sz="4" w:space="0" w:color="auto"/>
              <w:bottom w:val="nil"/>
              <w:right w:val="nil"/>
            </w:tcBorders>
          </w:tcPr>
          <w:p w14:paraId="52EBD2DB" w14:textId="75FE6C2E"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0.4</w:t>
            </w:r>
          </w:p>
        </w:tc>
      </w:tr>
      <w:tr w:rsidR="005E0578" w:rsidRPr="0021683E" w14:paraId="77365BF3" w14:textId="3C050F79" w:rsidTr="005E0578">
        <w:tc>
          <w:tcPr>
            <w:tcW w:w="4395" w:type="dxa"/>
            <w:tcBorders>
              <w:top w:val="nil"/>
              <w:left w:val="nil"/>
              <w:bottom w:val="nil"/>
              <w:right w:val="nil"/>
            </w:tcBorders>
            <w:shd w:val="clear" w:color="auto" w:fill="auto"/>
            <w:noWrap/>
            <w:hideMark/>
          </w:tcPr>
          <w:p w14:paraId="0E67B308"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Business and administration associate professionals</w:t>
            </w:r>
          </w:p>
        </w:tc>
        <w:tc>
          <w:tcPr>
            <w:tcW w:w="1183" w:type="dxa"/>
            <w:tcBorders>
              <w:top w:val="nil"/>
              <w:left w:val="nil"/>
              <w:bottom w:val="nil"/>
              <w:right w:val="nil"/>
            </w:tcBorders>
            <w:shd w:val="clear" w:color="auto" w:fill="auto"/>
            <w:noWrap/>
            <w:hideMark/>
          </w:tcPr>
          <w:p w14:paraId="3B4C041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33</w:t>
            </w:r>
          </w:p>
        </w:tc>
        <w:tc>
          <w:tcPr>
            <w:tcW w:w="1085" w:type="dxa"/>
            <w:tcBorders>
              <w:top w:val="nil"/>
              <w:left w:val="nil"/>
              <w:bottom w:val="nil"/>
              <w:right w:val="nil"/>
            </w:tcBorders>
            <w:shd w:val="clear" w:color="auto" w:fill="auto"/>
            <w:noWrap/>
            <w:hideMark/>
          </w:tcPr>
          <w:p w14:paraId="6E45931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52.4</w:t>
            </w:r>
          </w:p>
        </w:tc>
        <w:tc>
          <w:tcPr>
            <w:tcW w:w="1282" w:type="dxa"/>
            <w:tcBorders>
              <w:top w:val="nil"/>
              <w:left w:val="nil"/>
              <w:bottom w:val="nil"/>
              <w:right w:val="single" w:sz="4" w:space="0" w:color="auto"/>
            </w:tcBorders>
            <w:shd w:val="clear" w:color="auto" w:fill="auto"/>
            <w:noWrap/>
            <w:hideMark/>
          </w:tcPr>
          <w:p w14:paraId="7E289DB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nil"/>
              <w:right w:val="nil"/>
            </w:tcBorders>
          </w:tcPr>
          <w:p w14:paraId="41E3F419" w14:textId="3AA6B44C"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2.57</w:t>
            </w:r>
          </w:p>
        </w:tc>
        <w:tc>
          <w:tcPr>
            <w:tcW w:w="989" w:type="dxa"/>
            <w:tcBorders>
              <w:top w:val="nil"/>
              <w:left w:val="single" w:sz="4" w:space="0" w:color="auto"/>
              <w:bottom w:val="nil"/>
              <w:right w:val="nil"/>
            </w:tcBorders>
          </w:tcPr>
          <w:p w14:paraId="292F6EB9" w14:textId="3C891034"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2.23</w:t>
            </w:r>
          </w:p>
        </w:tc>
      </w:tr>
      <w:tr w:rsidR="005E0578" w:rsidRPr="0021683E" w14:paraId="7C522D21" w14:textId="1BB779EA" w:rsidTr="005E0578">
        <w:tc>
          <w:tcPr>
            <w:tcW w:w="4395" w:type="dxa"/>
            <w:tcBorders>
              <w:top w:val="nil"/>
              <w:left w:val="nil"/>
              <w:right w:val="nil"/>
            </w:tcBorders>
            <w:shd w:val="clear" w:color="auto" w:fill="auto"/>
            <w:noWrap/>
            <w:hideMark/>
          </w:tcPr>
          <w:p w14:paraId="7B727295"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Legal, social, cultural and related associate professionals</w:t>
            </w:r>
          </w:p>
        </w:tc>
        <w:tc>
          <w:tcPr>
            <w:tcW w:w="1183" w:type="dxa"/>
            <w:tcBorders>
              <w:top w:val="nil"/>
              <w:left w:val="nil"/>
              <w:right w:val="nil"/>
            </w:tcBorders>
            <w:shd w:val="clear" w:color="auto" w:fill="auto"/>
            <w:noWrap/>
            <w:hideMark/>
          </w:tcPr>
          <w:p w14:paraId="70A2C15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34</w:t>
            </w:r>
          </w:p>
        </w:tc>
        <w:tc>
          <w:tcPr>
            <w:tcW w:w="1085" w:type="dxa"/>
            <w:tcBorders>
              <w:top w:val="nil"/>
              <w:left w:val="nil"/>
              <w:right w:val="nil"/>
            </w:tcBorders>
            <w:shd w:val="clear" w:color="auto" w:fill="auto"/>
            <w:noWrap/>
            <w:hideMark/>
          </w:tcPr>
          <w:p w14:paraId="2EDF8F74"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62.3</w:t>
            </w:r>
          </w:p>
        </w:tc>
        <w:tc>
          <w:tcPr>
            <w:tcW w:w="1282" w:type="dxa"/>
            <w:tcBorders>
              <w:top w:val="nil"/>
              <w:left w:val="nil"/>
              <w:right w:val="single" w:sz="4" w:space="0" w:color="auto"/>
            </w:tcBorders>
            <w:shd w:val="clear" w:color="auto" w:fill="auto"/>
            <w:noWrap/>
            <w:hideMark/>
          </w:tcPr>
          <w:p w14:paraId="518F2A2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right w:val="nil"/>
            </w:tcBorders>
          </w:tcPr>
          <w:p w14:paraId="76FD7CE6" w14:textId="285F92EA"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0.82</w:t>
            </w:r>
          </w:p>
        </w:tc>
        <w:tc>
          <w:tcPr>
            <w:tcW w:w="989" w:type="dxa"/>
            <w:tcBorders>
              <w:top w:val="nil"/>
              <w:left w:val="single" w:sz="4" w:space="0" w:color="auto"/>
              <w:right w:val="nil"/>
            </w:tcBorders>
          </w:tcPr>
          <w:p w14:paraId="68CCBD27" w14:textId="713F7F84"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0.42</w:t>
            </w:r>
          </w:p>
        </w:tc>
      </w:tr>
      <w:tr w:rsidR="005E0578" w:rsidRPr="0021683E" w14:paraId="11C71ED7" w14:textId="11817563" w:rsidTr="005E0578">
        <w:tc>
          <w:tcPr>
            <w:tcW w:w="4395" w:type="dxa"/>
            <w:tcBorders>
              <w:top w:val="nil"/>
              <w:left w:val="nil"/>
              <w:bottom w:val="single" w:sz="4" w:space="0" w:color="auto"/>
              <w:right w:val="nil"/>
            </w:tcBorders>
            <w:shd w:val="clear" w:color="auto" w:fill="auto"/>
            <w:noWrap/>
            <w:hideMark/>
          </w:tcPr>
          <w:p w14:paraId="779A45F1"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Information and communications technicians</w:t>
            </w:r>
          </w:p>
        </w:tc>
        <w:tc>
          <w:tcPr>
            <w:tcW w:w="1183" w:type="dxa"/>
            <w:tcBorders>
              <w:top w:val="nil"/>
              <w:left w:val="nil"/>
              <w:bottom w:val="single" w:sz="4" w:space="0" w:color="auto"/>
              <w:right w:val="nil"/>
            </w:tcBorders>
            <w:shd w:val="clear" w:color="auto" w:fill="auto"/>
            <w:noWrap/>
            <w:hideMark/>
          </w:tcPr>
          <w:p w14:paraId="747A3199"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35</w:t>
            </w:r>
          </w:p>
        </w:tc>
        <w:tc>
          <w:tcPr>
            <w:tcW w:w="1085" w:type="dxa"/>
            <w:tcBorders>
              <w:top w:val="nil"/>
              <w:left w:val="nil"/>
              <w:bottom w:val="single" w:sz="4" w:space="0" w:color="auto"/>
              <w:right w:val="nil"/>
            </w:tcBorders>
            <w:shd w:val="clear" w:color="auto" w:fill="auto"/>
            <w:noWrap/>
            <w:hideMark/>
          </w:tcPr>
          <w:p w14:paraId="0ECDAEF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23.1</w:t>
            </w:r>
          </w:p>
        </w:tc>
        <w:tc>
          <w:tcPr>
            <w:tcW w:w="1282" w:type="dxa"/>
            <w:tcBorders>
              <w:top w:val="nil"/>
              <w:left w:val="nil"/>
              <w:bottom w:val="single" w:sz="4" w:space="0" w:color="auto"/>
              <w:right w:val="single" w:sz="4" w:space="0" w:color="auto"/>
            </w:tcBorders>
            <w:shd w:val="clear" w:color="auto" w:fill="auto"/>
            <w:noWrap/>
            <w:hideMark/>
          </w:tcPr>
          <w:p w14:paraId="03BD5734"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bottom w:val="single" w:sz="4" w:space="0" w:color="auto"/>
              <w:right w:val="nil"/>
            </w:tcBorders>
          </w:tcPr>
          <w:p w14:paraId="1B8DA7D8" w14:textId="7593E389"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0.12</w:t>
            </w:r>
          </w:p>
        </w:tc>
        <w:tc>
          <w:tcPr>
            <w:tcW w:w="989" w:type="dxa"/>
            <w:tcBorders>
              <w:top w:val="nil"/>
              <w:left w:val="single" w:sz="4" w:space="0" w:color="auto"/>
              <w:bottom w:val="single" w:sz="4" w:space="0" w:color="auto"/>
              <w:right w:val="nil"/>
            </w:tcBorders>
          </w:tcPr>
          <w:p w14:paraId="2E80FFE1" w14:textId="2C0BE8FC"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0.29</w:t>
            </w:r>
          </w:p>
        </w:tc>
      </w:tr>
      <w:tr w:rsidR="005E0578" w:rsidRPr="0021683E" w14:paraId="4A5F6D25" w14:textId="25E514F6" w:rsidTr="005E0578">
        <w:tc>
          <w:tcPr>
            <w:tcW w:w="4395" w:type="dxa"/>
            <w:tcBorders>
              <w:top w:val="single" w:sz="4" w:space="0" w:color="auto"/>
              <w:left w:val="nil"/>
              <w:bottom w:val="nil"/>
              <w:right w:val="nil"/>
            </w:tcBorders>
            <w:shd w:val="clear" w:color="auto" w:fill="auto"/>
            <w:noWrap/>
            <w:hideMark/>
          </w:tcPr>
          <w:p w14:paraId="1EF6D362"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General and keyboard clerks</w:t>
            </w:r>
          </w:p>
        </w:tc>
        <w:tc>
          <w:tcPr>
            <w:tcW w:w="1183" w:type="dxa"/>
            <w:tcBorders>
              <w:top w:val="single" w:sz="4" w:space="0" w:color="auto"/>
              <w:left w:val="nil"/>
              <w:bottom w:val="nil"/>
              <w:right w:val="nil"/>
            </w:tcBorders>
            <w:shd w:val="clear" w:color="auto" w:fill="auto"/>
            <w:noWrap/>
            <w:hideMark/>
          </w:tcPr>
          <w:p w14:paraId="7E180FB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41</w:t>
            </w:r>
          </w:p>
        </w:tc>
        <w:tc>
          <w:tcPr>
            <w:tcW w:w="1085" w:type="dxa"/>
            <w:tcBorders>
              <w:top w:val="single" w:sz="4" w:space="0" w:color="auto"/>
              <w:left w:val="nil"/>
              <w:bottom w:val="nil"/>
              <w:right w:val="nil"/>
            </w:tcBorders>
            <w:shd w:val="clear" w:color="auto" w:fill="auto"/>
            <w:noWrap/>
            <w:hideMark/>
          </w:tcPr>
          <w:p w14:paraId="7C1F093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89.9</w:t>
            </w:r>
          </w:p>
        </w:tc>
        <w:tc>
          <w:tcPr>
            <w:tcW w:w="1282" w:type="dxa"/>
            <w:tcBorders>
              <w:top w:val="single" w:sz="4" w:space="0" w:color="auto"/>
              <w:left w:val="nil"/>
              <w:bottom w:val="nil"/>
              <w:right w:val="single" w:sz="4" w:space="0" w:color="auto"/>
            </w:tcBorders>
            <w:shd w:val="clear" w:color="auto" w:fill="auto"/>
            <w:noWrap/>
            <w:hideMark/>
          </w:tcPr>
          <w:p w14:paraId="4DB2407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single" w:sz="4" w:space="0" w:color="auto"/>
              <w:left w:val="single" w:sz="4" w:space="0" w:color="auto"/>
              <w:bottom w:val="nil"/>
              <w:right w:val="nil"/>
            </w:tcBorders>
          </w:tcPr>
          <w:p w14:paraId="7F0BAE5F" w14:textId="458CF861"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0.76</w:t>
            </w:r>
          </w:p>
        </w:tc>
        <w:tc>
          <w:tcPr>
            <w:tcW w:w="989" w:type="dxa"/>
            <w:tcBorders>
              <w:top w:val="single" w:sz="4" w:space="0" w:color="auto"/>
              <w:left w:val="single" w:sz="4" w:space="0" w:color="auto"/>
              <w:bottom w:val="nil"/>
              <w:right w:val="nil"/>
            </w:tcBorders>
          </w:tcPr>
          <w:p w14:paraId="6061DA03" w14:textId="5FF5D31A"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0.14</w:t>
            </w:r>
          </w:p>
        </w:tc>
      </w:tr>
      <w:tr w:rsidR="005E0578" w:rsidRPr="0021683E" w14:paraId="575050E6" w14:textId="24F58B38" w:rsidTr="005E0578">
        <w:tc>
          <w:tcPr>
            <w:tcW w:w="4395" w:type="dxa"/>
            <w:tcBorders>
              <w:top w:val="nil"/>
              <w:left w:val="nil"/>
              <w:bottom w:val="nil"/>
              <w:right w:val="nil"/>
            </w:tcBorders>
            <w:shd w:val="clear" w:color="auto" w:fill="auto"/>
            <w:noWrap/>
            <w:hideMark/>
          </w:tcPr>
          <w:p w14:paraId="49EAF776"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Customer services clerks</w:t>
            </w:r>
          </w:p>
        </w:tc>
        <w:tc>
          <w:tcPr>
            <w:tcW w:w="1183" w:type="dxa"/>
            <w:tcBorders>
              <w:top w:val="nil"/>
              <w:left w:val="nil"/>
              <w:bottom w:val="nil"/>
              <w:right w:val="nil"/>
            </w:tcBorders>
            <w:shd w:val="clear" w:color="auto" w:fill="auto"/>
            <w:noWrap/>
            <w:hideMark/>
          </w:tcPr>
          <w:p w14:paraId="56244D99"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42</w:t>
            </w:r>
          </w:p>
        </w:tc>
        <w:tc>
          <w:tcPr>
            <w:tcW w:w="1085" w:type="dxa"/>
            <w:tcBorders>
              <w:top w:val="nil"/>
              <w:left w:val="nil"/>
              <w:bottom w:val="nil"/>
              <w:right w:val="nil"/>
            </w:tcBorders>
            <w:shd w:val="clear" w:color="auto" w:fill="auto"/>
            <w:noWrap/>
            <w:hideMark/>
          </w:tcPr>
          <w:p w14:paraId="49C1B75B"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73.7</w:t>
            </w:r>
          </w:p>
        </w:tc>
        <w:tc>
          <w:tcPr>
            <w:tcW w:w="1282" w:type="dxa"/>
            <w:tcBorders>
              <w:top w:val="nil"/>
              <w:left w:val="nil"/>
              <w:bottom w:val="nil"/>
              <w:right w:val="single" w:sz="4" w:space="0" w:color="auto"/>
            </w:tcBorders>
            <w:shd w:val="clear" w:color="auto" w:fill="auto"/>
            <w:noWrap/>
            <w:hideMark/>
          </w:tcPr>
          <w:p w14:paraId="27A3F08E"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2D6C0CB3" w14:textId="4C217396"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1.13</w:t>
            </w:r>
          </w:p>
        </w:tc>
        <w:tc>
          <w:tcPr>
            <w:tcW w:w="989" w:type="dxa"/>
            <w:tcBorders>
              <w:top w:val="nil"/>
              <w:left w:val="single" w:sz="4" w:space="0" w:color="auto"/>
              <w:bottom w:val="nil"/>
              <w:right w:val="nil"/>
            </w:tcBorders>
          </w:tcPr>
          <w:p w14:paraId="7AEAACEC" w14:textId="74B07830"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0.43</w:t>
            </w:r>
          </w:p>
        </w:tc>
      </w:tr>
      <w:tr w:rsidR="005E0578" w:rsidRPr="0021683E" w14:paraId="38CD8E92" w14:textId="17F8C1D0" w:rsidTr="005E0578">
        <w:tc>
          <w:tcPr>
            <w:tcW w:w="4395" w:type="dxa"/>
            <w:tcBorders>
              <w:top w:val="nil"/>
              <w:left w:val="nil"/>
              <w:right w:val="nil"/>
            </w:tcBorders>
            <w:shd w:val="clear" w:color="auto" w:fill="auto"/>
            <w:noWrap/>
            <w:hideMark/>
          </w:tcPr>
          <w:p w14:paraId="3F3C752D"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Numerical and material recording clerks</w:t>
            </w:r>
          </w:p>
        </w:tc>
        <w:tc>
          <w:tcPr>
            <w:tcW w:w="1183" w:type="dxa"/>
            <w:tcBorders>
              <w:top w:val="nil"/>
              <w:left w:val="nil"/>
              <w:right w:val="nil"/>
            </w:tcBorders>
            <w:shd w:val="clear" w:color="auto" w:fill="auto"/>
            <w:noWrap/>
            <w:hideMark/>
          </w:tcPr>
          <w:p w14:paraId="0D680F3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43</w:t>
            </w:r>
          </w:p>
        </w:tc>
        <w:tc>
          <w:tcPr>
            <w:tcW w:w="1085" w:type="dxa"/>
            <w:tcBorders>
              <w:top w:val="nil"/>
              <w:left w:val="nil"/>
              <w:right w:val="nil"/>
            </w:tcBorders>
            <w:shd w:val="clear" w:color="auto" w:fill="auto"/>
            <w:noWrap/>
            <w:hideMark/>
          </w:tcPr>
          <w:p w14:paraId="6C1CC94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59.6</w:t>
            </w:r>
          </w:p>
        </w:tc>
        <w:tc>
          <w:tcPr>
            <w:tcW w:w="1282" w:type="dxa"/>
            <w:tcBorders>
              <w:top w:val="nil"/>
              <w:left w:val="nil"/>
              <w:right w:val="single" w:sz="4" w:space="0" w:color="auto"/>
            </w:tcBorders>
            <w:shd w:val="clear" w:color="auto" w:fill="auto"/>
            <w:noWrap/>
            <w:hideMark/>
          </w:tcPr>
          <w:p w14:paraId="2763C01B"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right w:val="nil"/>
            </w:tcBorders>
          </w:tcPr>
          <w:p w14:paraId="3BBD61C2" w14:textId="3A5C0CDF"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0.78</w:t>
            </w:r>
          </w:p>
        </w:tc>
        <w:tc>
          <w:tcPr>
            <w:tcW w:w="989" w:type="dxa"/>
            <w:tcBorders>
              <w:top w:val="nil"/>
              <w:left w:val="single" w:sz="4" w:space="0" w:color="auto"/>
              <w:right w:val="nil"/>
            </w:tcBorders>
          </w:tcPr>
          <w:p w14:paraId="3D300794" w14:textId="30FFD149"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0.72</w:t>
            </w:r>
          </w:p>
        </w:tc>
      </w:tr>
      <w:tr w:rsidR="005E0578" w:rsidRPr="0021683E" w14:paraId="1B2FB894" w14:textId="769F8963" w:rsidTr="005E0578">
        <w:tc>
          <w:tcPr>
            <w:tcW w:w="4395" w:type="dxa"/>
            <w:tcBorders>
              <w:top w:val="nil"/>
              <w:left w:val="nil"/>
              <w:bottom w:val="single" w:sz="4" w:space="0" w:color="auto"/>
              <w:right w:val="nil"/>
            </w:tcBorders>
            <w:shd w:val="clear" w:color="auto" w:fill="auto"/>
            <w:noWrap/>
            <w:hideMark/>
          </w:tcPr>
          <w:p w14:paraId="40E34ACF"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Other clerical support workers</w:t>
            </w:r>
          </w:p>
        </w:tc>
        <w:tc>
          <w:tcPr>
            <w:tcW w:w="1183" w:type="dxa"/>
            <w:tcBorders>
              <w:top w:val="nil"/>
              <w:left w:val="nil"/>
              <w:bottom w:val="single" w:sz="4" w:space="0" w:color="auto"/>
              <w:right w:val="nil"/>
            </w:tcBorders>
            <w:shd w:val="clear" w:color="auto" w:fill="auto"/>
            <w:noWrap/>
            <w:hideMark/>
          </w:tcPr>
          <w:p w14:paraId="6AB9C3E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44</w:t>
            </w:r>
          </w:p>
        </w:tc>
        <w:tc>
          <w:tcPr>
            <w:tcW w:w="1085" w:type="dxa"/>
            <w:tcBorders>
              <w:top w:val="nil"/>
              <w:left w:val="nil"/>
              <w:bottom w:val="single" w:sz="4" w:space="0" w:color="auto"/>
              <w:right w:val="nil"/>
            </w:tcBorders>
            <w:shd w:val="clear" w:color="auto" w:fill="auto"/>
            <w:noWrap/>
            <w:hideMark/>
          </w:tcPr>
          <w:p w14:paraId="739CA96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96.7</w:t>
            </w:r>
          </w:p>
        </w:tc>
        <w:tc>
          <w:tcPr>
            <w:tcW w:w="1282" w:type="dxa"/>
            <w:tcBorders>
              <w:top w:val="nil"/>
              <w:left w:val="nil"/>
              <w:bottom w:val="single" w:sz="4" w:space="0" w:color="auto"/>
              <w:right w:val="single" w:sz="4" w:space="0" w:color="auto"/>
            </w:tcBorders>
            <w:shd w:val="clear" w:color="auto" w:fill="auto"/>
            <w:noWrap/>
            <w:hideMark/>
          </w:tcPr>
          <w:p w14:paraId="5C1B379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single" w:sz="4" w:space="0" w:color="auto"/>
              <w:right w:val="nil"/>
            </w:tcBorders>
          </w:tcPr>
          <w:p w14:paraId="46570061" w14:textId="78669682"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0.87</w:t>
            </w:r>
          </w:p>
        </w:tc>
        <w:tc>
          <w:tcPr>
            <w:tcW w:w="989" w:type="dxa"/>
            <w:tcBorders>
              <w:top w:val="nil"/>
              <w:left w:val="single" w:sz="4" w:space="0" w:color="auto"/>
              <w:bottom w:val="single" w:sz="4" w:space="0" w:color="auto"/>
              <w:right w:val="nil"/>
            </w:tcBorders>
          </w:tcPr>
          <w:p w14:paraId="616685E3" w14:textId="610C9D22"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0.04</w:t>
            </w:r>
          </w:p>
        </w:tc>
      </w:tr>
      <w:tr w:rsidR="005E0578" w:rsidRPr="0021683E" w14:paraId="00680671" w14:textId="352B3719" w:rsidTr="005E0578">
        <w:tc>
          <w:tcPr>
            <w:tcW w:w="4395" w:type="dxa"/>
            <w:tcBorders>
              <w:top w:val="single" w:sz="4" w:space="0" w:color="auto"/>
              <w:left w:val="nil"/>
              <w:bottom w:val="nil"/>
              <w:right w:val="nil"/>
            </w:tcBorders>
            <w:shd w:val="clear" w:color="auto" w:fill="auto"/>
            <w:noWrap/>
            <w:hideMark/>
          </w:tcPr>
          <w:p w14:paraId="10C8C5C2"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Personal service workers</w:t>
            </w:r>
          </w:p>
        </w:tc>
        <w:tc>
          <w:tcPr>
            <w:tcW w:w="1183" w:type="dxa"/>
            <w:tcBorders>
              <w:top w:val="single" w:sz="4" w:space="0" w:color="auto"/>
              <w:left w:val="nil"/>
              <w:bottom w:val="nil"/>
              <w:right w:val="nil"/>
            </w:tcBorders>
            <w:shd w:val="clear" w:color="auto" w:fill="auto"/>
            <w:noWrap/>
            <w:hideMark/>
          </w:tcPr>
          <w:p w14:paraId="01575B9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51</w:t>
            </w:r>
          </w:p>
        </w:tc>
        <w:tc>
          <w:tcPr>
            <w:tcW w:w="1085" w:type="dxa"/>
            <w:tcBorders>
              <w:top w:val="single" w:sz="4" w:space="0" w:color="auto"/>
              <w:left w:val="nil"/>
              <w:bottom w:val="nil"/>
              <w:right w:val="nil"/>
            </w:tcBorders>
            <w:shd w:val="clear" w:color="auto" w:fill="auto"/>
            <w:noWrap/>
            <w:hideMark/>
          </w:tcPr>
          <w:p w14:paraId="0F61D84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73.7</w:t>
            </w:r>
          </w:p>
        </w:tc>
        <w:tc>
          <w:tcPr>
            <w:tcW w:w="1282" w:type="dxa"/>
            <w:tcBorders>
              <w:top w:val="single" w:sz="4" w:space="0" w:color="auto"/>
              <w:left w:val="nil"/>
              <w:bottom w:val="nil"/>
              <w:right w:val="single" w:sz="4" w:space="0" w:color="auto"/>
            </w:tcBorders>
            <w:shd w:val="clear" w:color="auto" w:fill="auto"/>
            <w:noWrap/>
            <w:hideMark/>
          </w:tcPr>
          <w:p w14:paraId="37B39BA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single" w:sz="4" w:space="0" w:color="auto"/>
              <w:left w:val="single" w:sz="4" w:space="0" w:color="auto"/>
              <w:bottom w:val="nil"/>
              <w:right w:val="nil"/>
            </w:tcBorders>
          </w:tcPr>
          <w:p w14:paraId="78CD55E7" w14:textId="12A8EEB8"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4.42</w:t>
            </w:r>
          </w:p>
        </w:tc>
        <w:tc>
          <w:tcPr>
            <w:tcW w:w="989" w:type="dxa"/>
            <w:tcBorders>
              <w:top w:val="single" w:sz="4" w:space="0" w:color="auto"/>
              <w:left w:val="single" w:sz="4" w:space="0" w:color="auto"/>
              <w:bottom w:val="nil"/>
              <w:right w:val="nil"/>
            </w:tcBorders>
          </w:tcPr>
          <w:p w14:paraId="55ED878F" w14:textId="3BF5035C"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1.61</w:t>
            </w:r>
          </w:p>
        </w:tc>
      </w:tr>
      <w:tr w:rsidR="005E0578" w:rsidRPr="0021683E" w14:paraId="3F7FD88C" w14:textId="14764BBF" w:rsidTr="005E0578">
        <w:tc>
          <w:tcPr>
            <w:tcW w:w="4395" w:type="dxa"/>
            <w:tcBorders>
              <w:top w:val="nil"/>
              <w:left w:val="nil"/>
              <w:bottom w:val="nil"/>
              <w:right w:val="nil"/>
            </w:tcBorders>
            <w:shd w:val="clear" w:color="auto" w:fill="auto"/>
            <w:noWrap/>
            <w:hideMark/>
          </w:tcPr>
          <w:p w14:paraId="31CBDCE4"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Sales workers</w:t>
            </w:r>
          </w:p>
        </w:tc>
        <w:tc>
          <w:tcPr>
            <w:tcW w:w="1183" w:type="dxa"/>
            <w:tcBorders>
              <w:top w:val="nil"/>
              <w:left w:val="nil"/>
              <w:bottom w:val="nil"/>
              <w:right w:val="nil"/>
            </w:tcBorders>
            <w:shd w:val="clear" w:color="auto" w:fill="auto"/>
            <w:noWrap/>
            <w:hideMark/>
          </w:tcPr>
          <w:p w14:paraId="74E5E76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52</w:t>
            </w:r>
          </w:p>
        </w:tc>
        <w:tc>
          <w:tcPr>
            <w:tcW w:w="1085" w:type="dxa"/>
            <w:tcBorders>
              <w:top w:val="nil"/>
              <w:left w:val="nil"/>
              <w:bottom w:val="nil"/>
              <w:right w:val="nil"/>
            </w:tcBorders>
            <w:shd w:val="clear" w:color="auto" w:fill="auto"/>
            <w:noWrap/>
            <w:hideMark/>
          </w:tcPr>
          <w:p w14:paraId="32EA403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75.2</w:t>
            </w:r>
          </w:p>
        </w:tc>
        <w:tc>
          <w:tcPr>
            <w:tcW w:w="1282" w:type="dxa"/>
            <w:tcBorders>
              <w:top w:val="nil"/>
              <w:left w:val="nil"/>
              <w:bottom w:val="nil"/>
              <w:right w:val="single" w:sz="4" w:space="0" w:color="auto"/>
            </w:tcBorders>
            <w:shd w:val="clear" w:color="auto" w:fill="auto"/>
            <w:noWrap/>
            <w:hideMark/>
          </w:tcPr>
          <w:p w14:paraId="5FAE5F0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666EF52A" w14:textId="75DAB520"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11.37</w:t>
            </w:r>
          </w:p>
        </w:tc>
        <w:tc>
          <w:tcPr>
            <w:tcW w:w="989" w:type="dxa"/>
            <w:tcBorders>
              <w:top w:val="nil"/>
              <w:left w:val="single" w:sz="4" w:space="0" w:color="auto"/>
              <w:bottom w:val="nil"/>
              <w:right w:val="nil"/>
            </w:tcBorders>
          </w:tcPr>
          <w:p w14:paraId="1944AD37" w14:textId="418EAA60"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4.28</w:t>
            </w:r>
          </w:p>
        </w:tc>
      </w:tr>
      <w:tr w:rsidR="005E0578" w:rsidRPr="0021683E" w14:paraId="4B164ABB" w14:textId="7AB5CDC0" w:rsidTr="005E0578">
        <w:tc>
          <w:tcPr>
            <w:tcW w:w="4395" w:type="dxa"/>
            <w:tcBorders>
              <w:top w:val="nil"/>
              <w:left w:val="nil"/>
              <w:right w:val="nil"/>
            </w:tcBorders>
            <w:shd w:val="clear" w:color="auto" w:fill="auto"/>
            <w:noWrap/>
            <w:hideMark/>
          </w:tcPr>
          <w:p w14:paraId="26A34043"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Personal care workers</w:t>
            </w:r>
          </w:p>
        </w:tc>
        <w:tc>
          <w:tcPr>
            <w:tcW w:w="1183" w:type="dxa"/>
            <w:tcBorders>
              <w:top w:val="nil"/>
              <w:left w:val="nil"/>
              <w:right w:val="nil"/>
            </w:tcBorders>
            <w:shd w:val="clear" w:color="auto" w:fill="auto"/>
            <w:noWrap/>
            <w:hideMark/>
          </w:tcPr>
          <w:p w14:paraId="5FE5162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53</w:t>
            </w:r>
          </w:p>
        </w:tc>
        <w:tc>
          <w:tcPr>
            <w:tcW w:w="1085" w:type="dxa"/>
            <w:tcBorders>
              <w:top w:val="nil"/>
              <w:left w:val="nil"/>
              <w:right w:val="nil"/>
            </w:tcBorders>
            <w:shd w:val="clear" w:color="auto" w:fill="auto"/>
            <w:noWrap/>
            <w:hideMark/>
          </w:tcPr>
          <w:p w14:paraId="7290429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98.6</w:t>
            </w:r>
          </w:p>
        </w:tc>
        <w:tc>
          <w:tcPr>
            <w:tcW w:w="1282" w:type="dxa"/>
            <w:tcBorders>
              <w:top w:val="nil"/>
              <w:left w:val="nil"/>
              <w:right w:val="single" w:sz="4" w:space="0" w:color="auto"/>
            </w:tcBorders>
            <w:shd w:val="clear" w:color="auto" w:fill="auto"/>
            <w:noWrap/>
            <w:hideMark/>
          </w:tcPr>
          <w:p w14:paraId="2356917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right w:val="nil"/>
            </w:tcBorders>
          </w:tcPr>
          <w:p w14:paraId="6FB56E62" w14:textId="626373E0"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3.85</w:t>
            </w:r>
          </w:p>
        </w:tc>
        <w:tc>
          <w:tcPr>
            <w:tcW w:w="989" w:type="dxa"/>
            <w:tcBorders>
              <w:top w:val="nil"/>
              <w:left w:val="single" w:sz="4" w:space="0" w:color="auto"/>
              <w:right w:val="nil"/>
            </w:tcBorders>
          </w:tcPr>
          <w:p w14:paraId="2BA3367D" w14:textId="192B096E"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0.04</w:t>
            </w:r>
          </w:p>
        </w:tc>
      </w:tr>
      <w:tr w:rsidR="005E0578" w:rsidRPr="0021683E" w14:paraId="7E9BFEF8" w14:textId="2F6E1714" w:rsidTr="005E0578">
        <w:tc>
          <w:tcPr>
            <w:tcW w:w="4395" w:type="dxa"/>
            <w:tcBorders>
              <w:top w:val="nil"/>
              <w:left w:val="nil"/>
              <w:bottom w:val="single" w:sz="4" w:space="0" w:color="auto"/>
              <w:right w:val="nil"/>
            </w:tcBorders>
            <w:shd w:val="clear" w:color="auto" w:fill="auto"/>
            <w:noWrap/>
            <w:hideMark/>
          </w:tcPr>
          <w:p w14:paraId="313DC7FE"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Protective services workers</w:t>
            </w:r>
          </w:p>
        </w:tc>
        <w:tc>
          <w:tcPr>
            <w:tcW w:w="1183" w:type="dxa"/>
            <w:tcBorders>
              <w:top w:val="nil"/>
              <w:left w:val="nil"/>
              <w:bottom w:val="single" w:sz="4" w:space="0" w:color="auto"/>
              <w:right w:val="nil"/>
            </w:tcBorders>
            <w:shd w:val="clear" w:color="auto" w:fill="auto"/>
            <w:noWrap/>
            <w:hideMark/>
          </w:tcPr>
          <w:p w14:paraId="2A2E2FDE"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54</w:t>
            </w:r>
          </w:p>
        </w:tc>
        <w:tc>
          <w:tcPr>
            <w:tcW w:w="1085" w:type="dxa"/>
            <w:tcBorders>
              <w:top w:val="nil"/>
              <w:left w:val="nil"/>
              <w:bottom w:val="single" w:sz="4" w:space="0" w:color="auto"/>
              <w:right w:val="nil"/>
            </w:tcBorders>
            <w:shd w:val="clear" w:color="auto" w:fill="auto"/>
            <w:noWrap/>
            <w:hideMark/>
          </w:tcPr>
          <w:p w14:paraId="48EF344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5.1</w:t>
            </w:r>
          </w:p>
        </w:tc>
        <w:tc>
          <w:tcPr>
            <w:tcW w:w="1282" w:type="dxa"/>
            <w:tcBorders>
              <w:top w:val="nil"/>
              <w:left w:val="nil"/>
              <w:bottom w:val="single" w:sz="4" w:space="0" w:color="auto"/>
              <w:right w:val="single" w:sz="4" w:space="0" w:color="auto"/>
            </w:tcBorders>
            <w:shd w:val="clear" w:color="auto" w:fill="auto"/>
            <w:noWrap/>
            <w:hideMark/>
          </w:tcPr>
          <w:p w14:paraId="1BB4B54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bottom w:val="single" w:sz="4" w:space="0" w:color="auto"/>
              <w:right w:val="nil"/>
            </w:tcBorders>
          </w:tcPr>
          <w:p w14:paraId="48C9ADFF" w14:textId="1C613DE8"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0.06</w:t>
            </w:r>
          </w:p>
        </w:tc>
        <w:tc>
          <w:tcPr>
            <w:tcW w:w="989" w:type="dxa"/>
            <w:tcBorders>
              <w:top w:val="nil"/>
              <w:left w:val="single" w:sz="4" w:space="0" w:color="auto"/>
              <w:bottom w:val="single" w:sz="4" w:space="0" w:color="auto"/>
              <w:right w:val="nil"/>
            </w:tcBorders>
          </w:tcPr>
          <w:p w14:paraId="2D78208D" w14:textId="231591A9"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1.85</w:t>
            </w:r>
          </w:p>
        </w:tc>
      </w:tr>
      <w:tr w:rsidR="005E0578" w:rsidRPr="0021683E" w14:paraId="45E51E04" w14:textId="7485833B" w:rsidTr="005E0578">
        <w:tc>
          <w:tcPr>
            <w:tcW w:w="4395" w:type="dxa"/>
            <w:tcBorders>
              <w:top w:val="single" w:sz="4" w:space="0" w:color="auto"/>
              <w:left w:val="nil"/>
              <w:bottom w:val="nil"/>
              <w:right w:val="nil"/>
            </w:tcBorders>
            <w:shd w:val="clear" w:color="auto" w:fill="auto"/>
            <w:noWrap/>
            <w:hideMark/>
          </w:tcPr>
          <w:p w14:paraId="4191728B"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Market-oriented skilled agricultural workers</w:t>
            </w:r>
          </w:p>
        </w:tc>
        <w:tc>
          <w:tcPr>
            <w:tcW w:w="1183" w:type="dxa"/>
            <w:tcBorders>
              <w:top w:val="single" w:sz="4" w:space="0" w:color="auto"/>
              <w:left w:val="nil"/>
              <w:bottom w:val="nil"/>
              <w:right w:val="nil"/>
            </w:tcBorders>
            <w:shd w:val="clear" w:color="auto" w:fill="auto"/>
            <w:noWrap/>
            <w:hideMark/>
          </w:tcPr>
          <w:p w14:paraId="03E4217B"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61</w:t>
            </w:r>
          </w:p>
        </w:tc>
        <w:tc>
          <w:tcPr>
            <w:tcW w:w="1085" w:type="dxa"/>
            <w:tcBorders>
              <w:top w:val="single" w:sz="4" w:space="0" w:color="auto"/>
              <w:left w:val="nil"/>
              <w:bottom w:val="nil"/>
              <w:right w:val="nil"/>
            </w:tcBorders>
            <w:shd w:val="clear" w:color="auto" w:fill="auto"/>
            <w:noWrap/>
            <w:hideMark/>
          </w:tcPr>
          <w:p w14:paraId="61E51D2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46.0</w:t>
            </w:r>
          </w:p>
        </w:tc>
        <w:tc>
          <w:tcPr>
            <w:tcW w:w="1282" w:type="dxa"/>
            <w:tcBorders>
              <w:top w:val="single" w:sz="4" w:space="0" w:color="auto"/>
              <w:left w:val="nil"/>
              <w:bottom w:val="nil"/>
              <w:right w:val="single" w:sz="4" w:space="0" w:color="auto"/>
            </w:tcBorders>
            <w:shd w:val="clear" w:color="auto" w:fill="auto"/>
            <w:noWrap/>
            <w:hideMark/>
          </w:tcPr>
          <w:p w14:paraId="2D9B9D0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single" w:sz="4" w:space="0" w:color="auto"/>
              <w:left w:val="single" w:sz="4" w:space="0" w:color="auto"/>
              <w:bottom w:val="nil"/>
              <w:right w:val="nil"/>
            </w:tcBorders>
          </w:tcPr>
          <w:p w14:paraId="31E3BF0D" w14:textId="2E89024A"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11.9</w:t>
            </w:r>
            <w:r w:rsidR="002D0FD7">
              <w:rPr>
                <w:rFonts w:ascii="Calibri" w:hAnsi="Calibri" w:cs="Calibri"/>
                <w:color w:val="000000"/>
                <w:sz w:val="20"/>
                <w:szCs w:val="20"/>
              </w:rPr>
              <w:t>0</w:t>
            </w:r>
          </w:p>
        </w:tc>
        <w:tc>
          <w:tcPr>
            <w:tcW w:w="989" w:type="dxa"/>
            <w:tcBorders>
              <w:top w:val="single" w:sz="4" w:space="0" w:color="auto"/>
              <w:left w:val="single" w:sz="4" w:space="0" w:color="auto"/>
              <w:bottom w:val="nil"/>
              <w:right w:val="nil"/>
            </w:tcBorders>
          </w:tcPr>
          <w:p w14:paraId="41086F9C" w14:textId="0D81CBED"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12.72</w:t>
            </w:r>
          </w:p>
        </w:tc>
      </w:tr>
      <w:tr w:rsidR="005E0578" w:rsidRPr="0021683E" w14:paraId="54A49E24" w14:textId="7BAE9334" w:rsidTr="005E0578">
        <w:tc>
          <w:tcPr>
            <w:tcW w:w="4395" w:type="dxa"/>
            <w:tcBorders>
              <w:top w:val="nil"/>
              <w:left w:val="nil"/>
              <w:right w:val="nil"/>
            </w:tcBorders>
            <w:shd w:val="clear" w:color="auto" w:fill="auto"/>
            <w:noWrap/>
            <w:hideMark/>
          </w:tcPr>
          <w:p w14:paraId="01BD69EE"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Market-oriented skilled forestry, fishery and hunting workers</w:t>
            </w:r>
          </w:p>
        </w:tc>
        <w:tc>
          <w:tcPr>
            <w:tcW w:w="1183" w:type="dxa"/>
            <w:tcBorders>
              <w:top w:val="nil"/>
              <w:left w:val="nil"/>
              <w:right w:val="nil"/>
            </w:tcBorders>
            <w:shd w:val="clear" w:color="auto" w:fill="auto"/>
            <w:noWrap/>
            <w:hideMark/>
          </w:tcPr>
          <w:p w14:paraId="5A95873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62</w:t>
            </w:r>
          </w:p>
        </w:tc>
        <w:tc>
          <w:tcPr>
            <w:tcW w:w="1085" w:type="dxa"/>
            <w:tcBorders>
              <w:top w:val="nil"/>
              <w:left w:val="nil"/>
              <w:right w:val="nil"/>
            </w:tcBorders>
            <w:shd w:val="clear" w:color="auto" w:fill="auto"/>
            <w:noWrap/>
            <w:hideMark/>
          </w:tcPr>
          <w:p w14:paraId="3570DB7E"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7.9</w:t>
            </w:r>
          </w:p>
        </w:tc>
        <w:tc>
          <w:tcPr>
            <w:tcW w:w="1282" w:type="dxa"/>
            <w:tcBorders>
              <w:top w:val="nil"/>
              <w:left w:val="nil"/>
              <w:right w:val="single" w:sz="4" w:space="0" w:color="auto"/>
            </w:tcBorders>
            <w:shd w:val="clear" w:color="auto" w:fill="auto"/>
            <w:noWrap/>
            <w:hideMark/>
          </w:tcPr>
          <w:p w14:paraId="45A1361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right w:val="nil"/>
            </w:tcBorders>
          </w:tcPr>
          <w:p w14:paraId="6F7F5CEF" w14:textId="1D291C01"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0.03</w:t>
            </w:r>
          </w:p>
        </w:tc>
        <w:tc>
          <w:tcPr>
            <w:tcW w:w="989" w:type="dxa"/>
            <w:tcBorders>
              <w:top w:val="nil"/>
              <w:left w:val="single" w:sz="4" w:space="0" w:color="auto"/>
              <w:right w:val="nil"/>
            </w:tcBorders>
          </w:tcPr>
          <w:p w14:paraId="7352226E" w14:textId="4778FA2B"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0.11</w:t>
            </w:r>
          </w:p>
        </w:tc>
      </w:tr>
      <w:tr w:rsidR="005E0578" w:rsidRPr="0021683E" w14:paraId="288E3742" w14:textId="30FFCF92" w:rsidTr="005E0578">
        <w:tc>
          <w:tcPr>
            <w:tcW w:w="4395" w:type="dxa"/>
            <w:tcBorders>
              <w:top w:val="nil"/>
              <w:left w:val="nil"/>
              <w:bottom w:val="single" w:sz="4" w:space="0" w:color="auto"/>
              <w:right w:val="nil"/>
            </w:tcBorders>
            <w:shd w:val="clear" w:color="auto" w:fill="auto"/>
            <w:noWrap/>
            <w:hideMark/>
          </w:tcPr>
          <w:p w14:paraId="4A53B51A"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Subsistence farmers, fishers, hunters and gatherers</w:t>
            </w:r>
          </w:p>
        </w:tc>
        <w:tc>
          <w:tcPr>
            <w:tcW w:w="1183" w:type="dxa"/>
            <w:tcBorders>
              <w:top w:val="nil"/>
              <w:left w:val="nil"/>
              <w:bottom w:val="single" w:sz="4" w:space="0" w:color="auto"/>
              <w:right w:val="nil"/>
            </w:tcBorders>
            <w:shd w:val="clear" w:color="auto" w:fill="auto"/>
            <w:noWrap/>
            <w:hideMark/>
          </w:tcPr>
          <w:p w14:paraId="0857811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63</w:t>
            </w:r>
          </w:p>
        </w:tc>
        <w:tc>
          <w:tcPr>
            <w:tcW w:w="1085" w:type="dxa"/>
            <w:tcBorders>
              <w:top w:val="nil"/>
              <w:left w:val="nil"/>
              <w:bottom w:val="single" w:sz="4" w:space="0" w:color="auto"/>
              <w:right w:val="nil"/>
            </w:tcBorders>
            <w:shd w:val="clear" w:color="auto" w:fill="auto"/>
            <w:noWrap/>
            <w:hideMark/>
          </w:tcPr>
          <w:p w14:paraId="2000E0C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47.6</w:t>
            </w:r>
          </w:p>
        </w:tc>
        <w:tc>
          <w:tcPr>
            <w:tcW w:w="1282" w:type="dxa"/>
            <w:tcBorders>
              <w:top w:val="nil"/>
              <w:left w:val="nil"/>
              <w:bottom w:val="single" w:sz="4" w:space="0" w:color="auto"/>
              <w:right w:val="single" w:sz="4" w:space="0" w:color="auto"/>
            </w:tcBorders>
            <w:shd w:val="clear" w:color="auto" w:fill="auto"/>
            <w:noWrap/>
            <w:hideMark/>
          </w:tcPr>
          <w:p w14:paraId="5CBBB7F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single" w:sz="4" w:space="0" w:color="auto"/>
              <w:right w:val="nil"/>
            </w:tcBorders>
          </w:tcPr>
          <w:p w14:paraId="6FE0911E" w14:textId="4D240E4E"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13.62</w:t>
            </w:r>
          </w:p>
        </w:tc>
        <w:tc>
          <w:tcPr>
            <w:tcW w:w="989" w:type="dxa"/>
            <w:tcBorders>
              <w:top w:val="nil"/>
              <w:left w:val="single" w:sz="4" w:space="0" w:color="auto"/>
              <w:bottom w:val="single" w:sz="4" w:space="0" w:color="auto"/>
              <w:right w:val="nil"/>
            </w:tcBorders>
          </w:tcPr>
          <w:p w14:paraId="60CAE662" w14:textId="072230DF"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14.03</w:t>
            </w:r>
          </w:p>
        </w:tc>
      </w:tr>
      <w:tr w:rsidR="005E0578" w:rsidRPr="0021683E" w14:paraId="6BF55400" w14:textId="62F52F57" w:rsidTr="005E0578">
        <w:tc>
          <w:tcPr>
            <w:tcW w:w="4395" w:type="dxa"/>
            <w:tcBorders>
              <w:top w:val="single" w:sz="4" w:space="0" w:color="auto"/>
              <w:left w:val="nil"/>
              <w:bottom w:val="nil"/>
              <w:right w:val="nil"/>
            </w:tcBorders>
            <w:shd w:val="clear" w:color="auto" w:fill="auto"/>
            <w:noWrap/>
            <w:hideMark/>
          </w:tcPr>
          <w:p w14:paraId="72EAAA5A"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Building and related trades workers, excluding electricians</w:t>
            </w:r>
          </w:p>
        </w:tc>
        <w:tc>
          <w:tcPr>
            <w:tcW w:w="1183" w:type="dxa"/>
            <w:tcBorders>
              <w:top w:val="single" w:sz="4" w:space="0" w:color="auto"/>
              <w:left w:val="nil"/>
              <w:bottom w:val="nil"/>
              <w:right w:val="nil"/>
            </w:tcBorders>
            <w:shd w:val="clear" w:color="auto" w:fill="auto"/>
            <w:noWrap/>
            <w:hideMark/>
          </w:tcPr>
          <w:p w14:paraId="2F96348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71</w:t>
            </w:r>
          </w:p>
        </w:tc>
        <w:tc>
          <w:tcPr>
            <w:tcW w:w="1085" w:type="dxa"/>
            <w:tcBorders>
              <w:top w:val="single" w:sz="4" w:space="0" w:color="auto"/>
              <w:left w:val="nil"/>
              <w:bottom w:val="nil"/>
              <w:right w:val="nil"/>
            </w:tcBorders>
            <w:shd w:val="clear" w:color="auto" w:fill="auto"/>
            <w:noWrap/>
            <w:hideMark/>
          </w:tcPr>
          <w:p w14:paraId="306B212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6.6</w:t>
            </w:r>
          </w:p>
        </w:tc>
        <w:tc>
          <w:tcPr>
            <w:tcW w:w="1282" w:type="dxa"/>
            <w:tcBorders>
              <w:top w:val="single" w:sz="4" w:space="0" w:color="auto"/>
              <w:left w:val="nil"/>
              <w:bottom w:val="nil"/>
              <w:right w:val="single" w:sz="4" w:space="0" w:color="auto"/>
            </w:tcBorders>
            <w:shd w:val="clear" w:color="auto" w:fill="auto"/>
            <w:noWrap/>
            <w:hideMark/>
          </w:tcPr>
          <w:p w14:paraId="18E3886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single" w:sz="4" w:space="0" w:color="auto"/>
              <w:left w:val="single" w:sz="4" w:space="0" w:color="auto"/>
              <w:bottom w:val="nil"/>
              <w:right w:val="nil"/>
            </w:tcBorders>
          </w:tcPr>
          <w:p w14:paraId="56D07F5E" w14:textId="7B45AC29"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0.57</w:t>
            </w:r>
          </w:p>
        </w:tc>
        <w:tc>
          <w:tcPr>
            <w:tcW w:w="989" w:type="dxa"/>
            <w:tcBorders>
              <w:top w:val="single" w:sz="4" w:space="0" w:color="auto"/>
              <w:left w:val="single" w:sz="4" w:space="0" w:color="auto"/>
              <w:bottom w:val="nil"/>
              <w:right w:val="nil"/>
            </w:tcBorders>
          </w:tcPr>
          <w:p w14:paraId="73261277" w14:textId="45B9880B"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8.09</w:t>
            </w:r>
          </w:p>
        </w:tc>
      </w:tr>
      <w:tr w:rsidR="005E0578" w:rsidRPr="0021683E" w14:paraId="0824D04E" w14:textId="169F54B9" w:rsidTr="005E0578">
        <w:tc>
          <w:tcPr>
            <w:tcW w:w="4395" w:type="dxa"/>
            <w:tcBorders>
              <w:top w:val="nil"/>
              <w:left w:val="nil"/>
              <w:bottom w:val="nil"/>
              <w:right w:val="nil"/>
            </w:tcBorders>
            <w:shd w:val="clear" w:color="auto" w:fill="auto"/>
            <w:noWrap/>
            <w:hideMark/>
          </w:tcPr>
          <w:p w14:paraId="3DA469C1"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Metal, machinery and related trades workers</w:t>
            </w:r>
          </w:p>
        </w:tc>
        <w:tc>
          <w:tcPr>
            <w:tcW w:w="1183" w:type="dxa"/>
            <w:tcBorders>
              <w:top w:val="nil"/>
              <w:left w:val="nil"/>
              <w:bottom w:val="nil"/>
              <w:right w:val="nil"/>
            </w:tcBorders>
            <w:shd w:val="clear" w:color="auto" w:fill="auto"/>
            <w:noWrap/>
            <w:hideMark/>
          </w:tcPr>
          <w:p w14:paraId="6779DE5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72</w:t>
            </w:r>
          </w:p>
        </w:tc>
        <w:tc>
          <w:tcPr>
            <w:tcW w:w="1085" w:type="dxa"/>
            <w:tcBorders>
              <w:top w:val="nil"/>
              <w:left w:val="nil"/>
              <w:bottom w:val="nil"/>
              <w:right w:val="nil"/>
            </w:tcBorders>
            <w:shd w:val="clear" w:color="auto" w:fill="auto"/>
            <w:noWrap/>
            <w:hideMark/>
          </w:tcPr>
          <w:p w14:paraId="49547A0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1.2</w:t>
            </w:r>
          </w:p>
        </w:tc>
        <w:tc>
          <w:tcPr>
            <w:tcW w:w="1282" w:type="dxa"/>
            <w:tcBorders>
              <w:top w:val="nil"/>
              <w:left w:val="nil"/>
              <w:bottom w:val="nil"/>
              <w:right w:val="single" w:sz="4" w:space="0" w:color="auto"/>
            </w:tcBorders>
            <w:shd w:val="clear" w:color="auto" w:fill="auto"/>
            <w:noWrap/>
            <w:hideMark/>
          </w:tcPr>
          <w:p w14:paraId="48DAACD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bottom w:val="nil"/>
              <w:right w:val="nil"/>
            </w:tcBorders>
          </w:tcPr>
          <w:p w14:paraId="4BD266BF" w14:textId="3AEA9B54"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0.03</w:t>
            </w:r>
          </w:p>
        </w:tc>
        <w:tc>
          <w:tcPr>
            <w:tcW w:w="989" w:type="dxa"/>
            <w:tcBorders>
              <w:top w:val="nil"/>
              <w:left w:val="single" w:sz="4" w:space="0" w:color="auto"/>
              <w:bottom w:val="nil"/>
              <w:right w:val="nil"/>
            </w:tcBorders>
          </w:tcPr>
          <w:p w14:paraId="7981E97D" w14:textId="79A4EE33"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3.69</w:t>
            </w:r>
          </w:p>
        </w:tc>
      </w:tr>
      <w:tr w:rsidR="005E0578" w:rsidRPr="0021683E" w14:paraId="1DD299D8" w14:textId="07E747AA" w:rsidTr="005E0578">
        <w:tc>
          <w:tcPr>
            <w:tcW w:w="4395" w:type="dxa"/>
            <w:tcBorders>
              <w:top w:val="nil"/>
              <w:left w:val="nil"/>
              <w:bottom w:val="nil"/>
              <w:right w:val="nil"/>
            </w:tcBorders>
            <w:shd w:val="clear" w:color="auto" w:fill="auto"/>
            <w:noWrap/>
            <w:hideMark/>
          </w:tcPr>
          <w:p w14:paraId="0757F5EA"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Handicraft and printing workers</w:t>
            </w:r>
          </w:p>
        </w:tc>
        <w:tc>
          <w:tcPr>
            <w:tcW w:w="1183" w:type="dxa"/>
            <w:tcBorders>
              <w:top w:val="nil"/>
              <w:left w:val="nil"/>
              <w:bottom w:val="nil"/>
              <w:right w:val="nil"/>
            </w:tcBorders>
            <w:shd w:val="clear" w:color="auto" w:fill="auto"/>
            <w:noWrap/>
            <w:hideMark/>
          </w:tcPr>
          <w:p w14:paraId="5481C09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73</w:t>
            </w:r>
          </w:p>
        </w:tc>
        <w:tc>
          <w:tcPr>
            <w:tcW w:w="1085" w:type="dxa"/>
            <w:tcBorders>
              <w:top w:val="nil"/>
              <w:left w:val="nil"/>
              <w:bottom w:val="nil"/>
              <w:right w:val="nil"/>
            </w:tcBorders>
            <w:shd w:val="clear" w:color="auto" w:fill="auto"/>
            <w:noWrap/>
            <w:hideMark/>
          </w:tcPr>
          <w:p w14:paraId="10C72021"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53.5</w:t>
            </w:r>
          </w:p>
        </w:tc>
        <w:tc>
          <w:tcPr>
            <w:tcW w:w="1282" w:type="dxa"/>
            <w:tcBorders>
              <w:top w:val="nil"/>
              <w:left w:val="nil"/>
              <w:bottom w:val="nil"/>
              <w:right w:val="single" w:sz="4" w:space="0" w:color="auto"/>
            </w:tcBorders>
            <w:shd w:val="clear" w:color="auto" w:fill="auto"/>
            <w:noWrap/>
            <w:hideMark/>
          </w:tcPr>
          <w:p w14:paraId="4228445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nil"/>
              <w:right w:val="nil"/>
            </w:tcBorders>
          </w:tcPr>
          <w:p w14:paraId="185A70B8" w14:textId="5555B7DC"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0.26</w:t>
            </w:r>
          </w:p>
        </w:tc>
        <w:tc>
          <w:tcPr>
            <w:tcW w:w="989" w:type="dxa"/>
            <w:tcBorders>
              <w:top w:val="nil"/>
              <w:left w:val="single" w:sz="4" w:space="0" w:color="auto"/>
              <w:bottom w:val="nil"/>
              <w:right w:val="nil"/>
            </w:tcBorders>
          </w:tcPr>
          <w:p w14:paraId="4EB503EC" w14:textId="4753236C"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0.12</w:t>
            </w:r>
          </w:p>
        </w:tc>
      </w:tr>
      <w:tr w:rsidR="005E0578" w:rsidRPr="0021683E" w14:paraId="0ECE3E8E" w14:textId="1164534C" w:rsidTr="005E0578">
        <w:tc>
          <w:tcPr>
            <w:tcW w:w="4395" w:type="dxa"/>
            <w:tcBorders>
              <w:top w:val="nil"/>
              <w:left w:val="nil"/>
              <w:right w:val="nil"/>
            </w:tcBorders>
            <w:shd w:val="clear" w:color="auto" w:fill="auto"/>
            <w:noWrap/>
            <w:hideMark/>
          </w:tcPr>
          <w:p w14:paraId="3364BDF3"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Electrical and electronic trades workers</w:t>
            </w:r>
          </w:p>
        </w:tc>
        <w:tc>
          <w:tcPr>
            <w:tcW w:w="1183" w:type="dxa"/>
            <w:tcBorders>
              <w:top w:val="nil"/>
              <w:left w:val="nil"/>
              <w:right w:val="nil"/>
            </w:tcBorders>
            <w:shd w:val="clear" w:color="auto" w:fill="auto"/>
            <w:noWrap/>
            <w:hideMark/>
          </w:tcPr>
          <w:p w14:paraId="3AD7DBE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74</w:t>
            </w:r>
          </w:p>
        </w:tc>
        <w:tc>
          <w:tcPr>
            <w:tcW w:w="1085" w:type="dxa"/>
            <w:tcBorders>
              <w:top w:val="nil"/>
              <w:left w:val="nil"/>
              <w:right w:val="nil"/>
            </w:tcBorders>
            <w:shd w:val="clear" w:color="auto" w:fill="auto"/>
            <w:noWrap/>
            <w:hideMark/>
          </w:tcPr>
          <w:p w14:paraId="061B4752"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19.9</w:t>
            </w:r>
          </w:p>
        </w:tc>
        <w:tc>
          <w:tcPr>
            <w:tcW w:w="1282" w:type="dxa"/>
            <w:tcBorders>
              <w:top w:val="nil"/>
              <w:left w:val="nil"/>
              <w:right w:val="single" w:sz="4" w:space="0" w:color="auto"/>
            </w:tcBorders>
            <w:shd w:val="clear" w:color="auto" w:fill="auto"/>
            <w:noWrap/>
            <w:hideMark/>
          </w:tcPr>
          <w:p w14:paraId="5F8BBC9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right w:val="nil"/>
            </w:tcBorders>
          </w:tcPr>
          <w:p w14:paraId="6973FB11" w14:textId="547B64A9"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0.73</w:t>
            </w:r>
          </w:p>
        </w:tc>
        <w:tc>
          <w:tcPr>
            <w:tcW w:w="989" w:type="dxa"/>
            <w:tcBorders>
              <w:top w:val="nil"/>
              <w:left w:val="single" w:sz="4" w:space="0" w:color="auto"/>
              <w:right w:val="nil"/>
            </w:tcBorders>
          </w:tcPr>
          <w:p w14:paraId="50DC46ED" w14:textId="5B82BAAD"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2.36</w:t>
            </w:r>
          </w:p>
        </w:tc>
      </w:tr>
      <w:tr w:rsidR="005E0578" w:rsidRPr="0021683E" w14:paraId="4DDFBECA" w14:textId="2D99D468" w:rsidTr="005E0578">
        <w:tc>
          <w:tcPr>
            <w:tcW w:w="4395" w:type="dxa"/>
            <w:tcBorders>
              <w:top w:val="nil"/>
              <w:left w:val="nil"/>
              <w:bottom w:val="single" w:sz="4" w:space="0" w:color="auto"/>
              <w:right w:val="nil"/>
            </w:tcBorders>
            <w:shd w:val="clear" w:color="auto" w:fill="auto"/>
            <w:noWrap/>
            <w:hideMark/>
          </w:tcPr>
          <w:p w14:paraId="19427753"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Food processing, wood working, garment and other craft and related trades workers</w:t>
            </w:r>
          </w:p>
        </w:tc>
        <w:tc>
          <w:tcPr>
            <w:tcW w:w="1183" w:type="dxa"/>
            <w:tcBorders>
              <w:top w:val="nil"/>
              <w:left w:val="nil"/>
              <w:bottom w:val="single" w:sz="4" w:space="0" w:color="auto"/>
              <w:right w:val="nil"/>
            </w:tcBorders>
            <w:shd w:val="clear" w:color="auto" w:fill="auto"/>
            <w:noWrap/>
            <w:hideMark/>
          </w:tcPr>
          <w:p w14:paraId="25E8654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75</w:t>
            </w:r>
          </w:p>
        </w:tc>
        <w:tc>
          <w:tcPr>
            <w:tcW w:w="1085" w:type="dxa"/>
            <w:tcBorders>
              <w:top w:val="nil"/>
              <w:left w:val="nil"/>
              <w:bottom w:val="single" w:sz="4" w:space="0" w:color="auto"/>
              <w:right w:val="nil"/>
            </w:tcBorders>
            <w:shd w:val="clear" w:color="auto" w:fill="auto"/>
            <w:noWrap/>
            <w:hideMark/>
          </w:tcPr>
          <w:p w14:paraId="5F82ECA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77.7</w:t>
            </w:r>
          </w:p>
        </w:tc>
        <w:tc>
          <w:tcPr>
            <w:tcW w:w="1282" w:type="dxa"/>
            <w:tcBorders>
              <w:top w:val="nil"/>
              <w:left w:val="nil"/>
              <w:bottom w:val="single" w:sz="4" w:space="0" w:color="auto"/>
              <w:right w:val="single" w:sz="4" w:space="0" w:color="auto"/>
            </w:tcBorders>
            <w:shd w:val="clear" w:color="auto" w:fill="auto"/>
            <w:noWrap/>
            <w:hideMark/>
          </w:tcPr>
          <w:p w14:paraId="3CBD868E"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single" w:sz="4" w:space="0" w:color="auto"/>
              <w:right w:val="nil"/>
            </w:tcBorders>
          </w:tcPr>
          <w:p w14:paraId="6E6FBAD9" w14:textId="1CD19D42"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5</w:t>
            </w:r>
          </w:p>
        </w:tc>
        <w:tc>
          <w:tcPr>
            <w:tcW w:w="989" w:type="dxa"/>
            <w:tcBorders>
              <w:top w:val="nil"/>
              <w:left w:val="single" w:sz="4" w:space="0" w:color="auto"/>
              <w:bottom w:val="single" w:sz="4" w:space="0" w:color="auto"/>
              <w:right w:val="nil"/>
            </w:tcBorders>
          </w:tcPr>
          <w:p w14:paraId="01765940" w14:textId="414073E3"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1.71</w:t>
            </w:r>
          </w:p>
        </w:tc>
      </w:tr>
      <w:tr w:rsidR="005E0578" w:rsidRPr="0021683E" w14:paraId="3250C381" w14:textId="344A99F5" w:rsidTr="005E0578">
        <w:tc>
          <w:tcPr>
            <w:tcW w:w="4395" w:type="dxa"/>
            <w:tcBorders>
              <w:top w:val="single" w:sz="4" w:space="0" w:color="auto"/>
              <w:left w:val="nil"/>
              <w:bottom w:val="nil"/>
              <w:right w:val="nil"/>
            </w:tcBorders>
            <w:shd w:val="clear" w:color="auto" w:fill="auto"/>
            <w:noWrap/>
            <w:hideMark/>
          </w:tcPr>
          <w:p w14:paraId="1BA736FB"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Stationary plant and machine operators</w:t>
            </w:r>
          </w:p>
        </w:tc>
        <w:tc>
          <w:tcPr>
            <w:tcW w:w="1183" w:type="dxa"/>
            <w:tcBorders>
              <w:top w:val="single" w:sz="4" w:space="0" w:color="auto"/>
              <w:left w:val="nil"/>
              <w:bottom w:val="nil"/>
              <w:right w:val="nil"/>
            </w:tcBorders>
            <w:shd w:val="clear" w:color="auto" w:fill="auto"/>
            <w:noWrap/>
            <w:hideMark/>
          </w:tcPr>
          <w:p w14:paraId="78F50EB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81</w:t>
            </w:r>
          </w:p>
        </w:tc>
        <w:tc>
          <w:tcPr>
            <w:tcW w:w="1085" w:type="dxa"/>
            <w:tcBorders>
              <w:top w:val="single" w:sz="4" w:space="0" w:color="auto"/>
              <w:left w:val="nil"/>
              <w:bottom w:val="nil"/>
              <w:right w:val="nil"/>
            </w:tcBorders>
            <w:shd w:val="clear" w:color="auto" w:fill="auto"/>
            <w:noWrap/>
            <w:hideMark/>
          </w:tcPr>
          <w:p w14:paraId="6C42E3B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44.9</w:t>
            </w:r>
          </w:p>
        </w:tc>
        <w:tc>
          <w:tcPr>
            <w:tcW w:w="1282" w:type="dxa"/>
            <w:tcBorders>
              <w:top w:val="single" w:sz="4" w:space="0" w:color="auto"/>
              <w:left w:val="nil"/>
              <w:bottom w:val="nil"/>
              <w:right w:val="single" w:sz="4" w:space="0" w:color="auto"/>
            </w:tcBorders>
            <w:shd w:val="clear" w:color="auto" w:fill="auto"/>
            <w:noWrap/>
            <w:hideMark/>
          </w:tcPr>
          <w:p w14:paraId="5D26BDEB"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single" w:sz="4" w:space="0" w:color="auto"/>
              <w:left w:val="single" w:sz="4" w:space="0" w:color="auto"/>
              <w:bottom w:val="nil"/>
              <w:right w:val="nil"/>
            </w:tcBorders>
          </w:tcPr>
          <w:p w14:paraId="34B9A215" w14:textId="308ABC1A"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0.73</w:t>
            </w:r>
          </w:p>
        </w:tc>
        <w:tc>
          <w:tcPr>
            <w:tcW w:w="989" w:type="dxa"/>
            <w:tcBorders>
              <w:top w:val="single" w:sz="4" w:space="0" w:color="auto"/>
              <w:left w:val="single" w:sz="4" w:space="0" w:color="auto"/>
              <w:bottom w:val="nil"/>
              <w:right w:val="nil"/>
            </w:tcBorders>
          </w:tcPr>
          <w:p w14:paraId="2D011E34" w14:textId="60AA9AAA"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1.02</w:t>
            </w:r>
          </w:p>
        </w:tc>
      </w:tr>
      <w:tr w:rsidR="005E0578" w:rsidRPr="0021683E" w14:paraId="13146979" w14:textId="1EF079D6" w:rsidTr="005E0578">
        <w:tc>
          <w:tcPr>
            <w:tcW w:w="4395" w:type="dxa"/>
            <w:tcBorders>
              <w:top w:val="nil"/>
              <w:left w:val="nil"/>
              <w:right w:val="nil"/>
            </w:tcBorders>
            <w:shd w:val="clear" w:color="auto" w:fill="auto"/>
            <w:noWrap/>
            <w:hideMark/>
          </w:tcPr>
          <w:p w14:paraId="5F68EB40"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Assemblers</w:t>
            </w:r>
          </w:p>
        </w:tc>
        <w:tc>
          <w:tcPr>
            <w:tcW w:w="1183" w:type="dxa"/>
            <w:tcBorders>
              <w:top w:val="nil"/>
              <w:left w:val="nil"/>
              <w:right w:val="nil"/>
            </w:tcBorders>
            <w:shd w:val="clear" w:color="auto" w:fill="auto"/>
            <w:noWrap/>
            <w:hideMark/>
          </w:tcPr>
          <w:p w14:paraId="5715E9B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82</w:t>
            </w:r>
          </w:p>
        </w:tc>
        <w:tc>
          <w:tcPr>
            <w:tcW w:w="1085" w:type="dxa"/>
            <w:tcBorders>
              <w:top w:val="nil"/>
              <w:left w:val="nil"/>
              <w:right w:val="nil"/>
            </w:tcBorders>
            <w:shd w:val="clear" w:color="auto" w:fill="auto"/>
            <w:noWrap/>
            <w:hideMark/>
          </w:tcPr>
          <w:p w14:paraId="7EB3E7CB"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48.3</w:t>
            </w:r>
          </w:p>
        </w:tc>
        <w:tc>
          <w:tcPr>
            <w:tcW w:w="1282" w:type="dxa"/>
            <w:tcBorders>
              <w:top w:val="nil"/>
              <w:left w:val="nil"/>
              <w:right w:val="single" w:sz="4" w:space="0" w:color="auto"/>
            </w:tcBorders>
            <w:shd w:val="clear" w:color="auto" w:fill="auto"/>
            <w:noWrap/>
            <w:hideMark/>
          </w:tcPr>
          <w:p w14:paraId="56D0608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right w:val="nil"/>
            </w:tcBorders>
          </w:tcPr>
          <w:p w14:paraId="204240D8" w14:textId="555F0417"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0.1</w:t>
            </w:r>
          </w:p>
        </w:tc>
        <w:tc>
          <w:tcPr>
            <w:tcW w:w="989" w:type="dxa"/>
            <w:tcBorders>
              <w:top w:val="nil"/>
              <w:left w:val="single" w:sz="4" w:space="0" w:color="auto"/>
              <w:right w:val="nil"/>
            </w:tcBorders>
          </w:tcPr>
          <w:p w14:paraId="0A7EC6C6" w14:textId="0BFC4560"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0.1</w:t>
            </w:r>
          </w:p>
        </w:tc>
      </w:tr>
      <w:tr w:rsidR="005E0578" w:rsidRPr="0021683E" w14:paraId="0FD64CA8" w14:textId="3C9C425B" w:rsidTr="005E0578">
        <w:tc>
          <w:tcPr>
            <w:tcW w:w="4395" w:type="dxa"/>
            <w:tcBorders>
              <w:top w:val="nil"/>
              <w:left w:val="nil"/>
              <w:bottom w:val="single" w:sz="4" w:space="0" w:color="auto"/>
              <w:right w:val="nil"/>
            </w:tcBorders>
            <w:shd w:val="clear" w:color="auto" w:fill="auto"/>
            <w:noWrap/>
            <w:hideMark/>
          </w:tcPr>
          <w:p w14:paraId="111F0A8C"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Drivers and mobile plant operators</w:t>
            </w:r>
          </w:p>
        </w:tc>
        <w:tc>
          <w:tcPr>
            <w:tcW w:w="1183" w:type="dxa"/>
            <w:tcBorders>
              <w:top w:val="nil"/>
              <w:left w:val="nil"/>
              <w:bottom w:val="single" w:sz="4" w:space="0" w:color="auto"/>
              <w:right w:val="nil"/>
            </w:tcBorders>
            <w:shd w:val="clear" w:color="auto" w:fill="auto"/>
            <w:noWrap/>
            <w:hideMark/>
          </w:tcPr>
          <w:p w14:paraId="6EE44A3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83</w:t>
            </w:r>
          </w:p>
        </w:tc>
        <w:tc>
          <w:tcPr>
            <w:tcW w:w="1085" w:type="dxa"/>
            <w:tcBorders>
              <w:top w:val="nil"/>
              <w:left w:val="nil"/>
              <w:bottom w:val="single" w:sz="4" w:space="0" w:color="auto"/>
              <w:right w:val="nil"/>
            </w:tcBorders>
            <w:shd w:val="clear" w:color="auto" w:fill="auto"/>
            <w:noWrap/>
            <w:hideMark/>
          </w:tcPr>
          <w:p w14:paraId="46FF0F8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1.1</w:t>
            </w:r>
          </w:p>
        </w:tc>
        <w:tc>
          <w:tcPr>
            <w:tcW w:w="1282" w:type="dxa"/>
            <w:tcBorders>
              <w:top w:val="nil"/>
              <w:left w:val="nil"/>
              <w:bottom w:val="single" w:sz="4" w:space="0" w:color="auto"/>
              <w:right w:val="single" w:sz="4" w:space="0" w:color="auto"/>
            </w:tcBorders>
            <w:shd w:val="clear" w:color="auto" w:fill="auto"/>
            <w:noWrap/>
            <w:hideMark/>
          </w:tcPr>
          <w:p w14:paraId="4203335D"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bottom w:val="single" w:sz="4" w:space="0" w:color="auto"/>
              <w:right w:val="nil"/>
            </w:tcBorders>
          </w:tcPr>
          <w:p w14:paraId="2CFDAD2D" w14:textId="392CCD9B"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0.11</w:t>
            </w:r>
          </w:p>
        </w:tc>
        <w:tc>
          <w:tcPr>
            <w:tcW w:w="989" w:type="dxa"/>
            <w:tcBorders>
              <w:top w:val="nil"/>
              <w:left w:val="single" w:sz="4" w:space="0" w:color="auto"/>
              <w:bottom w:val="single" w:sz="4" w:space="0" w:color="auto"/>
              <w:right w:val="nil"/>
            </w:tcBorders>
          </w:tcPr>
          <w:p w14:paraId="51AA6387" w14:textId="67FE30A4"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10.74</w:t>
            </w:r>
          </w:p>
        </w:tc>
      </w:tr>
      <w:tr w:rsidR="005E0578" w:rsidRPr="0021683E" w14:paraId="59911EF5" w14:textId="10B918B3" w:rsidTr="005E0578">
        <w:tc>
          <w:tcPr>
            <w:tcW w:w="4395" w:type="dxa"/>
            <w:tcBorders>
              <w:top w:val="single" w:sz="4" w:space="0" w:color="auto"/>
              <w:left w:val="nil"/>
              <w:bottom w:val="nil"/>
              <w:right w:val="nil"/>
            </w:tcBorders>
            <w:shd w:val="clear" w:color="auto" w:fill="auto"/>
            <w:noWrap/>
            <w:hideMark/>
          </w:tcPr>
          <w:p w14:paraId="2B4782A7"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Cleaners and helpers</w:t>
            </w:r>
          </w:p>
        </w:tc>
        <w:tc>
          <w:tcPr>
            <w:tcW w:w="1183" w:type="dxa"/>
            <w:tcBorders>
              <w:top w:val="single" w:sz="4" w:space="0" w:color="auto"/>
              <w:left w:val="nil"/>
              <w:bottom w:val="nil"/>
              <w:right w:val="nil"/>
            </w:tcBorders>
            <w:shd w:val="clear" w:color="auto" w:fill="auto"/>
            <w:noWrap/>
            <w:hideMark/>
          </w:tcPr>
          <w:p w14:paraId="716C0E4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91</w:t>
            </w:r>
          </w:p>
        </w:tc>
        <w:tc>
          <w:tcPr>
            <w:tcW w:w="1085" w:type="dxa"/>
            <w:tcBorders>
              <w:top w:val="single" w:sz="4" w:space="0" w:color="auto"/>
              <w:left w:val="nil"/>
              <w:bottom w:val="nil"/>
              <w:right w:val="nil"/>
            </w:tcBorders>
            <w:shd w:val="clear" w:color="auto" w:fill="auto"/>
            <w:noWrap/>
            <w:hideMark/>
          </w:tcPr>
          <w:p w14:paraId="596D33FA"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95.8</w:t>
            </w:r>
          </w:p>
        </w:tc>
        <w:tc>
          <w:tcPr>
            <w:tcW w:w="1282" w:type="dxa"/>
            <w:tcBorders>
              <w:top w:val="single" w:sz="4" w:space="0" w:color="auto"/>
              <w:left w:val="nil"/>
              <w:bottom w:val="nil"/>
              <w:right w:val="single" w:sz="4" w:space="0" w:color="auto"/>
            </w:tcBorders>
            <w:shd w:val="clear" w:color="auto" w:fill="auto"/>
            <w:noWrap/>
            <w:hideMark/>
          </w:tcPr>
          <w:p w14:paraId="4D6FEAD7"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single" w:sz="4" w:space="0" w:color="auto"/>
              <w:left w:val="single" w:sz="4" w:space="0" w:color="auto"/>
              <w:bottom w:val="nil"/>
              <w:right w:val="nil"/>
            </w:tcBorders>
          </w:tcPr>
          <w:p w14:paraId="067D4913" w14:textId="06D898B1"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4.48</w:t>
            </w:r>
          </w:p>
        </w:tc>
        <w:tc>
          <w:tcPr>
            <w:tcW w:w="989" w:type="dxa"/>
            <w:tcBorders>
              <w:top w:val="single" w:sz="4" w:space="0" w:color="auto"/>
              <w:left w:val="single" w:sz="4" w:space="0" w:color="auto"/>
              <w:bottom w:val="nil"/>
              <w:right w:val="nil"/>
            </w:tcBorders>
          </w:tcPr>
          <w:p w14:paraId="27F538A9" w14:textId="1D9CE955"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0.18</w:t>
            </w:r>
          </w:p>
        </w:tc>
      </w:tr>
      <w:tr w:rsidR="005E0578" w:rsidRPr="0021683E" w14:paraId="66858F4A" w14:textId="058B76A0" w:rsidTr="005E0578">
        <w:tc>
          <w:tcPr>
            <w:tcW w:w="4395" w:type="dxa"/>
            <w:tcBorders>
              <w:top w:val="nil"/>
              <w:left w:val="nil"/>
              <w:bottom w:val="nil"/>
              <w:right w:val="nil"/>
            </w:tcBorders>
            <w:shd w:val="clear" w:color="auto" w:fill="auto"/>
            <w:noWrap/>
            <w:hideMark/>
          </w:tcPr>
          <w:p w14:paraId="2F5D8994"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Agricultural, forestry and fishery laborers</w:t>
            </w:r>
          </w:p>
        </w:tc>
        <w:tc>
          <w:tcPr>
            <w:tcW w:w="1183" w:type="dxa"/>
            <w:tcBorders>
              <w:top w:val="nil"/>
              <w:left w:val="nil"/>
              <w:bottom w:val="nil"/>
              <w:right w:val="nil"/>
            </w:tcBorders>
            <w:shd w:val="clear" w:color="auto" w:fill="auto"/>
            <w:noWrap/>
            <w:hideMark/>
          </w:tcPr>
          <w:p w14:paraId="3273ADC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92</w:t>
            </w:r>
          </w:p>
        </w:tc>
        <w:tc>
          <w:tcPr>
            <w:tcW w:w="1085" w:type="dxa"/>
            <w:tcBorders>
              <w:top w:val="nil"/>
              <w:left w:val="nil"/>
              <w:bottom w:val="nil"/>
              <w:right w:val="nil"/>
            </w:tcBorders>
            <w:shd w:val="clear" w:color="auto" w:fill="auto"/>
            <w:noWrap/>
            <w:hideMark/>
          </w:tcPr>
          <w:p w14:paraId="1ADFBD2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44.4</w:t>
            </w:r>
          </w:p>
        </w:tc>
        <w:tc>
          <w:tcPr>
            <w:tcW w:w="1282" w:type="dxa"/>
            <w:tcBorders>
              <w:top w:val="nil"/>
              <w:left w:val="nil"/>
              <w:bottom w:val="nil"/>
              <w:right w:val="single" w:sz="4" w:space="0" w:color="auto"/>
            </w:tcBorders>
            <w:shd w:val="clear" w:color="auto" w:fill="auto"/>
            <w:noWrap/>
            <w:hideMark/>
          </w:tcPr>
          <w:p w14:paraId="1467A08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bottom w:val="nil"/>
              <w:right w:val="nil"/>
            </w:tcBorders>
          </w:tcPr>
          <w:p w14:paraId="4B317A67" w14:textId="3E666890"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4.19</w:t>
            </w:r>
          </w:p>
        </w:tc>
        <w:tc>
          <w:tcPr>
            <w:tcW w:w="989" w:type="dxa"/>
            <w:tcBorders>
              <w:top w:val="nil"/>
              <w:left w:val="single" w:sz="4" w:space="0" w:color="auto"/>
              <w:bottom w:val="nil"/>
              <w:right w:val="nil"/>
            </w:tcBorders>
          </w:tcPr>
          <w:p w14:paraId="525299B0" w14:textId="27B02EFB"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5.53</w:t>
            </w:r>
          </w:p>
        </w:tc>
      </w:tr>
      <w:tr w:rsidR="005E0578" w:rsidRPr="0021683E" w14:paraId="273F4B00" w14:textId="45DECC4E" w:rsidTr="005E0578">
        <w:tc>
          <w:tcPr>
            <w:tcW w:w="4395" w:type="dxa"/>
            <w:tcBorders>
              <w:top w:val="nil"/>
              <w:left w:val="nil"/>
              <w:bottom w:val="nil"/>
              <w:right w:val="nil"/>
            </w:tcBorders>
            <w:shd w:val="clear" w:color="auto" w:fill="auto"/>
            <w:noWrap/>
            <w:hideMark/>
          </w:tcPr>
          <w:p w14:paraId="2CD6F196"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Laborers in mining, construction, manufacturing and transport</w:t>
            </w:r>
          </w:p>
        </w:tc>
        <w:tc>
          <w:tcPr>
            <w:tcW w:w="1183" w:type="dxa"/>
            <w:tcBorders>
              <w:top w:val="nil"/>
              <w:left w:val="nil"/>
              <w:bottom w:val="nil"/>
              <w:right w:val="nil"/>
            </w:tcBorders>
            <w:shd w:val="clear" w:color="auto" w:fill="auto"/>
            <w:noWrap/>
            <w:hideMark/>
          </w:tcPr>
          <w:p w14:paraId="4CFEC9F4"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93</w:t>
            </w:r>
          </w:p>
        </w:tc>
        <w:tc>
          <w:tcPr>
            <w:tcW w:w="1085" w:type="dxa"/>
            <w:tcBorders>
              <w:top w:val="nil"/>
              <w:left w:val="nil"/>
              <w:bottom w:val="nil"/>
              <w:right w:val="nil"/>
            </w:tcBorders>
            <w:shd w:val="clear" w:color="auto" w:fill="auto"/>
            <w:noWrap/>
            <w:hideMark/>
          </w:tcPr>
          <w:p w14:paraId="659673E6"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25.3</w:t>
            </w:r>
          </w:p>
        </w:tc>
        <w:tc>
          <w:tcPr>
            <w:tcW w:w="1282" w:type="dxa"/>
            <w:tcBorders>
              <w:top w:val="nil"/>
              <w:left w:val="nil"/>
              <w:bottom w:val="nil"/>
              <w:right w:val="single" w:sz="4" w:space="0" w:color="auto"/>
            </w:tcBorders>
            <w:shd w:val="clear" w:color="auto" w:fill="auto"/>
            <w:noWrap/>
            <w:hideMark/>
          </w:tcPr>
          <w:p w14:paraId="57E92BB9"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bottom w:val="nil"/>
              <w:right w:val="nil"/>
            </w:tcBorders>
          </w:tcPr>
          <w:p w14:paraId="40208D80" w14:textId="79C620DE"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1.04</w:t>
            </w:r>
          </w:p>
        </w:tc>
        <w:tc>
          <w:tcPr>
            <w:tcW w:w="989" w:type="dxa"/>
            <w:tcBorders>
              <w:top w:val="nil"/>
              <w:left w:val="single" w:sz="4" w:space="0" w:color="auto"/>
              <w:bottom w:val="nil"/>
              <w:right w:val="nil"/>
            </w:tcBorders>
          </w:tcPr>
          <w:p w14:paraId="0F509E3C" w14:textId="2D072981"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2.86</w:t>
            </w:r>
          </w:p>
        </w:tc>
      </w:tr>
      <w:tr w:rsidR="005E0578" w:rsidRPr="0021683E" w14:paraId="58CB21F5" w14:textId="22D32BBB" w:rsidTr="005E0578">
        <w:tc>
          <w:tcPr>
            <w:tcW w:w="4395" w:type="dxa"/>
            <w:tcBorders>
              <w:top w:val="nil"/>
              <w:left w:val="nil"/>
              <w:bottom w:val="nil"/>
              <w:right w:val="nil"/>
            </w:tcBorders>
            <w:shd w:val="clear" w:color="auto" w:fill="auto"/>
            <w:noWrap/>
            <w:hideMark/>
          </w:tcPr>
          <w:p w14:paraId="422CFCF7"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Food preparation assistants</w:t>
            </w:r>
          </w:p>
        </w:tc>
        <w:tc>
          <w:tcPr>
            <w:tcW w:w="1183" w:type="dxa"/>
            <w:tcBorders>
              <w:top w:val="nil"/>
              <w:left w:val="nil"/>
              <w:bottom w:val="nil"/>
              <w:right w:val="nil"/>
            </w:tcBorders>
            <w:shd w:val="clear" w:color="auto" w:fill="auto"/>
            <w:noWrap/>
            <w:hideMark/>
          </w:tcPr>
          <w:p w14:paraId="52F171E3"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94</w:t>
            </w:r>
          </w:p>
        </w:tc>
        <w:tc>
          <w:tcPr>
            <w:tcW w:w="1085" w:type="dxa"/>
            <w:tcBorders>
              <w:top w:val="nil"/>
              <w:left w:val="nil"/>
              <w:bottom w:val="nil"/>
              <w:right w:val="nil"/>
            </w:tcBorders>
            <w:shd w:val="clear" w:color="auto" w:fill="auto"/>
            <w:noWrap/>
            <w:hideMark/>
          </w:tcPr>
          <w:p w14:paraId="13AAE95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96.9</w:t>
            </w:r>
          </w:p>
        </w:tc>
        <w:tc>
          <w:tcPr>
            <w:tcW w:w="1282" w:type="dxa"/>
            <w:tcBorders>
              <w:top w:val="nil"/>
              <w:left w:val="nil"/>
              <w:bottom w:val="nil"/>
              <w:right w:val="single" w:sz="4" w:space="0" w:color="auto"/>
            </w:tcBorders>
            <w:shd w:val="clear" w:color="auto" w:fill="auto"/>
            <w:noWrap/>
            <w:hideMark/>
          </w:tcPr>
          <w:p w14:paraId="1EC7245F"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FD</w:t>
            </w:r>
          </w:p>
        </w:tc>
        <w:tc>
          <w:tcPr>
            <w:tcW w:w="989" w:type="dxa"/>
            <w:tcBorders>
              <w:top w:val="nil"/>
              <w:left w:val="single" w:sz="4" w:space="0" w:color="auto"/>
              <w:bottom w:val="nil"/>
              <w:right w:val="nil"/>
            </w:tcBorders>
          </w:tcPr>
          <w:p w14:paraId="4A32E82F" w14:textId="40E7EC92"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0.42</w:t>
            </w:r>
          </w:p>
        </w:tc>
        <w:tc>
          <w:tcPr>
            <w:tcW w:w="989" w:type="dxa"/>
            <w:tcBorders>
              <w:top w:val="nil"/>
              <w:left w:val="single" w:sz="4" w:space="0" w:color="auto"/>
              <w:bottom w:val="nil"/>
              <w:right w:val="nil"/>
            </w:tcBorders>
          </w:tcPr>
          <w:p w14:paraId="1A4166CC" w14:textId="06CFF6EF"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0.01</w:t>
            </w:r>
          </w:p>
        </w:tc>
      </w:tr>
      <w:tr w:rsidR="005E0578" w:rsidRPr="0021683E" w14:paraId="3AFAFCE1" w14:textId="5A116CFC" w:rsidTr="005E0578">
        <w:tc>
          <w:tcPr>
            <w:tcW w:w="4395" w:type="dxa"/>
            <w:tcBorders>
              <w:top w:val="nil"/>
              <w:left w:val="nil"/>
              <w:right w:val="nil"/>
            </w:tcBorders>
            <w:shd w:val="clear" w:color="auto" w:fill="auto"/>
            <w:noWrap/>
            <w:hideMark/>
          </w:tcPr>
          <w:p w14:paraId="03E29EDB"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Street and related sales and service workers</w:t>
            </w:r>
          </w:p>
        </w:tc>
        <w:tc>
          <w:tcPr>
            <w:tcW w:w="1183" w:type="dxa"/>
            <w:tcBorders>
              <w:top w:val="nil"/>
              <w:left w:val="nil"/>
              <w:right w:val="nil"/>
            </w:tcBorders>
            <w:shd w:val="clear" w:color="auto" w:fill="auto"/>
            <w:noWrap/>
            <w:hideMark/>
          </w:tcPr>
          <w:p w14:paraId="27F4EBC9"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95</w:t>
            </w:r>
          </w:p>
        </w:tc>
        <w:tc>
          <w:tcPr>
            <w:tcW w:w="1085" w:type="dxa"/>
            <w:tcBorders>
              <w:top w:val="nil"/>
              <w:left w:val="nil"/>
              <w:right w:val="nil"/>
            </w:tcBorders>
            <w:shd w:val="clear" w:color="auto" w:fill="auto"/>
            <w:noWrap/>
            <w:hideMark/>
          </w:tcPr>
          <w:p w14:paraId="7A0648A5"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53.6</w:t>
            </w:r>
          </w:p>
        </w:tc>
        <w:tc>
          <w:tcPr>
            <w:tcW w:w="1282" w:type="dxa"/>
            <w:tcBorders>
              <w:top w:val="nil"/>
              <w:left w:val="nil"/>
              <w:right w:val="single" w:sz="4" w:space="0" w:color="auto"/>
            </w:tcBorders>
            <w:shd w:val="clear" w:color="auto" w:fill="auto"/>
            <w:noWrap/>
            <w:hideMark/>
          </w:tcPr>
          <w:p w14:paraId="5E1DDED8"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w:t>
            </w:r>
          </w:p>
        </w:tc>
        <w:tc>
          <w:tcPr>
            <w:tcW w:w="989" w:type="dxa"/>
            <w:tcBorders>
              <w:top w:val="nil"/>
              <w:left w:val="single" w:sz="4" w:space="0" w:color="auto"/>
              <w:right w:val="nil"/>
            </w:tcBorders>
          </w:tcPr>
          <w:p w14:paraId="55A9F15C" w14:textId="1C6B63B3"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0.03</w:t>
            </w:r>
          </w:p>
        </w:tc>
        <w:tc>
          <w:tcPr>
            <w:tcW w:w="989" w:type="dxa"/>
            <w:tcBorders>
              <w:top w:val="nil"/>
              <w:left w:val="single" w:sz="4" w:space="0" w:color="auto"/>
              <w:right w:val="nil"/>
            </w:tcBorders>
          </w:tcPr>
          <w:p w14:paraId="698EE752" w14:textId="7340E3B9"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0.02</w:t>
            </w:r>
          </w:p>
        </w:tc>
      </w:tr>
      <w:tr w:rsidR="005E0578" w:rsidRPr="0021683E" w14:paraId="3E8A80F9" w14:textId="2A4D2495" w:rsidTr="005E0578">
        <w:tc>
          <w:tcPr>
            <w:tcW w:w="4395" w:type="dxa"/>
            <w:tcBorders>
              <w:top w:val="nil"/>
              <w:left w:val="nil"/>
              <w:bottom w:val="single" w:sz="4" w:space="0" w:color="auto"/>
              <w:right w:val="nil"/>
            </w:tcBorders>
            <w:shd w:val="clear" w:color="auto" w:fill="auto"/>
            <w:noWrap/>
            <w:hideMark/>
          </w:tcPr>
          <w:p w14:paraId="49C4199B" w14:textId="77777777" w:rsidR="005E0578" w:rsidRPr="0021683E" w:rsidRDefault="005E0578" w:rsidP="005E0578">
            <w:pPr>
              <w:spacing w:before="0"/>
              <w:rPr>
                <w:rFonts w:eastAsia="Times New Roman" w:cstheme="minorHAnsi"/>
                <w:color w:val="000000"/>
                <w:sz w:val="20"/>
                <w:szCs w:val="20"/>
                <w:lang w:val="en-US"/>
              </w:rPr>
            </w:pPr>
            <w:r w:rsidRPr="0021683E">
              <w:rPr>
                <w:rFonts w:eastAsia="Times New Roman" w:cstheme="minorHAnsi"/>
                <w:color w:val="000000"/>
                <w:sz w:val="20"/>
                <w:szCs w:val="20"/>
                <w:lang w:val="en-US"/>
              </w:rPr>
              <w:t>Refuse workers and other elementary workers</w:t>
            </w:r>
          </w:p>
        </w:tc>
        <w:tc>
          <w:tcPr>
            <w:tcW w:w="1183" w:type="dxa"/>
            <w:tcBorders>
              <w:top w:val="nil"/>
              <w:left w:val="nil"/>
              <w:bottom w:val="single" w:sz="4" w:space="0" w:color="auto"/>
              <w:right w:val="nil"/>
            </w:tcBorders>
            <w:shd w:val="clear" w:color="auto" w:fill="auto"/>
            <w:noWrap/>
            <w:hideMark/>
          </w:tcPr>
          <w:p w14:paraId="03172F4C"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96</w:t>
            </w:r>
          </w:p>
        </w:tc>
        <w:tc>
          <w:tcPr>
            <w:tcW w:w="1085" w:type="dxa"/>
            <w:tcBorders>
              <w:top w:val="nil"/>
              <w:left w:val="nil"/>
              <w:bottom w:val="single" w:sz="4" w:space="0" w:color="auto"/>
              <w:right w:val="nil"/>
            </w:tcBorders>
            <w:shd w:val="clear" w:color="auto" w:fill="auto"/>
            <w:noWrap/>
            <w:hideMark/>
          </w:tcPr>
          <w:p w14:paraId="2B7E1DE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16.6</w:t>
            </w:r>
          </w:p>
        </w:tc>
        <w:tc>
          <w:tcPr>
            <w:tcW w:w="1282" w:type="dxa"/>
            <w:tcBorders>
              <w:top w:val="nil"/>
              <w:left w:val="nil"/>
              <w:bottom w:val="single" w:sz="4" w:space="0" w:color="auto"/>
              <w:right w:val="single" w:sz="4" w:space="0" w:color="auto"/>
            </w:tcBorders>
            <w:shd w:val="clear" w:color="auto" w:fill="auto"/>
            <w:noWrap/>
            <w:hideMark/>
          </w:tcPr>
          <w:p w14:paraId="204CD4C0" w14:textId="77777777" w:rsidR="005E0578" w:rsidRPr="0021683E" w:rsidRDefault="005E0578" w:rsidP="005E0578">
            <w:pPr>
              <w:spacing w:before="0"/>
              <w:jc w:val="center"/>
              <w:rPr>
                <w:rFonts w:eastAsia="Times New Roman" w:cstheme="minorHAnsi"/>
                <w:color w:val="000000"/>
                <w:sz w:val="20"/>
                <w:szCs w:val="20"/>
                <w:lang w:val="en-US"/>
              </w:rPr>
            </w:pPr>
            <w:r w:rsidRPr="0021683E">
              <w:rPr>
                <w:rFonts w:eastAsia="Times New Roman" w:cstheme="minorHAnsi"/>
                <w:color w:val="000000"/>
                <w:sz w:val="20"/>
                <w:szCs w:val="20"/>
                <w:lang w:val="en-US"/>
              </w:rPr>
              <w:t>MD</w:t>
            </w:r>
          </w:p>
        </w:tc>
        <w:tc>
          <w:tcPr>
            <w:tcW w:w="989" w:type="dxa"/>
            <w:tcBorders>
              <w:top w:val="nil"/>
              <w:left w:val="single" w:sz="4" w:space="0" w:color="auto"/>
              <w:bottom w:val="single" w:sz="4" w:space="0" w:color="auto"/>
              <w:right w:val="nil"/>
            </w:tcBorders>
          </w:tcPr>
          <w:p w14:paraId="6FE1310E" w14:textId="5EDC8884" w:rsidR="005E0578" w:rsidRPr="00B22996" w:rsidRDefault="005E0578" w:rsidP="005E0578">
            <w:pPr>
              <w:spacing w:before="0"/>
              <w:jc w:val="center"/>
              <w:rPr>
                <w:rFonts w:eastAsia="Times New Roman" w:cstheme="minorHAnsi"/>
                <w:color w:val="000000"/>
                <w:sz w:val="20"/>
                <w:szCs w:val="20"/>
                <w:lang w:val="en-US"/>
              </w:rPr>
            </w:pPr>
            <w:r w:rsidRPr="00B22996">
              <w:rPr>
                <w:rFonts w:ascii="Calibri" w:hAnsi="Calibri" w:cs="Calibri"/>
                <w:color w:val="000000"/>
                <w:sz w:val="20"/>
                <w:szCs w:val="20"/>
              </w:rPr>
              <w:t>0.78</w:t>
            </w:r>
          </w:p>
        </w:tc>
        <w:tc>
          <w:tcPr>
            <w:tcW w:w="989" w:type="dxa"/>
            <w:tcBorders>
              <w:top w:val="nil"/>
              <w:left w:val="single" w:sz="4" w:space="0" w:color="auto"/>
              <w:bottom w:val="single" w:sz="4" w:space="0" w:color="auto"/>
              <w:right w:val="nil"/>
            </w:tcBorders>
          </w:tcPr>
          <w:p w14:paraId="6C814244" w14:textId="1B6D1331" w:rsidR="005E0578" w:rsidRPr="005E0578" w:rsidRDefault="005E0578" w:rsidP="005E0578">
            <w:pPr>
              <w:spacing w:before="0"/>
              <w:jc w:val="center"/>
              <w:rPr>
                <w:rFonts w:ascii="Calibri" w:hAnsi="Calibri" w:cs="Calibri"/>
                <w:color w:val="000000"/>
                <w:sz w:val="20"/>
                <w:szCs w:val="20"/>
              </w:rPr>
            </w:pPr>
            <w:r w:rsidRPr="005E0578">
              <w:rPr>
                <w:rFonts w:ascii="Calibri" w:hAnsi="Calibri" w:cs="Calibri"/>
                <w:color w:val="000000"/>
                <w:sz w:val="20"/>
                <w:szCs w:val="20"/>
              </w:rPr>
              <w:t>5.4</w:t>
            </w:r>
          </w:p>
        </w:tc>
      </w:tr>
    </w:tbl>
    <w:p w14:paraId="6282A546" w14:textId="7CDC45FE" w:rsidR="00A91B3D" w:rsidRDefault="00A91B3D" w:rsidP="0014107C">
      <w:pPr>
        <w:rPr>
          <w:i/>
          <w:sz w:val="20"/>
          <w:szCs w:val="20"/>
          <w:lang w:val="en-US"/>
        </w:rPr>
      </w:pPr>
      <w:r w:rsidRPr="004A792A">
        <w:rPr>
          <w:i/>
          <w:sz w:val="20"/>
          <w:szCs w:val="20"/>
          <w:lang w:val="en-US"/>
        </w:rPr>
        <w:lastRenderedPageBreak/>
        <w:t xml:space="preserve">Source: Author’s calculations based of the individual-level </w:t>
      </w:r>
      <w:r>
        <w:rPr>
          <w:i/>
          <w:sz w:val="20"/>
          <w:szCs w:val="20"/>
          <w:lang w:val="en-US"/>
        </w:rPr>
        <w:t xml:space="preserve">Moldova </w:t>
      </w:r>
      <w:r w:rsidRPr="004A792A">
        <w:rPr>
          <w:i/>
          <w:sz w:val="20"/>
          <w:szCs w:val="20"/>
          <w:lang w:val="en-US"/>
        </w:rPr>
        <w:t>LFS data</w:t>
      </w:r>
      <w:r w:rsidR="005E0578">
        <w:rPr>
          <w:i/>
          <w:sz w:val="20"/>
          <w:szCs w:val="20"/>
          <w:lang w:val="en-US"/>
        </w:rPr>
        <w:t xml:space="preserve"> (with sample weights)</w:t>
      </w:r>
      <w:r w:rsidRPr="004A792A">
        <w:rPr>
          <w:i/>
          <w:sz w:val="20"/>
          <w:szCs w:val="20"/>
          <w:lang w:val="en-US"/>
        </w:rPr>
        <w:t>.</w:t>
      </w:r>
    </w:p>
    <w:p w14:paraId="490B5FF2" w14:textId="77777777" w:rsidR="00863F44" w:rsidRPr="00A91B3D" w:rsidRDefault="00A91B3D" w:rsidP="00A91B3D">
      <w:pPr>
        <w:contextualSpacing/>
        <w:rPr>
          <w:i/>
        </w:rPr>
      </w:pPr>
      <w:r w:rsidRPr="00A91B3D">
        <w:rPr>
          <w:rFonts w:eastAsia="Times New Roman" w:cstheme="minorHAnsi"/>
          <w:i/>
          <w:color w:val="000000"/>
          <w:sz w:val="20"/>
          <w:szCs w:val="20"/>
          <w:lang w:val="en-US"/>
        </w:rPr>
        <w:t xml:space="preserve">Note: </w:t>
      </w:r>
      <w:r w:rsidR="0021683E" w:rsidRPr="0021683E">
        <w:rPr>
          <w:rFonts w:eastAsia="Times New Roman" w:cstheme="minorHAnsi"/>
          <w:i/>
          <w:color w:val="000000"/>
          <w:sz w:val="20"/>
          <w:szCs w:val="20"/>
          <w:lang w:val="en-US"/>
        </w:rPr>
        <w:t>FD=female-dominated</w:t>
      </w:r>
      <w:r w:rsidRPr="00A91B3D">
        <w:rPr>
          <w:rFonts w:eastAsia="Times New Roman" w:cstheme="minorHAnsi"/>
          <w:i/>
          <w:color w:val="000000"/>
          <w:sz w:val="20"/>
          <w:szCs w:val="20"/>
          <w:lang w:val="en-US"/>
        </w:rPr>
        <w:t xml:space="preserve"> (female </w:t>
      </w:r>
      <w:r w:rsidR="0021683E" w:rsidRPr="0021683E">
        <w:rPr>
          <w:rFonts w:eastAsia="Times New Roman" w:cstheme="minorHAnsi"/>
          <w:i/>
          <w:color w:val="000000"/>
          <w:sz w:val="20"/>
          <w:szCs w:val="20"/>
          <w:lang w:val="en-US"/>
        </w:rPr>
        <w:t>share &gt;=60%</w:t>
      </w:r>
      <w:r w:rsidRPr="00A91B3D">
        <w:rPr>
          <w:rFonts w:eastAsia="Times New Roman" w:cstheme="minorHAnsi"/>
          <w:i/>
          <w:color w:val="000000"/>
          <w:sz w:val="20"/>
          <w:szCs w:val="20"/>
          <w:lang w:val="en-US"/>
        </w:rPr>
        <w:t>),</w:t>
      </w:r>
      <w:r w:rsidR="0021683E" w:rsidRPr="0021683E">
        <w:rPr>
          <w:rFonts w:eastAsia="Times New Roman" w:cstheme="minorHAnsi"/>
          <w:i/>
          <w:color w:val="000000"/>
          <w:sz w:val="20"/>
          <w:szCs w:val="20"/>
          <w:lang w:val="en-US"/>
        </w:rPr>
        <w:t xml:space="preserve"> M= mixed</w:t>
      </w:r>
      <w:r w:rsidRPr="00A91B3D">
        <w:rPr>
          <w:rFonts w:eastAsia="Times New Roman" w:cstheme="minorHAnsi"/>
          <w:i/>
          <w:color w:val="000000"/>
          <w:sz w:val="20"/>
          <w:szCs w:val="20"/>
          <w:lang w:val="en-US"/>
        </w:rPr>
        <w:t xml:space="preserve"> (female </w:t>
      </w:r>
      <w:r w:rsidR="0021683E" w:rsidRPr="0021683E">
        <w:rPr>
          <w:rFonts w:eastAsia="Times New Roman" w:cstheme="minorHAnsi"/>
          <w:i/>
          <w:color w:val="000000"/>
          <w:sz w:val="20"/>
          <w:szCs w:val="20"/>
          <w:lang w:val="en-US"/>
        </w:rPr>
        <w:t>share from 40 to 60%</w:t>
      </w:r>
      <w:r w:rsidRPr="00A91B3D">
        <w:rPr>
          <w:rFonts w:eastAsia="Times New Roman" w:cstheme="minorHAnsi"/>
          <w:i/>
          <w:color w:val="000000"/>
          <w:sz w:val="20"/>
          <w:szCs w:val="20"/>
          <w:lang w:val="en-US"/>
        </w:rPr>
        <w:t xml:space="preserve">), </w:t>
      </w:r>
      <w:r w:rsidR="0021683E" w:rsidRPr="0021683E">
        <w:rPr>
          <w:rFonts w:eastAsia="Times New Roman" w:cstheme="minorHAnsi"/>
          <w:i/>
          <w:color w:val="000000"/>
          <w:sz w:val="20"/>
          <w:szCs w:val="20"/>
          <w:lang w:val="en-US"/>
        </w:rPr>
        <w:t>MD=male-dominated</w:t>
      </w:r>
      <w:r w:rsidRPr="00A91B3D">
        <w:rPr>
          <w:rFonts w:eastAsia="Times New Roman" w:cstheme="minorHAnsi"/>
          <w:i/>
          <w:color w:val="000000"/>
          <w:sz w:val="20"/>
          <w:szCs w:val="20"/>
          <w:lang w:val="en-US"/>
        </w:rPr>
        <w:t xml:space="preserve"> (female share</w:t>
      </w:r>
      <w:r w:rsidR="0021683E" w:rsidRPr="0021683E">
        <w:rPr>
          <w:rFonts w:eastAsia="Times New Roman" w:cstheme="minorHAnsi"/>
          <w:i/>
          <w:color w:val="000000"/>
          <w:sz w:val="20"/>
          <w:szCs w:val="20"/>
          <w:lang w:val="en-US"/>
        </w:rPr>
        <w:t xml:space="preserve"> &lt;=40%</w:t>
      </w:r>
      <w:r w:rsidRPr="00A91B3D">
        <w:rPr>
          <w:rFonts w:eastAsia="Times New Roman" w:cstheme="minorHAnsi"/>
          <w:i/>
          <w:color w:val="000000"/>
          <w:sz w:val="20"/>
          <w:szCs w:val="20"/>
          <w:lang w:val="en-US"/>
        </w:rPr>
        <w:t>)</w:t>
      </w:r>
      <w:r w:rsidR="0021683E" w:rsidRPr="0021683E">
        <w:rPr>
          <w:rFonts w:eastAsia="Times New Roman" w:cstheme="minorHAnsi"/>
          <w:i/>
          <w:color w:val="000000"/>
          <w:sz w:val="20"/>
          <w:szCs w:val="20"/>
          <w:lang w:val="en-US"/>
        </w:rPr>
        <w:t>.</w:t>
      </w:r>
    </w:p>
    <w:p w14:paraId="546CA7DF" w14:textId="77777777" w:rsidR="00A91B3D" w:rsidRDefault="00A91B3D">
      <w:pPr>
        <w:spacing w:before="0" w:after="160" w:line="259" w:lineRule="auto"/>
        <w:rPr>
          <w:b/>
          <w:iCs/>
          <w:szCs w:val="18"/>
          <w:lang w:val="en-US"/>
        </w:rPr>
      </w:pPr>
      <w:bookmarkStart w:id="144" w:name="_Ref519157466"/>
      <w:r>
        <w:rPr>
          <w:lang w:val="en-US"/>
        </w:rPr>
        <w:br w:type="page"/>
      </w:r>
    </w:p>
    <w:p w14:paraId="6770F17F" w14:textId="00BB89F1" w:rsidR="0027007D" w:rsidRPr="004A792A" w:rsidRDefault="00C44A65" w:rsidP="00F90EA9">
      <w:pPr>
        <w:pStyle w:val="ad"/>
        <w:spacing w:before="240" w:after="0"/>
        <w:jc w:val="left"/>
        <w:rPr>
          <w:lang w:val="en-US"/>
        </w:rPr>
      </w:pPr>
      <w:bookmarkStart w:id="145" w:name="_Ref525829173"/>
      <w:bookmarkStart w:id="146" w:name="_Toc533185132"/>
      <w:r>
        <w:lastRenderedPageBreak/>
        <w:t>Table A-</w:t>
      </w:r>
      <w:r>
        <w:fldChar w:fldCharType="begin"/>
      </w:r>
      <w:r>
        <w:instrText xml:space="preserve"> SEQ Table_A- \* ARABIC </w:instrText>
      </w:r>
      <w:r>
        <w:fldChar w:fldCharType="separate"/>
      </w:r>
      <w:r>
        <w:rPr>
          <w:noProof/>
        </w:rPr>
        <w:t>3</w:t>
      </w:r>
      <w:r>
        <w:fldChar w:fldCharType="end"/>
      </w:r>
      <w:r w:rsidRPr="004E1089">
        <w:t>:</w:t>
      </w:r>
      <w:bookmarkEnd w:id="144"/>
      <w:bookmarkEnd w:id="145"/>
      <w:r w:rsidR="00F90EA9" w:rsidRPr="004A792A">
        <w:rPr>
          <w:lang w:val="en-US"/>
        </w:rPr>
        <w:t xml:space="preserve"> Index of dissimilarity in Ukraine, 2006, 2010 and 2013</w:t>
      </w:r>
      <w:bookmarkEnd w:id="146"/>
    </w:p>
    <w:tbl>
      <w:tblPr>
        <w:tblW w:w="8726" w:type="dxa"/>
        <w:tblBorders>
          <w:top w:val="single" w:sz="4" w:space="0" w:color="auto"/>
          <w:bottom w:val="single" w:sz="4" w:space="0" w:color="auto"/>
        </w:tblBorders>
        <w:tblLook w:val="04A0" w:firstRow="1" w:lastRow="0" w:firstColumn="1" w:lastColumn="0" w:noHBand="0" w:noVBand="1"/>
      </w:tblPr>
      <w:tblGrid>
        <w:gridCol w:w="5846"/>
        <w:gridCol w:w="960"/>
        <w:gridCol w:w="960"/>
        <w:gridCol w:w="960"/>
      </w:tblGrid>
      <w:tr w:rsidR="00186C07" w:rsidRPr="004A792A" w14:paraId="184A43A9" w14:textId="77777777" w:rsidTr="00186C07">
        <w:tc>
          <w:tcPr>
            <w:tcW w:w="5846" w:type="dxa"/>
            <w:tcBorders>
              <w:top w:val="single" w:sz="4" w:space="0" w:color="auto"/>
              <w:bottom w:val="single" w:sz="4" w:space="0" w:color="auto"/>
              <w:right w:val="single" w:sz="4" w:space="0" w:color="auto"/>
            </w:tcBorders>
            <w:shd w:val="clear" w:color="auto" w:fill="auto"/>
            <w:noWrap/>
            <w:vAlign w:val="bottom"/>
            <w:hideMark/>
          </w:tcPr>
          <w:p w14:paraId="72ED8D05" w14:textId="77777777" w:rsidR="00186C07" w:rsidRPr="004A792A" w:rsidRDefault="00186C07" w:rsidP="00186C07">
            <w:pPr>
              <w:spacing w:before="0"/>
              <w:rPr>
                <w:rFonts w:ascii="Times New Roman" w:eastAsia="Times New Roman" w:hAnsi="Times New Roman" w:cs="Times New Roman"/>
                <w:sz w:val="20"/>
                <w:szCs w:val="20"/>
                <w:lang w:val="en-US"/>
              </w:rPr>
            </w:pPr>
          </w:p>
        </w:tc>
        <w:tc>
          <w:tcPr>
            <w:tcW w:w="960" w:type="dxa"/>
            <w:tcBorders>
              <w:top w:val="single" w:sz="4" w:space="0" w:color="auto"/>
              <w:left w:val="single" w:sz="4" w:space="0" w:color="auto"/>
              <w:bottom w:val="single" w:sz="4" w:space="0" w:color="auto"/>
            </w:tcBorders>
            <w:shd w:val="clear" w:color="auto" w:fill="auto"/>
            <w:noWrap/>
            <w:vAlign w:val="bottom"/>
            <w:hideMark/>
          </w:tcPr>
          <w:p w14:paraId="1E47EAA3" w14:textId="77777777" w:rsidR="00186C07" w:rsidRPr="004A792A" w:rsidRDefault="00186C07" w:rsidP="00186C07">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2006</w:t>
            </w:r>
          </w:p>
        </w:tc>
        <w:tc>
          <w:tcPr>
            <w:tcW w:w="960" w:type="dxa"/>
            <w:tcBorders>
              <w:top w:val="single" w:sz="4" w:space="0" w:color="auto"/>
              <w:bottom w:val="single" w:sz="4" w:space="0" w:color="auto"/>
            </w:tcBorders>
            <w:shd w:val="clear" w:color="auto" w:fill="auto"/>
            <w:noWrap/>
            <w:vAlign w:val="bottom"/>
            <w:hideMark/>
          </w:tcPr>
          <w:p w14:paraId="48011F65" w14:textId="77777777" w:rsidR="00186C07" w:rsidRPr="004A792A" w:rsidRDefault="00186C07" w:rsidP="00186C07">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2010</w:t>
            </w:r>
          </w:p>
        </w:tc>
        <w:tc>
          <w:tcPr>
            <w:tcW w:w="960" w:type="dxa"/>
            <w:tcBorders>
              <w:top w:val="single" w:sz="4" w:space="0" w:color="auto"/>
              <w:bottom w:val="single" w:sz="4" w:space="0" w:color="auto"/>
            </w:tcBorders>
            <w:shd w:val="clear" w:color="auto" w:fill="auto"/>
            <w:noWrap/>
            <w:vAlign w:val="bottom"/>
            <w:hideMark/>
          </w:tcPr>
          <w:p w14:paraId="6E1E37A9" w14:textId="77777777" w:rsidR="00186C07" w:rsidRPr="004A792A" w:rsidRDefault="00186C07" w:rsidP="00186C07">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2013</w:t>
            </w:r>
          </w:p>
        </w:tc>
      </w:tr>
      <w:tr w:rsidR="00186C07" w:rsidRPr="004A792A" w14:paraId="6D2BCF24" w14:textId="77777777" w:rsidTr="00897835">
        <w:tc>
          <w:tcPr>
            <w:tcW w:w="5846" w:type="dxa"/>
            <w:tcBorders>
              <w:top w:val="single" w:sz="4" w:space="0" w:color="auto"/>
              <w:bottom w:val="nil"/>
              <w:right w:val="single" w:sz="4" w:space="0" w:color="auto"/>
            </w:tcBorders>
            <w:shd w:val="clear" w:color="auto" w:fill="auto"/>
            <w:noWrap/>
            <w:vAlign w:val="bottom"/>
            <w:hideMark/>
          </w:tcPr>
          <w:p w14:paraId="74126835" w14:textId="77777777" w:rsidR="00186C07" w:rsidRPr="004A792A" w:rsidRDefault="00186C07" w:rsidP="00186C07">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Employed of all employment statuses</w:t>
            </w:r>
          </w:p>
        </w:tc>
        <w:tc>
          <w:tcPr>
            <w:tcW w:w="960" w:type="dxa"/>
            <w:tcBorders>
              <w:top w:val="single" w:sz="4" w:space="0" w:color="auto"/>
              <w:left w:val="single" w:sz="4" w:space="0" w:color="auto"/>
              <w:bottom w:val="nil"/>
            </w:tcBorders>
            <w:shd w:val="clear" w:color="auto" w:fill="auto"/>
            <w:noWrap/>
            <w:vAlign w:val="center"/>
            <w:hideMark/>
          </w:tcPr>
          <w:p w14:paraId="0134B3D7"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0.58</w:t>
            </w:r>
          </w:p>
        </w:tc>
        <w:tc>
          <w:tcPr>
            <w:tcW w:w="960" w:type="dxa"/>
            <w:tcBorders>
              <w:top w:val="single" w:sz="4" w:space="0" w:color="auto"/>
              <w:bottom w:val="nil"/>
            </w:tcBorders>
            <w:shd w:val="clear" w:color="auto" w:fill="auto"/>
            <w:noWrap/>
            <w:vAlign w:val="center"/>
            <w:hideMark/>
          </w:tcPr>
          <w:p w14:paraId="5DE3F8E0"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0.59</w:t>
            </w:r>
          </w:p>
        </w:tc>
        <w:tc>
          <w:tcPr>
            <w:tcW w:w="960" w:type="dxa"/>
            <w:tcBorders>
              <w:top w:val="single" w:sz="4" w:space="0" w:color="auto"/>
              <w:bottom w:val="nil"/>
            </w:tcBorders>
            <w:shd w:val="clear" w:color="auto" w:fill="auto"/>
            <w:noWrap/>
            <w:vAlign w:val="center"/>
            <w:hideMark/>
          </w:tcPr>
          <w:p w14:paraId="0DCF84F1"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0.62</w:t>
            </w:r>
          </w:p>
        </w:tc>
      </w:tr>
      <w:tr w:rsidR="00186C07" w:rsidRPr="004A792A" w14:paraId="768E190E" w14:textId="77777777" w:rsidTr="00897835">
        <w:tc>
          <w:tcPr>
            <w:tcW w:w="5846" w:type="dxa"/>
            <w:tcBorders>
              <w:top w:val="nil"/>
              <w:bottom w:val="single" w:sz="4" w:space="0" w:color="auto"/>
              <w:right w:val="single" w:sz="4" w:space="0" w:color="auto"/>
            </w:tcBorders>
            <w:shd w:val="clear" w:color="auto" w:fill="auto"/>
            <w:noWrap/>
            <w:vAlign w:val="bottom"/>
            <w:hideMark/>
          </w:tcPr>
          <w:p w14:paraId="44B67DC2" w14:textId="77777777" w:rsidR="00186C07" w:rsidRPr="004A792A" w:rsidRDefault="00186C07" w:rsidP="00186C07">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Employees</w:t>
            </w:r>
          </w:p>
        </w:tc>
        <w:tc>
          <w:tcPr>
            <w:tcW w:w="960" w:type="dxa"/>
            <w:tcBorders>
              <w:top w:val="nil"/>
              <w:left w:val="single" w:sz="4" w:space="0" w:color="auto"/>
              <w:bottom w:val="single" w:sz="4" w:space="0" w:color="auto"/>
            </w:tcBorders>
            <w:shd w:val="clear" w:color="auto" w:fill="auto"/>
            <w:noWrap/>
            <w:vAlign w:val="center"/>
            <w:hideMark/>
          </w:tcPr>
          <w:p w14:paraId="280341B0"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0.59</w:t>
            </w:r>
          </w:p>
        </w:tc>
        <w:tc>
          <w:tcPr>
            <w:tcW w:w="960" w:type="dxa"/>
            <w:tcBorders>
              <w:top w:val="nil"/>
              <w:bottom w:val="single" w:sz="4" w:space="0" w:color="auto"/>
            </w:tcBorders>
            <w:shd w:val="clear" w:color="auto" w:fill="auto"/>
            <w:noWrap/>
            <w:vAlign w:val="center"/>
            <w:hideMark/>
          </w:tcPr>
          <w:p w14:paraId="1FFBB7FC"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0.61</w:t>
            </w:r>
          </w:p>
        </w:tc>
        <w:tc>
          <w:tcPr>
            <w:tcW w:w="960" w:type="dxa"/>
            <w:tcBorders>
              <w:top w:val="nil"/>
              <w:bottom w:val="single" w:sz="4" w:space="0" w:color="auto"/>
            </w:tcBorders>
            <w:shd w:val="clear" w:color="auto" w:fill="auto"/>
            <w:noWrap/>
            <w:vAlign w:val="center"/>
            <w:hideMark/>
          </w:tcPr>
          <w:p w14:paraId="16CDF71F"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0.63</w:t>
            </w:r>
          </w:p>
        </w:tc>
      </w:tr>
      <w:tr w:rsidR="00186C07" w:rsidRPr="004A792A" w14:paraId="7481E589" w14:textId="77777777" w:rsidTr="00897835">
        <w:tc>
          <w:tcPr>
            <w:tcW w:w="5846" w:type="dxa"/>
            <w:tcBorders>
              <w:top w:val="single" w:sz="4" w:space="0" w:color="auto"/>
              <w:bottom w:val="nil"/>
              <w:right w:val="single" w:sz="4" w:space="0" w:color="auto"/>
            </w:tcBorders>
            <w:shd w:val="clear" w:color="auto" w:fill="auto"/>
            <w:noWrap/>
            <w:vAlign w:val="bottom"/>
            <w:hideMark/>
          </w:tcPr>
          <w:p w14:paraId="44642226" w14:textId="77777777" w:rsidR="00186C07" w:rsidRPr="004A792A" w:rsidRDefault="00186C07" w:rsidP="00186C07">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Formal employment</w:t>
            </w:r>
          </w:p>
        </w:tc>
        <w:tc>
          <w:tcPr>
            <w:tcW w:w="960" w:type="dxa"/>
            <w:tcBorders>
              <w:top w:val="single" w:sz="4" w:space="0" w:color="auto"/>
              <w:left w:val="single" w:sz="4" w:space="0" w:color="auto"/>
              <w:bottom w:val="nil"/>
            </w:tcBorders>
            <w:shd w:val="clear" w:color="auto" w:fill="auto"/>
            <w:noWrap/>
            <w:vAlign w:val="center"/>
            <w:hideMark/>
          </w:tcPr>
          <w:p w14:paraId="507EF394"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0.58</w:t>
            </w:r>
          </w:p>
        </w:tc>
        <w:tc>
          <w:tcPr>
            <w:tcW w:w="960" w:type="dxa"/>
            <w:tcBorders>
              <w:top w:val="single" w:sz="4" w:space="0" w:color="auto"/>
              <w:bottom w:val="nil"/>
            </w:tcBorders>
            <w:shd w:val="clear" w:color="auto" w:fill="auto"/>
            <w:noWrap/>
            <w:vAlign w:val="center"/>
            <w:hideMark/>
          </w:tcPr>
          <w:p w14:paraId="3153648F"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0.59</w:t>
            </w:r>
          </w:p>
        </w:tc>
        <w:tc>
          <w:tcPr>
            <w:tcW w:w="960" w:type="dxa"/>
            <w:tcBorders>
              <w:top w:val="single" w:sz="4" w:space="0" w:color="auto"/>
              <w:bottom w:val="nil"/>
            </w:tcBorders>
            <w:shd w:val="clear" w:color="auto" w:fill="auto"/>
            <w:noWrap/>
            <w:vAlign w:val="center"/>
            <w:hideMark/>
          </w:tcPr>
          <w:p w14:paraId="67459C16"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0.60</w:t>
            </w:r>
          </w:p>
        </w:tc>
      </w:tr>
      <w:tr w:rsidR="00186C07" w:rsidRPr="004A792A" w14:paraId="27C4AFCB" w14:textId="77777777" w:rsidTr="00897835">
        <w:tc>
          <w:tcPr>
            <w:tcW w:w="5846" w:type="dxa"/>
            <w:tcBorders>
              <w:top w:val="nil"/>
              <w:bottom w:val="single" w:sz="4" w:space="0" w:color="auto"/>
              <w:right w:val="single" w:sz="4" w:space="0" w:color="auto"/>
            </w:tcBorders>
            <w:shd w:val="clear" w:color="auto" w:fill="auto"/>
            <w:noWrap/>
            <w:vAlign w:val="bottom"/>
            <w:hideMark/>
          </w:tcPr>
          <w:p w14:paraId="364FA80A" w14:textId="77777777" w:rsidR="00186C07" w:rsidRPr="004A792A" w:rsidRDefault="00186C07" w:rsidP="00186C07">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Informal employment</w:t>
            </w:r>
          </w:p>
        </w:tc>
        <w:tc>
          <w:tcPr>
            <w:tcW w:w="960" w:type="dxa"/>
            <w:tcBorders>
              <w:top w:val="nil"/>
              <w:left w:val="single" w:sz="4" w:space="0" w:color="auto"/>
              <w:bottom w:val="single" w:sz="4" w:space="0" w:color="auto"/>
            </w:tcBorders>
            <w:shd w:val="clear" w:color="auto" w:fill="auto"/>
            <w:noWrap/>
            <w:vAlign w:val="center"/>
            <w:hideMark/>
          </w:tcPr>
          <w:p w14:paraId="28EE576F"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0.64</w:t>
            </w:r>
          </w:p>
        </w:tc>
        <w:tc>
          <w:tcPr>
            <w:tcW w:w="960" w:type="dxa"/>
            <w:tcBorders>
              <w:top w:val="nil"/>
              <w:bottom w:val="single" w:sz="4" w:space="0" w:color="auto"/>
            </w:tcBorders>
            <w:shd w:val="clear" w:color="auto" w:fill="auto"/>
            <w:noWrap/>
            <w:vAlign w:val="center"/>
            <w:hideMark/>
          </w:tcPr>
          <w:p w14:paraId="5A9D01F5"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0.69</w:t>
            </w:r>
          </w:p>
        </w:tc>
        <w:tc>
          <w:tcPr>
            <w:tcW w:w="960" w:type="dxa"/>
            <w:tcBorders>
              <w:top w:val="nil"/>
              <w:bottom w:val="single" w:sz="4" w:space="0" w:color="auto"/>
            </w:tcBorders>
            <w:shd w:val="clear" w:color="auto" w:fill="auto"/>
            <w:noWrap/>
            <w:vAlign w:val="center"/>
            <w:hideMark/>
          </w:tcPr>
          <w:p w14:paraId="5460FC87"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0.74</w:t>
            </w:r>
          </w:p>
        </w:tc>
      </w:tr>
      <w:tr w:rsidR="00186C07" w:rsidRPr="004A792A" w14:paraId="17A4E0C4" w14:textId="77777777" w:rsidTr="00897835">
        <w:tc>
          <w:tcPr>
            <w:tcW w:w="5846" w:type="dxa"/>
            <w:tcBorders>
              <w:top w:val="single" w:sz="4" w:space="0" w:color="auto"/>
              <w:right w:val="single" w:sz="4" w:space="0" w:color="auto"/>
            </w:tcBorders>
            <w:shd w:val="clear" w:color="auto" w:fill="auto"/>
            <w:noWrap/>
            <w:vAlign w:val="bottom"/>
            <w:hideMark/>
          </w:tcPr>
          <w:p w14:paraId="3F98D60A" w14:textId="77777777" w:rsidR="00186C07" w:rsidRPr="004A792A" w:rsidRDefault="00186C07" w:rsidP="00186C07">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Secondary education and below (general and vocational schools)</w:t>
            </w:r>
          </w:p>
        </w:tc>
        <w:tc>
          <w:tcPr>
            <w:tcW w:w="960" w:type="dxa"/>
            <w:tcBorders>
              <w:top w:val="single" w:sz="4" w:space="0" w:color="auto"/>
              <w:left w:val="single" w:sz="4" w:space="0" w:color="auto"/>
            </w:tcBorders>
            <w:shd w:val="clear" w:color="auto" w:fill="auto"/>
            <w:noWrap/>
            <w:vAlign w:val="center"/>
            <w:hideMark/>
          </w:tcPr>
          <w:p w14:paraId="6558088F"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0.64</w:t>
            </w:r>
          </w:p>
        </w:tc>
        <w:tc>
          <w:tcPr>
            <w:tcW w:w="960" w:type="dxa"/>
            <w:tcBorders>
              <w:top w:val="single" w:sz="4" w:space="0" w:color="auto"/>
            </w:tcBorders>
            <w:shd w:val="clear" w:color="auto" w:fill="auto"/>
            <w:noWrap/>
            <w:vAlign w:val="center"/>
            <w:hideMark/>
          </w:tcPr>
          <w:p w14:paraId="7D4D485C"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0.67</w:t>
            </w:r>
          </w:p>
        </w:tc>
        <w:tc>
          <w:tcPr>
            <w:tcW w:w="960" w:type="dxa"/>
            <w:tcBorders>
              <w:top w:val="single" w:sz="4" w:space="0" w:color="auto"/>
            </w:tcBorders>
            <w:shd w:val="clear" w:color="auto" w:fill="auto"/>
            <w:noWrap/>
            <w:vAlign w:val="center"/>
            <w:hideMark/>
          </w:tcPr>
          <w:p w14:paraId="18DDFFA3"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0.69</w:t>
            </w:r>
          </w:p>
        </w:tc>
      </w:tr>
      <w:tr w:rsidR="00186C07" w:rsidRPr="004A792A" w14:paraId="6EE68390" w14:textId="77777777" w:rsidTr="00186C07">
        <w:tc>
          <w:tcPr>
            <w:tcW w:w="5846" w:type="dxa"/>
            <w:tcBorders>
              <w:bottom w:val="single" w:sz="4" w:space="0" w:color="auto"/>
              <w:right w:val="single" w:sz="4" w:space="0" w:color="auto"/>
            </w:tcBorders>
            <w:shd w:val="clear" w:color="auto" w:fill="auto"/>
            <w:noWrap/>
            <w:vAlign w:val="bottom"/>
            <w:hideMark/>
          </w:tcPr>
          <w:p w14:paraId="2B4F7CCC" w14:textId="77777777" w:rsidR="00186C07" w:rsidRPr="004A792A" w:rsidRDefault="00186C07" w:rsidP="00897835">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 xml:space="preserve">Post-secondary and </w:t>
            </w:r>
            <w:r w:rsidR="00897835" w:rsidRPr="004A792A">
              <w:rPr>
                <w:rFonts w:ascii="Calibri" w:eastAsia="Times New Roman" w:hAnsi="Calibri" w:cs="Calibri"/>
                <w:color w:val="000000"/>
                <w:sz w:val="20"/>
                <w:szCs w:val="20"/>
                <w:lang w:val="en-US"/>
              </w:rPr>
              <w:t>t</w:t>
            </w:r>
            <w:r w:rsidRPr="004A792A">
              <w:rPr>
                <w:rFonts w:ascii="Calibri" w:eastAsia="Times New Roman" w:hAnsi="Calibri" w:cs="Calibri"/>
                <w:color w:val="000000"/>
                <w:sz w:val="20"/>
                <w:szCs w:val="20"/>
                <w:lang w:val="en-US"/>
              </w:rPr>
              <w:t>ertiary education (colleges and universities)</w:t>
            </w:r>
          </w:p>
        </w:tc>
        <w:tc>
          <w:tcPr>
            <w:tcW w:w="960" w:type="dxa"/>
            <w:tcBorders>
              <w:left w:val="single" w:sz="4" w:space="0" w:color="auto"/>
            </w:tcBorders>
            <w:shd w:val="clear" w:color="auto" w:fill="auto"/>
            <w:noWrap/>
            <w:vAlign w:val="center"/>
            <w:hideMark/>
          </w:tcPr>
          <w:p w14:paraId="23735D6D"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0.51</w:t>
            </w:r>
          </w:p>
        </w:tc>
        <w:tc>
          <w:tcPr>
            <w:tcW w:w="960" w:type="dxa"/>
            <w:shd w:val="clear" w:color="auto" w:fill="auto"/>
            <w:noWrap/>
            <w:vAlign w:val="center"/>
            <w:hideMark/>
          </w:tcPr>
          <w:p w14:paraId="1BD3E4BC"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0.52</w:t>
            </w:r>
          </w:p>
        </w:tc>
        <w:tc>
          <w:tcPr>
            <w:tcW w:w="960" w:type="dxa"/>
            <w:shd w:val="clear" w:color="auto" w:fill="auto"/>
            <w:noWrap/>
            <w:vAlign w:val="center"/>
            <w:hideMark/>
          </w:tcPr>
          <w:p w14:paraId="2AFAB460" w14:textId="77777777" w:rsidR="00186C07" w:rsidRPr="004A792A" w:rsidRDefault="00186C07" w:rsidP="00186C07">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0.54</w:t>
            </w:r>
          </w:p>
        </w:tc>
      </w:tr>
    </w:tbl>
    <w:p w14:paraId="1C523076" w14:textId="77777777" w:rsidR="00186C07" w:rsidRPr="004A792A" w:rsidRDefault="00897835" w:rsidP="00897835">
      <w:pPr>
        <w:rPr>
          <w:i/>
          <w:sz w:val="20"/>
          <w:szCs w:val="20"/>
          <w:lang w:val="en-US"/>
        </w:rPr>
      </w:pPr>
      <w:r w:rsidRPr="004A792A">
        <w:rPr>
          <w:i/>
          <w:sz w:val="20"/>
          <w:szCs w:val="20"/>
          <w:lang w:val="en-US"/>
        </w:rPr>
        <w:t>Source: Author’s calculations based of the individual-level Ukraine LFS data.</w:t>
      </w:r>
    </w:p>
    <w:p w14:paraId="1819F02B" w14:textId="77777777" w:rsidR="00897835" w:rsidRDefault="00897835" w:rsidP="00E270FB">
      <w:pPr>
        <w:spacing w:before="0"/>
        <w:rPr>
          <w:i/>
          <w:sz w:val="20"/>
          <w:szCs w:val="20"/>
          <w:lang w:val="en-US"/>
        </w:rPr>
      </w:pPr>
      <w:r w:rsidRPr="004A792A">
        <w:rPr>
          <w:i/>
          <w:sz w:val="20"/>
          <w:szCs w:val="20"/>
          <w:lang w:val="en-US"/>
        </w:rPr>
        <w:t>Note: Based on ISCO-88 3-digit occupations. Population aged 15-70 years.</w:t>
      </w:r>
    </w:p>
    <w:p w14:paraId="361F582B" w14:textId="77777777" w:rsidR="00012C63" w:rsidRDefault="00012C63" w:rsidP="00E270FB">
      <w:pPr>
        <w:spacing w:before="0"/>
        <w:rPr>
          <w:i/>
          <w:sz w:val="20"/>
          <w:szCs w:val="20"/>
          <w:lang w:val="en-US"/>
        </w:rPr>
      </w:pPr>
    </w:p>
    <w:p w14:paraId="6B864C73" w14:textId="0CB421B6" w:rsidR="00012C63" w:rsidRDefault="00C44A65" w:rsidP="00012C63">
      <w:pPr>
        <w:pStyle w:val="ad"/>
        <w:jc w:val="left"/>
      </w:pPr>
      <w:bookmarkStart w:id="147" w:name="_Ref521336311"/>
      <w:bookmarkStart w:id="148" w:name="_Toc533185133"/>
      <w:r>
        <w:t>Table A-</w:t>
      </w:r>
      <w:r>
        <w:fldChar w:fldCharType="begin"/>
      </w:r>
      <w:r>
        <w:instrText xml:space="preserve"> SEQ Table_A- \* ARABIC </w:instrText>
      </w:r>
      <w:r>
        <w:fldChar w:fldCharType="separate"/>
      </w:r>
      <w:r>
        <w:rPr>
          <w:noProof/>
        </w:rPr>
        <w:t>4</w:t>
      </w:r>
      <w:r>
        <w:fldChar w:fldCharType="end"/>
      </w:r>
      <w:r w:rsidRPr="004E1089">
        <w:t>:</w:t>
      </w:r>
      <w:bookmarkEnd w:id="147"/>
      <w:r w:rsidR="00012C63">
        <w:t xml:space="preserve"> Employment by sector and by gender (%), 2017</w:t>
      </w:r>
      <w:bookmarkEnd w:id="148"/>
    </w:p>
    <w:tbl>
      <w:tblPr>
        <w:tblW w:w="9639" w:type="dxa"/>
        <w:tblLayout w:type="fixed"/>
        <w:tblLook w:val="04A0" w:firstRow="1" w:lastRow="0" w:firstColumn="1" w:lastColumn="0" w:noHBand="0" w:noVBand="1"/>
      </w:tblPr>
      <w:tblGrid>
        <w:gridCol w:w="2673"/>
        <w:gridCol w:w="855"/>
        <w:gridCol w:w="1008"/>
        <w:gridCol w:w="706"/>
        <w:gridCol w:w="813"/>
        <w:gridCol w:w="900"/>
        <w:gridCol w:w="983"/>
        <w:gridCol w:w="731"/>
        <w:gridCol w:w="857"/>
        <w:gridCol w:w="113"/>
      </w:tblGrid>
      <w:tr w:rsidR="00012C63" w:rsidRPr="00A60A8D" w14:paraId="1FC7A419" w14:textId="77777777" w:rsidTr="00CF2502">
        <w:tc>
          <w:tcPr>
            <w:tcW w:w="2673" w:type="dxa"/>
            <w:tcBorders>
              <w:top w:val="single" w:sz="4" w:space="0" w:color="auto"/>
              <w:left w:val="nil"/>
              <w:bottom w:val="nil"/>
              <w:right w:val="nil"/>
            </w:tcBorders>
            <w:shd w:val="clear" w:color="auto" w:fill="auto"/>
            <w:noWrap/>
            <w:vAlign w:val="bottom"/>
            <w:hideMark/>
          </w:tcPr>
          <w:p w14:paraId="1A2FC806" w14:textId="77777777" w:rsidR="00012C63" w:rsidRPr="00A60A8D" w:rsidRDefault="00012C63" w:rsidP="00CF2502">
            <w:pPr>
              <w:spacing w:before="0"/>
              <w:rPr>
                <w:rFonts w:eastAsia="Times New Roman" w:cstheme="minorHAnsi"/>
                <w:sz w:val="20"/>
                <w:szCs w:val="20"/>
                <w:lang w:val="en-US"/>
              </w:rPr>
            </w:pPr>
          </w:p>
        </w:tc>
        <w:tc>
          <w:tcPr>
            <w:tcW w:w="3382" w:type="dxa"/>
            <w:gridSpan w:val="4"/>
            <w:tcBorders>
              <w:top w:val="single" w:sz="4" w:space="0" w:color="auto"/>
              <w:left w:val="nil"/>
              <w:bottom w:val="nil"/>
              <w:right w:val="single" w:sz="4" w:space="0" w:color="auto"/>
            </w:tcBorders>
            <w:shd w:val="clear" w:color="auto" w:fill="auto"/>
            <w:noWrap/>
            <w:vAlign w:val="bottom"/>
            <w:hideMark/>
          </w:tcPr>
          <w:p w14:paraId="3619458D" w14:textId="77777777" w:rsidR="00012C63" w:rsidRPr="00A60A8D" w:rsidRDefault="00012C63" w:rsidP="00CF2502">
            <w:pPr>
              <w:spacing w:before="0"/>
              <w:jc w:val="center"/>
              <w:rPr>
                <w:rFonts w:eastAsia="Times New Roman" w:cstheme="minorHAnsi"/>
                <w:b/>
                <w:sz w:val="20"/>
                <w:szCs w:val="20"/>
                <w:lang w:val="en-US"/>
              </w:rPr>
            </w:pPr>
            <w:r w:rsidRPr="00A60A8D">
              <w:rPr>
                <w:rFonts w:eastAsia="Times New Roman" w:cstheme="minorHAnsi"/>
                <w:b/>
                <w:sz w:val="20"/>
                <w:szCs w:val="20"/>
                <w:lang w:val="en-US"/>
              </w:rPr>
              <w:t>Urban and rural</w:t>
            </w:r>
          </w:p>
        </w:tc>
        <w:tc>
          <w:tcPr>
            <w:tcW w:w="3584" w:type="dxa"/>
            <w:gridSpan w:val="5"/>
            <w:tcBorders>
              <w:top w:val="single" w:sz="4" w:space="0" w:color="auto"/>
              <w:left w:val="single" w:sz="4" w:space="0" w:color="auto"/>
              <w:bottom w:val="nil"/>
              <w:right w:val="nil"/>
            </w:tcBorders>
            <w:shd w:val="clear" w:color="auto" w:fill="auto"/>
            <w:noWrap/>
            <w:vAlign w:val="bottom"/>
            <w:hideMark/>
          </w:tcPr>
          <w:p w14:paraId="028E14FB" w14:textId="77777777" w:rsidR="00012C63" w:rsidRPr="00A60A8D" w:rsidRDefault="00012C63" w:rsidP="00CF2502">
            <w:pPr>
              <w:spacing w:before="0"/>
              <w:jc w:val="center"/>
              <w:rPr>
                <w:rFonts w:eastAsia="Times New Roman" w:cstheme="minorHAnsi"/>
                <w:b/>
                <w:sz w:val="20"/>
                <w:szCs w:val="20"/>
                <w:lang w:val="en-US"/>
              </w:rPr>
            </w:pPr>
            <w:r w:rsidRPr="00A60A8D">
              <w:rPr>
                <w:rFonts w:eastAsia="Times New Roman" w:cstheme="minorHAnsi"/>
                <w:b/>
                <w:sz w:val="20"/>
                <w:szCs w:val="20"/>
                <w:lang w:val="en-US"/>
              </w:rPr>
              <w:t>Urban</w:t>
            </w:r>
          </w:p>
        </w:tc>
      </w:tr>
      <w:tr w:rsidR="00012C63" w:rsidRPr="00A60A8D" w14:paraId="2DACE25A" w14:textId="77777777" w:rsidTr="00CF2502">
        <w:trPr>
          <w:gridAfter w:val="1"/>
          <w:wAfter w:w="113" w:type="dxa"/>
        </w:trPr>
        <w:tc>
          <w:tcPr>
            <w:tcW w:w="2673" w:type="dxa"/>
            <w:tcBorders>
              <w:top w:val="nil"/>
              <w:left w:val="nil"/>
              <w:bottom w:val="single" w:sz="4" w:space="0" w:color="auto"/>
              <w:right w:val="nil"/>
            </w:tcBorders>
            <w:shd w:val="clear" w:color="auto" w:fill="auto"/>
            <w:noWrap/>
            <w:vAlign w:val="bottom"/>
            <w:hideMark/>
          </w:tcPr>
          <w:p w14:paraId="48EF0E6D" w14:textId="77777777" w:rsidR="00012C63" w:rsidRPr="00A60A8D" w:rsidRDefault="00012C63" w:rsidP="00CF2502">
            <w:pPr>
              <w:spacing w:before="0"/>
              <w:rPr>
                <w:rFonts w:eastAsia="Times New Roman" w:cstheme="minorHAnsi"/>
                <w:sz w:val="20"/>
                <w:szCs w:val="20"/>
                <w:lang w:val="en-US"/>
              </w:rPr>
            </w:pPr>
          </w:p>
        </w:tc>
        <w:tc>
          <w:tcPr>
            <w:tcW w:w="855" w:type="dxa"/>
            <w:tcBorders>
              <w:top w:val="nil"/>
              <w:left w:val="nil"/>
              <w:bottom w:val="single" w:sz="4" w:space="0" w:color="auto"/>
              <w:right w:val="nil"/>
            </w:tcBorders>
            <w:shd w:val="clear" w:color="auto" w:fill="auto"/>
            <w:noWrap/>
            <w:hideMark/>
          </w:tcPr>
          <w:p w14:paraId="1609570C"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Female share</w:t>
            </w:r>
          </w:p>
        </w:tc>
        <w:tc>
          <w:tcPr>
            <w:tcW w:w="1008" w:type="dxa"/>
            <w:tcBorders>
              <w:top w:val="nil"/>
              <w:left w:val="nil"/>
              <w:bottom w:val="single" w:sz="4" w:space="0" w:color="auto"/>
              <w:right w:val="nil"/>
            </w:tcBorders>
            <w:shd w:val="clear" w:color="auto" w:fill="auto"/>
            <w:noWrap/>
            <w:hideMark/>
          </w:tcPr>
          <w:p w14:paraId="7F5D2CF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Women</w:t>
            </w:r>
          </w:p>
        </w:tc>
        <w:tc>
          <w:tcPr>
            <w:tcW w:w="706" w:type="dxa"/>
            <w:tcBorders>
              <w:top w:val="nil"/>
              <w:left w:val="nil"/>
              <w:bottom w:val="single" w:sz="4" w:space="0" w:color="auto"/>
              <w:right w:val="nil"/>
            </w:tcBorders>
            <w:shd w:val="clear" w:color="auto" w:fill="auto"/>
            <w:noWrap/>
            <w:hideMark/>
          </w:tcPr>
          <w:p w14:paraId="3492F61E"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Men</w:t>
            </w:r>
          </w:p>
        </w:tc>
        <w:tc>
          <w:tcPr>
            <w:tcW w:w="813" w:type="dxa"/>
            <w:tcBorders>
              <w:top w:val="nil"/>
              <w:left w:val="nil"/>
              <w:bottom w:val="single" w:sz="4" w:space="0" w:color="auto"/>
              <w:right w:val="single" w:sz="4" w:space="0" w:color="auto"/>
            </w:tcBorders>
            <w:shd w:val="clear" w:color="auto" w:fill="auto"/>
            <w:noWrap/>
            <w:hideMark/>
          </w:tcPr>
          <w:p w14:paraId="04F8B67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Total</w:t>
            </w:r>
          </w:p>
        </w:tc>
        <w:tc>
          <w:tcPr>
            <w:tcW w:w="900" w:type="dxa"/>
            <w:tcBorders>
              <w:top w:val="nil"/>
              <w:left w:val="single" w:sz="4" w:space="0" w:color="auto"/>
              <w:bottom w:val="single" w:sz="4" w:space="0" w:color="auto"/>
              <w:right w:val="nil"/>
            </w:tcBorders>
            <w:shd w:val="clear" w:color="auto" w:fill="auto"/>
            <w:noWrap/>
            <w:hideMark/>
          </w:tcPr>
          <w:p w14:paraId="547BC2D9"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Female share</w:t>
            </w:r>
          </w:p>
        </w:tc>
        <w:tc>
          <w:tcPr>
            <w:tcW w:w="983" w:type="dxa"/>
            <w:tcBorders>
              <w:top w:val="nil"/>
              <w:left w:val="nil"/>
              <w:bottom w:val="single" w:sz="4" w:space="0" w:color="auto"/>
              <w:right w:val="nil"/>
            </w:tcBorders>
            <w:shd w:val="clear" w:color="auto" w:fill="auto"/>
            <w:noWrap/>
            <w:hideMark/>
          </w:tcPr>
          <w:p w14:paraId="2AEEE8B5"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Women</w:t>
            </w:r>
          </w:p>
        </w:tc>
        <w:tc>
          <w:tcPr>
            <w:tcW w:w="731" w:type="dxa"/>
            <w:tcBorders>
              <w:top w:val="nil"/>
              <w:left w:val="nil"/>
              <w:bottom w:val="single" w:sz="4" w:space="0" w:color="auto"/>
              <w:right w:val="nil"/>
            </w:tcBorders>
            <w:shd w:val="clear" w:color="auto" w:fill="auto"/>
            <w:noWrap/>
            <w:hideMark/>
          </w:tcPr>
          <w:p w14:paraId="2A62347B"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Men</w:t>
            </w:r>
          </w:p>
        </w:tc>
        <w:tc>
          <w:tcPr>
            <w:tcW w:w="857" w:type="dxa"/>
            <w:tcBorders>
              <w:top w:val="nil"/>
              <w:left w:val="nil"/>
              <w:bottom w:val="single" w:sz="4" w:space="0" w:color="auto"/>
              <w:right w:val="nil"/>
            </w:tcBorders>
            <w:shd w:val="clear" w:color="auto" w:fill="auto"/>
            <w:noWrap/>
            <w:hideMark/>
          </w:tcPr>
          <w:p w14:paraId="14842C8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Total</w:t>
            </w:r>
          </w:p>
        </w:tc>
      </w:tr>
      <w:tr w:rsidR="00012C63" w:rsidRPr="00A60A8D" w14:paraId="14A0ED8B" w14:textId="77777777" w:rsidTr="00CF2502">
        <w:trPr>
          <w:gridAfter w:val="1"/>
          <w:wAfter w:w="113" w:type="dxa"/>
        </w:trPr>
        <w:tc>
          <w:tcPr>
            <w:tcW w:w="2673" w:type="dxa"/>
            <w:tcBorders>
              <w:top w:val="single" w:sz="4" w:space="0" w:color="auto"/>
              <w:left w:val="nil"/>
            </w:tcBorders>
            <w:shd w:val="clear" w:color="auto" w:fill="auto"/>
            <w:hideMark/>
          </w:tcPr>
          <w:p w14:paraId="5C747015"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Agriculture, forestry; Fishery</w:t>
            </w:r>
          </w:p>
        </w:tc>
        <w:tc>
          <w:tcPr>
            <w:tcW w:w="855" w:type="dxa"/>
            <w:tcBorders>
              <w:top w:val="single" w:sz="4" w:space="0" w:color="auto"/>
              <w:left w:val="nil"/>
              <w:bottom w:val="nil"/>
              <w:right w:val="nil"/>
            </w:tcBorders>
            <w:shd w:val="clear" w:color="auto" w:fill="auto"/>
            <w:noWrap/>
            <w:hideMark/>
          </w:tcPr>
          <w:p w14:paraId="79FCCA3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42.9</w:t>
            </w:r>
          </w:p>
        </w:tc>
        <w:tc>
          <w:tcPr>
            <w:tcW w:w="1008" w:type="dxa"/>
            <w:tcBorders>
              <w:top w:val="single" w:sz="4" w:space="0" w:color="auto"/>
              <w:left w:val="nil"/>
              <w:bottom w:val="nil"/>
              <w:right w:val="nil"/>
            </w:tcBorders>
            <w:shd w:val="clear" w:color="auto" w:fill="auto"/>
            <w:noWrap/>
            <w:hideMark/>
          </w:tcPr>
          <w:p w14:paraId="71E69218"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28.0</w:t>
            </w:r>
          </w:p>
        </w:tc>
        <w:tc>
          <w:tcPr>
            <w:tcW w:w="706" w:type="dxa"/>
            <w:tcBorders>
              <w:top w:val="single" w:sz="4" w:space="0" w:color="auto"/>
              <w:left w:val="nil"/>
              <w:bottom w:val="nil"/>
              <w:right w:val="nil"/>
            </w:tcBorders>
            <w:shd w:val="clear" w:color="auto" w:fill="auto"/>
            <w:noWrap/>
            <w:hideMark/>
          </w:tcPr>
          <w:p w14:paraId="357F9523"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36.6</w:t>
            </w:r>
          </w:p>
        </w:tc>
        <w:tc>
          <w:tcPr>
            <w:tcW w:w="813" w:type="dxa"/>
            <w:tcBorders>
              <w:top w:val="single" w:sz="4" w:space="0" w:color="auto"/>
              <w:left w:val="nil"/>
              <w:bottom w:val="nil"/>
              <w:right w:val="single" w:sz="4" w:space="0" w:color="auto"/>
            </w:tcBorders>
            <w:shd w:val="clear" w:color="auto" w:fill="auto"/>
            <w:noWrap/>
            <w:hideMark/>
          </w:tcPr>
          <w:p w14:paraId="7A892146"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32.3</w:t>
            </w:r>
          </w:p>
        </w:tc>
        <w:tc>
          <w:tcPr>
            <w:tcW w:w="900" w:type="dxa"/>
            <w:tcBorders>
              <w:top w:val="single" w:sz="4" w:space="0" w:color="auto"/>
              <w:left w:val="single" w:sz="4" w:space="0" w:color="auto"/>
              <w:bottom w:val="nil"/>
              <w:right w:val="nil"/>
            </w:tcBorders>
            <w:shd w:val="clear" w:color="auto" w:fill="auto"/>
            <w:noWrap/>
            <w:hideMark/>
          </w:tcPr>
          <w:p w14:paraId="79CE7828"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38.6</w:t>
            </w:r>
          </w:p>
        </w:tc>
        <w:tc>
          <w:tcPr>
            <w:tcW w:w="983" w:type="dxa"/>
            <w:tcBorders>
              <w:top w:val="single" w:sz="4" w:space="0" w:color="auto"/>
              <w:left w:val="nil"/>
              <w:bottom w:val="nil"/>
              <w:right w:val="nil"/>
            </w:tcBorders>
            <w:shd w:val="clear" w:color="auto" w:fill="auto"/>
            <w:noWrap/>
            <w:hideMark/>
          </w:tcPr>
          <w:p w14:paraId="00E48EF2"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3.1</w:t>
            </w:r>
          </w:p>
        </w:tc>
        <w:tc>
          <w:tcPr>
            <w:tcW w:w="731" w:type="dxa"/>
            <w:tcBorders>
              <w:top w:val="single" w:sz="4" w:space="0" w:color="auto"/>
              <w:left w:val="nil"/>
              <w:bottom w:val="nil"/>
              <w:right w:val="nil"/>
            </w:tcBorders>
            <w:shd w:val="clear" w:color="auto" w:fill="auto"/>
            <w:noWrap/>
            <w:hideMark/>
          </w:tcPr>
          <w:p w14:paraId="5B4C897E"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5.0</w:t>
            </w:r>
          </w:p>
        </w:tc>
        <w:tc>
          <w:tcPr>
            <w:tcW w:w="857" w:type="dxa"/>
            <w:tcBorders>
              <w:top w:val="single" w:sz="4" w:space="0" w:color="auto"/>
              <w:left w:val="nil"/>
              <w:bottom w:val="nil"/>
              <w:right w:val="nil"/>
            </w:tcBorders>
            <w:shd w:val="clear" w:color="auto" w:fill="auto"/>
            <w:noWrap/>
            <w:hideMark/>
          </w:tcPr>
          <w:p w14:paraId="22438DBA"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4.1</w:t>
            </w:r>
          </w:p>
        </w:tc>
      </w:tr>
      <w:tr w:rsidR="00012C63" w:rsidRPr="00A60A8D" w14:paraId="220EC982" w14:textId="77777777" w:rsidTr="00CF2502">
        <w:trPr>
          <w:gridAfter w:val="1"/>
          <w:wAfter w:w="113" w:type="dxa"/>
        </w:trPr>
        <w:tc>
          <w:tcPr>
            <w:tcW w:w="2673" w:type="dxa"/>
            <w:tcBorders>
              <w:top w:val="nil"/>
              <w:left w:val="nil"/>
            </w:tcBorders>
            <w:shd w:val="clear" w:color="auto" w:fill="auto"/>
            <w:hideMark/>
          </w:tcPr>
          <w:p w14:paraId="7CC5A038"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Industry</w:t>
            </w:r>
          </w:p>
        </w:tc>
        <w:tc>
          <w:tcPr>
            <w:tcW w:w="855" w:type="dxa"/>
            <w:tcBorders>
              <w:top w:val="nil"/>
              <w:left w:val="nil"/>
              <w:bottom w:val="nil"/>
              <w:right w:val="nil"/>
            </w:tcBorders>
            <w:shd w:val="clear" w:color="auto" w:fill="auto"/>
            <w:noWrap/>
            <w:hideMark/>
          </w:tcPr>
          <w:p w14:paraId="44A0836C"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48.5</w:t>
            </w:r>
          </w:p>
        </w:tc>
        <w:tc>
          <w:tcPr>
            <w:tcW w:w="1008" w:type="dxa"/>
            <w:tcBorders>
              <w:top w:val="nil"/>
              <w:left w:val="nil"/>
              <w:bottom w:val="nil"/>
              <w:right w:val="nil"/>
            </w:tcBorders>
            <w:shd w:val="clear" w:color="auto" w:fill="auto"/>
            <w:noWrap/>
            <w:hideMark/>
          </w:tcPr>
          <w:p w14:paraId="5CDEA278"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11.7</w:t>
            </w:r>
          </w:p>
        </w:tc>
        <w:tc>
          <w:tcPr>
            <w:tcW w:w="706" w:type="dxa"/>
            <w:tcBorders>
              <w:top w:val="nil"/>
              <w:left w:val="nil"/>
              <w:bottom w:val="nil"/>
              <w:right w:val="nil"/>
            </w:tcBorders>
            <w:shd w:val="clear" w:color="auto" w:fill="auto"/>
            <w:noWrap/>
            <w:hideMark/>
          </w:tcPr>
          <w:p w14:paraId="640BC66F"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12.2</w:t>
            </w:r>
          </w:p>
        </w:tc>
        <w:tc>
          <w:tcPr>
            <w:tcW w:w="813" w:type="dxa"/>
            <w:tcBorders>
              <w:top w:val="nil"/>
              <w:left w:val="nil"/>
              <w:bottom w:val="nil"/>
              <w:right w:val="single" w:sz="4" w:space="0" w:color="auto"/>
            </w:tcBorders>
            <w:shd w:val="clear" w:color="auto" w:fill="auto"/>
            <w:noWrap/>
            <w:hideMark/>
          </w:tcPr>
          <w:p w14:paraId="32C87F4B"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12.0</w:t>
            </w:r>
          </w:p>
        </w:tc>
        <w:tc>
          <w:tcPr>
            <w:tcW w:w="900" w:type="dxa"/>
            <w:tcBorders>
              <w:top w:val="nil"/>
              <w:left w:val="single" w:sz="4" w:space="0" w:color="auto"/>
              <w:bottom w:val="nil"/>
              <w:right w:val="nil"/>
            </w:tcBorders>
            <w:shd w:val="clear" w:color="auto" w:fill="auto"/>
            <w:noWrap/>
            <w:hideMark/>
          </w:tcPr>
          <w:p w14:paraId="50C83A76"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46.7</w:t>
            </w:r>
          </w:p>
        </w:tc>
        <w:tc>
          <w:tcPr>
            <w:tcW w:w="983" w:type="dxa"/>
            <w:tcBorders>
              <w:top w:val="nil"/>
              <w:left w:val="nil"/>
              <w:bottom w:val="nil"/>
              <w:right w:val="nil"/>
            </w:tcBorders>
            <w:shd w:val="clear" w:color="auto" w:fill="auto"/>
            <w:noWrap/>
            <w:hideMark/>
          </w:tcPr>
          <w:p w14:paraId="2C778F05"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15.4</w:t>
            </w:r>
          </w:p>
        </w:tc>
        <w:tc>
          <w:tcPr>
            <w:tcW w:w="731" w:type="dxa"/>
            <w:tcBorders>
              <w:top w:val="nil"/>
              <w:left w:val="nil"/>
              <w:bottom w:val="nil"/>
              <w:right w:val="nil"/>
            </w:tcBorders>
            <w:shd w:val="clear" w:color="auto" w:fill="auto"/>
            <w:noWrap/>
            <w:hideMark/>
          </w:tcPr>
          <w:p w14:paraId="01B6779B"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18.3</w:t>
            </w:r>
          </w:p>
        </w:tc>
        <w:tc>
          <w:tcPr>
            <w:tcW w:w="857" w:type="dxa"/>
            <w:tcBorders>
              <w:top w:val="nil"/>
              <w:left w:val="nil"/>
              <w:bottom w:val="nil"/>
              <w:right w:val="nil"/>
            </w:tcBorders>
            <w:shd w:val="clear" w:color="auto" w:fill="auto"/>
            <w:noWrap/>
            <w:hideMark/>
          </w:tcPr>
          <w:p w14:paraId="50171F0B"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16.8</w:t>
            </w:r>
          </w:p>
        </w:tc>
      </w:tr>
      <w:tr w:rsidR="00012C63" w:rsidRPr="00A60A8D" w14:paraId="2F642CD9" w14:textId="77777777" w:rsidTr="00CF2502">
        <w:trPr>
          <w:gridAfter w:val="1"/>
          <w:wAfter w:w="113" w:type="dxa"/>
        </w:trPr>
        <w:tc>
          <w:tcPr>
            <w:tcW w:w="2673" w:type="dxa"/>
            <w:tcBorders>
              <w:top w:val="nil"/>
              <w:left w:val="nil"/>
            </w:tcBorders>
            <w:shd w:val="clear" w:color="auto" w:fill="auto"/>
            <w:hideMark/>
          </w:tcPr>
          <w:p w14:paraId="2C5548E9"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Construction</w:t>
            </w:r>
          </w:p>
        </w:tc>
        <w:tc>
          <w:tcPr>
            <w:tcW w:w="855" w:type="dxa"/>
            <w:tcBorders>
              <w:top w:val="nil"/>
              <w:left w:val="nil"/>
              <w:bottom w:val="nil"/>
              <w:right w:val="nil"/>
            </w:tcBorders>
            <w:shd w:val="clear" w:color="auto" w:fill="auto"/>
            <w:noWrap/>
            <w:hideMark/>
          </w:tcPr>
          <w:p w14:paraId="5EDACD76"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8.7</w:t>
            </w:r>
          </w:p>
        </w:tc>
        <w:tc>
          <w:tcPr>
            <w:tcW w:w="1008" w:type="dxa"/>
            <w:tcBorders>
              <w:top w:val="nil"/>
              <w:left w:val="nil"/>
              <w:bottom w:val="nil"/>
              <w:right w:val="nil"/>
            </w:tcBorders>
            <w:shd w:val="clear" w:color="auto" w:fill="auto"/>
            <w:noWrap/>
            <w:hideMark/>
          </w:tcPr>
          <w:p w14:paraId="0B091843"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0.8</w:t>
            </w:r>
          </w:p>
        </w:tc>
        <w:tc>
          <w:tcPr>
            <w:tcW w:w="706" w:type="dxa"/>
            <w:tcBorders>
              <w:top w:val="nil"/>
              <w:left w:val="nil"/>
              <w:bottom w:val="nil"/>
              <w:right w:val="nil"/>
            </w:tcBorders>
            <w:shd w:val="clear" w:color="auto" w:fill="auto"/>
            <w:noWrap/>
            <w:hideMark/>
          </w:tcPr>
          <w:p w14:paraId="76F4877F"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8.5</w:t>
            </w:r>
          </w:p>
        </w:tc>
        <w:tc>
          <w:tcPr>
            <w:tcW w:w="813" w:type="dxa"/>
            <w:tcBorders>
              <w:top w:val="nil"/>
              <w:left w:val="nil"/>
              <w:bottom w:val="nil"/>
              <w:right w:val="single" w:sz="4" w:space="0" w:color="auto"/>
            </w:tcBorders>
            <w:shd w:val="clear" w:color="auto" w:fill="auto"/>
            <w:noWrap/>
            <w:hideMark/>
          </w:tcPr>
          <w:p w14:paraId="1DFF0614"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4.7</w:t>
            </w:r>
          </w:p>
        </w:tc>
        <w:tc>
          <w:tcPr>
            <w:tcW w:w="900" w:type="dxa"/>
            <w:tcBorders>
              <w:top w:val="nil"/>
              <w:left w:val="single" w:sz="4" w:space="0" w:color="auto"/>
              <w:bottom w:val="nil"/>
              <w:right w:val="nil"/>
            </w:tcBorders>
            <w:shd w:val="clear" w:color="auto" w:fill="auto"/>
            <w:noWrap/>
            <w:hideMark/>
          </w:tcPr>
          <w:p w14:paraId="5B98F95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11.5</w:t>
            </w:r>
          </w:p>
        </w:tc>
        <w:tc>
          <w:tcPr>
            <w:tcW w:w="983" w:type="dxa"/>
            <w:tcBorders>
              <w:top w:val="nil"/>
              <w:left w:val="nil"/>
              <w:bottom w:val="nil"/>
              <w:right w:val="nil"/>
            </w:tcBorders>
            <w:shd w:val="clear" w:color="auto" w:fill="auto"/>
            <w:noWrap/>
            <w:hideMark/>
          </w:tcPr>
          <w:p w14:paraId="16A1804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1.2</w:t>
            </w:r>
          </w:p>
        </w:tc>
        <w:tc>
          <w:tcPr>
            <w:tcW w:w="731" w:type="dxa"/>
            <w:tcBorders>
              <w:top w:val="nil"/>
              <w:left w:val="nil"/>
              <w:bottom w:val="nil"/>
              <w:right w:val="nil"/>
            </w:tcBorders>
            <w:shd w:val="clear" w:color="auto" w:fill="auto"/>
            <w:noWrap/>
            <w:hideMark/>
          </w:tcPr>
          <w:p w14:paraId="4CC2F43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10.0</w:t>
            </w:r>
          </w:p>
        </w:tc>
        <w:tc>
          <w:tcPr>
            <w:tcW w:w="857" w:type="dxa"/>
            <w:tcBorders>
              <w:top w:val="nil"/>
              <w:left w:val="nil"/>
              <w:bottom w:val="nil"/>
              <w:right w:val="nil"/>
            </w:tcBorders>
            <w:shd w:val="clear" w:color="auto" w:fill="auto"/>
            <w:noWrap/>
            <w:hideMark/>
          </w:tcPr>
          <w:p w14:paraId="6E1ED1D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5.5</w:t>
            </w:r>
          </w:p>
        </w:tc>
      </w:tr>
      <w:tr w:rsidR="00012C63" w:rsidRPr="00A60A8D" w14:paraId="4E307959" w14:textId="77777777" w:rsidTr="00CF2502">
        <w:trPr>
          <w:gridAfter w:val="1"/>
          <w:wAfter w:w="113" w:type="dxa"/>
        </w:trPr>
        <w:tc>
          <w:tcPr>
            <w:tcW w:w="2673" w:type="dxa"/>
            <w:tcBorders>
              <w:top w:val="nil"/>
              <w:left w:val="nil"/>
            </w:tcBorders>
            <w:shd w:val="clear" w:color="auto" w:fill="auto"/>
            <w:hideMark/>
          </w:tcPr>
          <w:p w14:paraId="3119464B"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Trade; Hotels and restaurants</w:t>
            </w:r>
          </w:p>
        </w:tc>
        <w:tc>
          <w:tcPr>
            <w:tcW w:w="855" w:type="dxa"/>
            <w:tcBorders>
              <w:top w:val="nil"/>
              <w:left w:val="nil"/>
              <w:bottom w:val="nil"/>
              <w:right w:val="nil"/>
            </w:tcBorders>
            <w:shd w:val="clear" w:color="auto" w:fill="auto"/>
            <w:noWrap/>
            <w:hideMark/>
          </w:tcPr>
          <w:p w14:paraId="31AA6D56"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56.7</w:t>
            </w:r>
          </w:p>
        </w:tc>
        <w:tc>
          <w:tcPr>
            <w:tcW w:w="1008" w:type="dxa"/>
            <w:tcBorders>
              <w:top w:val="nil"/>
              <w:left w:val="nil"/>
              <w:bottom w:val="nil"/>
              <w:right w:val="nil"/>
            </w:tcBorders>
            <w:shd w:val="clear" w:color="auto" w:fill="auto"/>
            <w:noWrap/>
            <w:hideMark/>
          </w:tcPr>
          <w:p w14:paraId="723137A8"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19.8</w:t>
            </w:r>
          </w:p>
        </w:tc>
        <w:tc>
          <w:tcPr>
            <w:tcW w:w="706" w:type="dxa"/>
            <w:tcBorders>
              <w:top w:val="nil"/>
              <w:left w:val="nil"/>
              <w:bottom w:val="nil"/>
              <w:right w:val="nil"/>
            </w:tcBorders>
            <w:shd w:val="clear" w:color="auto" w:fill="auto"/>
            <w:noWrap/>
            <w:hideMark/>
          </w:tcPr>
          <w:p w14:paraId="653129CE"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14.8</w:t>
            </w:r>
          </w:p>
        </w:tc>
        <w:tc>
          <w:tcPr>
            <w:tcW w:w="813" w:type="dxa"/>
            <w:tcBorders>
              <w:top w:val="nil"/>
              <w:left w:val="nil"/>
              <w:bottom w:val="nil"/>
              <w:right w:val="single" w:sz="4" w:space="0" w:color="auto"/>
            </w:tcBorders>
            <w:shd w:val="clear" w:color="auto" w:fill="auto"/>
            <w:noWrap/>
            <w:hideMark/>
          </w:tcPr>
          <w:p w14:paraId="2A1DB4C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17.3</w:t>
            </w:r>
          </w:p>
        </w:tc>
        <w:tc>
          <w:tcPr>
            <w:tcW w:w="900" w:type="dxa"/>
            <w:tcBorders>
              <w:top w:val="nil"/>
              <w:left w:val="single" w:sz="4" w:space="0" w:color="auto"/>
              <w:bottom w:val="nil"/>
              <w:right w:val="nil"/>
            </w:tcBorders>
            <w:shd w:val="clear" w:color="auto" w:fill="auto"/>
            <w:noWrap/>
            <w:hideMark/>
          </w:tcPr>
          <w:p w14:paraId="50AC1FB0"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56.3</w:t>
            </w:r>
          </w:p>
        </w:tc>
        <w:tc>
          <w:tcPr>
            <w:tcW w:w="983" w:type="dxa"/>
            <w:tcBorders>
              <w:top w:val="nil"/>
              <w:left w:val="nil"/>
              <w:bottom w:val="nil"/>
              <w:right w:val="nil"/>
            </w:tcBorders>
            <w:shd w:val="clear" w:color="auto" w:fill="auto"/>
            <w:noWrap/>
            <w:hideMark/>
          </w:tcPr>
          <w:p w14:paraId="7648790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30.9</w:t>
            </w:r>
          </w:p>
        </w:tc>
        <w:tc>
          <w:tcPr>
            <w:tcW w:w="731" w:type="dxa"/>
            <w:tcBorders>
              <w:top w:val="nil"/>
              <w:left w:val="nil"/>
              <w:bottom w:val="nil"/>
              <w:right w:val="nil"/>
            </w:tcBorders>
            <w:shd w:val="clear" w:color="auto" w:fill="auto"/>
            <w:noWrap/>
            <w:hideMark/>
          </w:tcPr>
          <w:p w14:paraId="5557F66E"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25.0</w:t>
            </w:r>
          </w:p>
        </w:tc>
        <w:tc>
          <w:tcPr>
            <w:tcW w:w="857" w:type="dxa"/>
            <w:tcBorders>
              <w:top w:val="nil"/>
              <w:left w:val="nil"/>
              <w:bottom w:val="nil"/>
              <w:right w:val="nil"/>
            </w:tcBorders>
            <w:shd w:val="clear" w:color="auto" w:fill="auto"/>
            <w:noWrap/>
            <w:hideMark/>
          </w:tcPr>
          <w:p w14:paraId="2A95C19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28.0</w:t>
            </w:r>
          </w:p>
        </w:tc>
      </w:tr>
      <w:tr w:rsidR="00012C63" w:rsidRPr="00A60A8D" w14:paraId="6AD02F2B" w14:textId="77777777" w:rsidTr="00CF2502">
        <w:trPr>
          <w:gridAfter w:val="1"/>
          <w:wAfter w:w="113" w:type="dxa"/>
        </w:trPr>
        <w:tc>
          <w:tcPr>
            <w:tcW w:w="2673" w:type="dxa"/>
            <w:tcBorders>
              <w:top w:val="nil"/>
              <w:left w:val="nil"/>
            </w:tcBorders>
            <w:shd w:val="clear" w:color="auto" w:fill="auto"/>
            <w:hideMark/>
          </w:tcPr>
          <w:p w14:paraId="34AC2DB7"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Transportation, Communications</w:t>
            </w:r>
          </w:p>
        </w:tc>
        <w:tc>
          <w:tcPr>
            <w:tcW w:w="855" w:type="dxa"/>
            <w:tcBorders>
              <w:top w:val="nil"/>
              <w:left w:val="nil"/>
              <w:bottom w:val="nil"/>
              <w:right w:val="nil"/>
            </w:tcBorders>
            <w:shd w:val="clear" w:color="auto" w:fill="auto"/>
            <w:noWrap/>
            <w:hideMark/>
          </w:tcPr>
          <w:p w14:paraId="4C628BEA"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28.8</w:t>
            </w:r>
          </w:p>
        </w:tc>
        <w:tc>
          <w:tcPr>
            <w:tcW w:w="1008" w:type="dxa"/>
            <w:tcBorders>
              <w:top w:val="nil"/>
              <w:left w:val="nil"/>
              <w:bottom w:val="nil"/>
              <w:right w:val="nil"/>
            </w:tcBorders>
            <w:shd w:val="clear" w:color="auto" w:fill="auto"/>
            <w:noWrap/>
            <w:hideMark/>
          </w:tcPr>
          <w:p w14:paraId="7B9E5FF4"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3.5</w:t>
            </w:r>
          </w:p>
        </w:tc>
        <w:tc>
          <w:tcPr>
            <w:tcW w:w="706" w:type="dxa"/>
            <w:tcBorders>
              <w:top w:val="nil"/>
              <w:left w:val="nil"/>
              <w:bottom w:val="nil"/>
              <w:right w:val="nil"/>
            </w:tcBorders>
            <w:shd w:val="clear" w:color="auto" w:fill="auto"/>
            <w:noWrap/>
            <w:hideMark/>
          </w:tcPr>
          <w:p w14:paraId="05D40C94"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8.5</w:t>
            </w:r>
          </w:p>
        </w:tc>
        <w:tc>
          <w:tcPr>
            <w:tcW w:w="813" w:type="dxa"/>
            <w:tcBorders>
              <w:top w:val="nil"/>
              <w:left w:val="nil"/>
              <w:bottom w:val="nil"/>
              <w:right w:val="single" w:sz="4" w:space="0" w:color="auto"/>
            </w:tcBorders>
            <w:shd w:val="clear" w:color="auto" w:fill="auto"/>
            <w:noWrap/>
            <w:hideMark/>
          </w:tcPr>
          <w:p w14:paraId="32F343D6"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6.0</w:t>
            </w:r>
          </w:p>
        </w:tc>
        <w:tc>
          <w:tcPr>
            <w:tcW w:w="900" w:type="dxa"/>
            <w:tcBorders>
              <w:top w:val="nil"/>
              <w:left w:val="single" w:sz="4" w:space="0" w:color="auto"/>
              <w:bottom w:val="nil"/>
              <w:right w:val="nil"/>
            </w:tcBorders>
            <w:shd w:val="clear" w:color="auto" w:fill="auto"/>
            <w:noWrap/>
            <w:hideMark/>
          </w:tcPr>
          <w:p w14:paraId="397E39D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29.8</w:t>
            </w:r>
          </w:p>
        </w:tc>
        <w:tc>
          <w:tcPr>
            <w:tcW w:w="983" w:type="dxa"/>
            <w:tcBorders>
              <w:top w:val="nil"/>
              <w:left w:val="nil"/>
              <w:bottom w:val="nil"/>
              <w:right w:val="nil"/>
            </w:tcBorders>
            <w:shd w:val="clear" w:color="auto" w:fill="auto"/>
            <w:noWrap/>
            <w:hideMark/>
          </w:tcPr>
          <w:p w14:paraId="3A7CCEEF"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5.9</w:t>
            </w:r>
          </w:p>
        </w:tc>
        <w:tc>
          <w:tcPr>
            <w:tcW w:w="731" w:type="dxa"/>
            <w:tcBorders>
              <w:top w:val="nil"/>
              <w:left w:val="nil"/>
              <w:bottom w:val="nil"/>
              <w:right w:val="nil"/>
            </w:tcBorders>
            <w:shd w:val="clear" w:color="auto" w:fill="auto"/>
            <w:noWrap/>
            <w:hideMark/>
          </w:tcPr>
          <w:p w14:paraId="611B6FA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14.4</w:t>
            </w:r>
          </w:p>
        </w:tc>
        <w:tc>
          <w:tcPr>
            <w:tcW w:w="857" w:type="dxa"/>
            <w:tcBorders>
              <w:top w:val="nil"/>
              <w:left w:val="nil"/>
              <w:bottom w:val="nil"/>
              <w:right w:val="nil"/>
            </w:tcBorders>
            <w:shd w:val="clear" w:color="auto" w:fill="auto"/>
            <w:noWrap/>
            <w:hideMark/>
          </w:tcPr>
          <w:p w14:paraId="749748C9"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10.1</w:t>
            </w:r>
          </w:p>
        </w:tc>
      </w:tr>
      <w:tr w:rsidR="00012C63" w:rsidRPr="00A60A8D" w14:paraId="175F004E" w14:textId="77777777" w:rsidTr="00CF2502">
        <w:trPr>
          <w:gridAfter w:val="1"/>
          <w:wAfter w:w="113" w:type="dxa"/>
        </w:trPr>
        <w:tc>
          <w:tcPr>
            <w:tcW w:w="2673" w:type="dxa"/>
            <w:tcBorders>
              <w:top w:val="nil"/>
              <w:left w:val="nil"/>
            </w:tcBorders>
            <w:shd w:val="clear" w:color="auto" w:fill="auto"/>
            <w:hideMark/>
          </w:tcPr>
          <w:p w14:paraId="4FAE710B"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Public administration; Education; Health and social work</w:t>
            </w:r>
          </w:p>
        </w:tc>
        <w:tc>
          <w:tcPr>
            <w:tcW w:w="855" w:type="dxa"/>
            <w:tcBorders>
              <w:top w:val="nil"/>
              <w:left w:val="nil"/>
              <w:bottom w:val="nil"/>
              <w:right w:val="nil"/>
            </w:tcBorders>
            <w:shd w:val="clear" w:color="auto" w:fill="auto"/>
            <w:noWrap/>
            <w:hideMark/>
          </w:tcPr>
          <w:p w14:paraId="7233868A"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70.9</w:t>
            </w:r>
          </w:p>
        </w:tc>
        <w:tc>
          <w:tcPr>
            <w:tcW w:w="1008" w:type="dxa"/>
            <w:tcBorders>
              <w:top w:val="nil"/>
              <w:left w:val="nil"/>
              <w:bottom w:val="nil"/>
              <w:right w:val="nil"/>
            </w:tcBorders>
            <w:shd w:val="clear" w:color="auto" w:fill="auto"/>
            <w:noWrap/>
            <w:hideMark/>
          </w:tcPr>
          <w:p w14:paraId="3DBD4A47"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27.7</w:t>
            </w:r>
          </w:p>
        </w:tc>
        <w:tc>
          <w:tcPr>
            <w:tcW w:w="706" w:type="dxa"/>
            <w:tcBorders>
              <w:top w:val="nil"/>
              <w:left w:val="nil"/>
              <w:bottom w:val="nil"/>
              <w:right w:val="nil"/>
            </w:tcBorders>
            <w:shd w:val="clear" w:color="auto" w:fill="auto"/>
            <w:noWrap/>
            <w:hideMark/>
          </w:tcPr>
          <w:p w14:paraId="21D7603C"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11.2</w:t>
            </w:r>
          </w:p>
        </w:tc>
        <w:tc>
          <w:tcPr>
            <w:tcW w:w="813" w:type="dxa"/>
            <w:tcBorders>
              <w:top w:val="nil"/>
              <w:left w:val="nil"/>
              <w:bottom w:val="nil"/>
              <w:right w:val="single" w:sz="4" w:space="0" w:color="auto"/>
            </w:tcBorders>
            <w:shd w:val="clear" w:color="auto" w:fill="auto"/>
            <w:noWrap/>
            <w:hideMark/>
          </w:tcPr>
          <w:p w14:paraId="5E939A7D"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19.4</w:t>
            </w:r>
          </w:p>
        </w:tc>
        <w:tc>
          <w:tcPr>
            <w:tcW w:w="900" w:type="dxa"/>
            <w:tcBorders>
              <w:top w:val="nil"/>
              <w:left w:val="single" w:sz="4" w:space="0" w:color="auto"/>
              <w:bottom w:val="nil"/>
              <w:right w:val="nil"/>
            </w:tcBorders>
            <w:shd w:val="clear" w:color="auto" w:fill="auto"/>
            <w:noWrap/>
            <w:hideMark/>
          </w:tcPr>
          <w:p w14:paraId="5F9A8C3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70.6</w:t>
            </w:r>
          </w:p>
        </w:tc>
        <w:tc>
          <w:tcPr>
            <w:tcW w:w="983" w:type="dxa"/>
            <w:tcBorders>
              <w:top w:val="nil"/>
              <w:left w:val="nil"/>
              <w:bottom w:val="nil"/>
              <w:right w:val="nil"/>
            </w:tcBorders>
            <w:shd w:val="clear" w:color="auto" w:fill="auto"/>
            <w:noWrap/>
            <w:hideMark/>
          </w:tcPr>
          <w:p w14:paraId="47012B63"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30.1</w:t>
            </w:r>
          </w:p>
        </w:tc>
        <w:tc>
          <w:tcPr>
            <w:tcW w:w="731" w:type="dxa"/>
            <w:tcBorders>
              <w:top w:val="nil"/>
              <w:left w:val="nil"/>
              <w:bottom w:val="nil"/>
              <w:right w:val="nil"/>
            </w:tcBorders>
            <w:shd w:val="clear" w:color="auto" w:fill="auto"/>
            <w:noWrap/>
            <w:hideMark/>
          </w:tcPr>
          <w:p w14:paraId="12EA4AE9"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13.1</w:t>
            </w:r>
          </w:p>
        </w:tc>
        <w:tc>
          <w:tcPr>
            <w:tcW w:w="857" w:type="dxa"/>
            <w:tcBorders>
              <w:top w:val="nil"/>
              <w:left w:val="nil"/>
              <w:bottom w:val="nil"/>
              <w:right w:val="nil"/>
            </w:tcBorders>
            <w:shd w:val="clear" w:color="auto" w:fill="auto"/>
            <w:noWrap/>
            <w:hideMark/>
          </w:tcPr>
          <w:p w14:paraId="41488D3C"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21.7</w:t>
            </w:r>
          </w:p>
        </w:tc>
      </w:tr>
      <w:tr w:rsidR="00012C63" w:rsidRPr="00A60A8D" w14:paraId="337A0B5B" w14:textId="77777777" w:rsidTr="00CF2502">
        <w:trPr>
          <w:gridAfter w:val="1"/>
          <w:wAfter w:w="113" w:type="dxa"/>
        </w:trPr>
        <w:tc>
          <w:tcPr>
            <w:tcW w:w="2673" w:type="dxa"/>
            <w:tcBorders>
              <w:top w:val="nil"/>
              <w:left w:val="nil"/>
            </w:tcBorders>
            <w:shd w:val="clear" w:color="auto" w:fill="auto"/>
            <w:hideMark/>
          </w:tcPr>
          <w:p w14:paraId="329B6B15" w14:textId="77777777" w:rsidR="00012C63" w:rsidRPr="00A60A8D" w:rsidRDefault="00012C63" w:rsidP="00CF2502">
            <w:pPr>
              <w:spacing w:before="0"/>
              <w:rPr>
                <w:rFonts w:eastAsia="Times New Roman" w:cstheme="minorHAnsi"/>
                <w:color w:val="000000"/>
                <w:sz w:val="20"/>
                <w:szCs w:val="20"/>
                <w:lang w:val="en-US"/>
              </w:rPr>
            </w:pPr>
            <w:r w:rsidRPr="00A60A8D">
              <w:rPr>
                <w:rFonts w:eastAsia="Times New Roman" w:cstheme="minorHAnsi"/>
                <w:color w:val="000000"/>
                <w:sz w:val="20"/>
                <w:szCs w:val="20"/>
                <w:lang w:val="en-US"/>
              </w:rPr>
              <w:t>Other</w:t>
            </w:r>
          </w:p>
        </w:tc>
        <w:tc>
          <w:tcPr>
            <w:tcW w:w="855" w:type="dxa"/>
            <w:tcBorders>
              <w:top w:val="nil"/>
              <w:left w:val="nil"/>
              <w:right w:val="nil"/>
            </w:tcBorders>
            <w:shd w:val="clear" w:color="auto" w:fill="auto"/>
            <w:noWrap/>
            <w:hideMark/>
          </w:tcPr>
          <w:p w14:paraId="0F67C7B1"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50.6</w:t>
            </w:r>
          </w:p>
        </w:tc>
        <w:tc>
          <w:tcPr>
            <w:tcW w:w="1008" w:type="dxa"/>
            <w:tcBorders>
              <w:top w:val="nil"/>
              <w:left w:val="nil"/>
              <w:right w:val="nil"/>
            </w:tcBorders>
            <w:shd w:val="clear" w:color="auto" w:fill="auto"/>
            <w:noWrap/>
            <w:hideMark/>
          </w:tcPr>
          <w:p w14:paraId="1B649A95"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8.5</w:t>
            </w:r>
          </w:p>
        </w:tc>
        <w:tc>
          <w:tcPr>
            <w:tcW w:w="706" w:type="dxa"/>
            <w:tcBorders>
              <w:top w:val="nil"/>
              <w:left w:val="nil"/>
              <w:right w:val="nil"/>
            </w:tcBorders>
            <w:shd w:val="clear" w:color="auto" w:fill="auto"/>
            <w:noWrap/>
            <w:hideMark/>
          </w:tcPr>
          <w:p w14:paraId="7D8B1254"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8.1</w:t>
            </w:r>
          </w:p>
        </w:tc>
        <w:tc>
          <w:tcPr>
            <w:tcW w:w="813" w:type="dxa"/>
            <w:tcBorders>
              <w:top w:val="nil"/>
              <w:left w:val="nil"/>
              <w:right w:val="single" w:sz="4" w:space="0" w:color="auto"/>
            </w:tcBorders>
            <w:shd w:val="clear" w:color="auto" w:fill="auto"/>
            <w:noWrap/>
            <w:hideMark/>
          </w:tcPr>
          <w:p w14:paraId="5B4B164D"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8.3</w:t>
            </w:r>
          </w:p>
        </w:tc>
        <w:tc>
          <w:tcPr>
            <w:tcW w:w="900" w:type="dxa"/>
            <w:tcBorders>
              <w:top w:val="nil"/>
              <w:left w:val="single" w:sz="4" w:space="0" w:color="auto"/>
              <w:right w:val="nil"/>
            </w:tcBorders>
            <w:shd w:val="clear" w:color="auto" w:fill="auto"/>
            <w:noWrap/>
            <w:hideMark/>
          </w:tcPr>
          <w:p w14:paraId="6AA3767D"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49.7</w:t>
            </w:r>
          </w:p>
        </w:tc>
        <w:tc>
          <w:tcPr>
            <w:tcW w:w="983" w:type="dxa"/>
            <w:tcBorders>
              <w:top w:val="nil"/>
              <w:left w:val="nil"/>
              <w:right w:val="nil"/>
            </w:tcBorders>
            <w:shd w:val="clear" w:color="auto" w:fill="auto"/>
            <w:noWrap/>
            <w:hideMark/>
          </w:tcPr>
          <w:p w14:paraId="1C05968B"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13.4</w:t>
            </w:r>
          </w:p>
        </w:tc>
        <w:tc>
          <w:tcPr>
            <w:tcW w:w="731" w:type="dxa"/>
            <w:tcBorders>
              <w:top w:val="nil"/>
              <w:left w:val="nil"/>
              <w:right w:val="nil"/>
            </w:tcBorders>
            <w:shd w:val="clear" w:color="auto" w:fill="auto"/>
            <w:noWrap/>
            <w:hideMark/>
          </w:tcPr>
          <w:p w14:paraId="1D6D1303"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14.1</w:t>
            </w:r>
          </w:p>
        </w:tc>
        <w:tc>
          <w:tcPr>
            <w:tcW w:w="857" w:type="dxa"/>
            <w:tcBorders>
              <w:top w:val="nil"/>
              <w:left w:val="nil"/>
              <w:right w:val="nil"/>
            </w:tcBorders>
            <w:shd w:val="clear" w:color="auto" w:fill="auto"/>
            <w:noWrap/>
            <w:hideMark/>
          </w:tcPr>
          <w:p w14:paraId="7C7F1C9F" w14:textId="77777777" w:rsidR="00012C63" w:rsidRPr="00A60A8D" w:rsidRDefault="00012C63" w:rsidP="00CF2502">
            <w:pPr>
              <w:spacing w:before="0"/>
              <w:jc w:val="center"/>
              <w:rPr>
                <w:rFonts w:eastAsia="Times New Roman" w:cstheme="minorHAnsi"/>
                <w:color w:val="000000"/>
                <w:sz w:val="20"/>
                <w:szCs w:val="20"/>
                <w:lang w:val="en-US"/>
              </w:rPr>
            </w:pPr>
            <w:r w:rsidRPr="00A60A8D">
              <w:rPr>
                <w:rFonts w:eastAsia="Times New Roman" w:cstheme="minorHAnsi"/>
                <w:color w:val="000000"/>
                <w:sz w:val="20"/>
                <w:szCs w:val="20"/>
                <w:lang w:val="en-US"/>
              </w:rPr>
              <w:t>13.8</w:t>
            </w:r>
          </w:p>
        </w:tc>
      </w:tr>
      <w:tr w:rsidR="00012C63" w:rsidRPr="00A60A8D" w14:paraId="53C4BB79" w14:textId="77777777" w:rsidTr="00CF2502">
        <w:trPr>
          <w:gridAfter w:val="1"/>
          <w:wAfter w:w="113" w:type="dxa"/>
        </w:trPr>
        <w:tc>
          <w:tcPr>
            <w:tcW w:w="2673" w:type="dxa"/>
            <w:tcBorders>
              <w:top w:val="nil"/>
              <w:left w:val="nil"/>
              <w:bottom w:val="single" w:sz="4" w:space="0" w:color="auto"/>
            </w:tcBorders>
            <w:shd w:val="clear" w:color="auto" w:fill="auto"/>
            <w:hideMark/>
          </w:tcPr>
          <w:p w14:paraId="6C1264D1" w14:textId="77777777" w:rsidR="00012C63" w:rsidRPr="00A60A8D" w:rsidRDefault="00012C63" w:rsidP="00CF2502">
            <w:pPr>
              <w:spacing w:before="0"/>
              <w:rPr>
                <w:rFonts w:eastAsia="Times New Roman" w:cstheme="minorHAnsi"/>
                <w:b/>
                <w:color w:val="000000"/>
                <w:sz w:val="20"/>
                <w:szCs w:val="20"/>
                <w:lang w:val="en-US"/>
              </w:rPr>
            </w:pPr>
            <w:r w:rsidRPr="00A60A8D">
              <w:rPr>
                <w:rFonts w:eastAsia="Times New Roman" w:cstheme="minorHAnsi"/>
                <w:b/>
                <w:color w:val="000000"/>
                <w:sz w:val="20"/>
                <w:szCs w:val="20"/>
                <w:lang w:val="en-US"/>
              </w:rPr>
              <w:t>Total</w:t>
            </w:r>
          </w:p>
        </w:tc>
        <w:tc>
          <w:tcPr>
            <w:tcW w:w="855" w:type="dxa"/>
            <w:tcBorders>
              <w:top w:val="nil"/>
              <w:left w:val="nil"/>
              <w:bottom w:val="single" w:sz="4" w:space="0" w:color="auto"/>
              <w:right w:val="nil"/>
            </w:tcBorders>
            <w:shd w:val="clear" w:color="auto" w:fill="auto"/>
            <w:noWrap/>
            <w:hideMark/>
          </w:tcPr>
          <w:p w14:paraId="18B2A010"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49.5</w:t>
            </w:r>
          </w:p>
        </w:tc>
        <w:tc>
          <w:tcPr>
            <w:tcW w:w="1008" w:type="dxa"/>
            <w:tcBorders>
              <w:top w:val="nil"/>
              <w:left w:val="nil"/>
              <w:bottom w:val="single" w:sz="4" w:space="0" w:color="auto"/>
              <w:right w:val="nil"/>
            </w:tcBorders>
            <w:shd w:val="clear" w:color="auto" w:fill="auto"/>
            <w:noWrap/>
            <w:hideMark/>
          </w:tcPr>
          <w:p w14:paraId="17B33C4A"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100.0</w:t>
            </w:r>
          </w:p>
        </w:tc>
        <w:tc>
          <w:tcPr>
            <w:tcW w:w="706" w:type="dxa"/>
            <w:tcBorders>
              <w:top w:val="nil"/>
              <w:left w:val="nil"/>
              <w:bottom w:val="single" w:sz="4" w:space="0" w:color="auto"/>
              <w:right w:val="nil"/>
            </w:tcBorders>
            <w:shd w:val="clear" w:color="auto" w:fill="auto"/>
            <w:noWrap/>
            <w:hideMark/>
          </w:tcPr>
          <w:p w14:paraId="521C9861"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100.0</w:t>
            </w:r>
          </w:p>
        </w:tc>
        <w:tc>
          <w:tcPr>
            <w:tcW w:w="813" w:type="dxa"/>
            <w:tcBorders>
              <w:top w:val="nil"/>
              <w:left w:val="nil"/>
              <w:bottom w:val="single" w:sz="4" w:space="0" w:color="auto"/>
              <w:right w:val="single" w:sz="4" w:space="0" w:color="auto"/>
            </w:tcBorders>
            <w:shd w:val="clear" w:color="auto" w:fill="auto"/>
            <w:noWrap/>
            <w:hideMark/>
          </w:tcPr>
          <w:p w14:paraId="2E0EB59A"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100.0</w:t>
            </w:r>
          </w:p>
        </w:tc>
        <w:tc>
          <w:tcPr>
            <w:tcW w:w="900" w:type="dxa"/>
            <w:tcBorders>
              <w:top w:val="nil"/>
              <w:left w:val="single" w:sz="4" w:space="0" w:color="auto"/>
              <w:bottom w:val="single" w:sz="4" w:space="0" w:color="auto"/>
              <w:right w:val="nil"/>
            </w:tcBorders>
            <w:shd w:val="clear" w:color="auto" w:fill="auto"/>
            <w:noWrap/>
            <w:hideMark/>
          </w:tcPr>
          <w:p w14:paraId="0559B229"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51.0</w:t>
            </w:r>
          </w:p>
        </w:tc>
        <w:tc>
          <w:tcPr>
            <w:tcW w:w="983" w:type="dxa"/>
            <w:tcBorders>
              <w:top w:val="nil"/>
              <w:left w:val="nil"/>
              <w:bottom w:val="single" w:sz="4" w:space="0" w:color="auto"/>
              <w:right w:val="nil"/>
            </w:tcBorders>
            <w:shd w:val="clear" w:color="auto" w:fill="auto"/>
            <w:noWrap/>
            <w:hideMark/>
          </w:tcPr>
          <w:p w14:paraId="5D1480DF"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100.0</w:t>
            </w:r>
          </w:p>
        </w:tc>
        <w:tc>
          <w:tcPr>
            <w:tcW w:w="731" w:type="dxa"/>
            <w:tcBorders>
              <w:top w:val="nil"/>
              <w:left w:val="nil"/>
              <w:bottom w:val="single" w:sz="4" w:space="0" w:color="auto"/>
              <w:right w:val="nil"/>
            </w:tcBorders>
            <w:shd w:val="clear" w:color="auto" w:fill="auto"/>
            <w:noWrap/>
            <w:hideMark/>
          </w:tcPr>
          <w:p w14:paraId="76A0CAC4"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100.0</w:t>
            </w:r>
          </w:p>
        </w:tc>
        <w:tc>
          <w:tcPr>
            <w:tcW w:w="857" w:type="dxa"/>
            <w:tcBorders>
              <w:top w:val="nil"/>
              <w:left w:val="nil"/>
              <w:bottom w:val="single" w:sz="4" w:space="0" w:color="auto"/>
              <w:right w:val="nil"/>
            </w:tcBorders>
            <w:shd w:val="clear" w:color="auto" w:fill="auto"/>
            <w:noWrap/>
            <w:hideMark/>
          </w:tcPr>
          <w:p w14:paraId="118FC6A7" w14:textId="77777777" w:rsidR="00012C63" w:rsidRPr="00A60A8D" w:rsidRDefault="00012C63" w:rsidP="00CF2502">
            <w:pPr>
              <w:spacing w:before="0"/>
              <w:jc w:val="center"/>
              <w:rPr>
                <w:rFonts w:eastAsia="Times New Roman" w:cstheme="minorHAnsi"/>
                <w:b/>
                <w:color w:val="000000"/>
                <w:sz w:val="20"/>
                <w:szCs w:val="20"/>
                <w:lang w:val="en-US"/>
              </w:rPr>
            </w:pPr>
            <w:r w:rsidRPr="00A60A8D">
              <w:rPr>
                <w:rFonts w:eastAsia="Times New Roman" w:cstheme="minorHAnsi"/>
                <w:b/>
                <w:color w:val="000000"/>
                <w:sz w:val="20"/>
                <w:szCs w:val="20"/>
                <w:lang w:val="en-US"/>
              </w:rPr>
              <w:t>100.0</w:t>
            </w:r>
          </w:p>
        </w:tc>
      </w:tr>
    </w:tbl>
    <w:p w14:paraId="3D5903BF" w14:textId="77777777" w:rsidR="00012C63" w:rsidRDefault="00012C63" w:rsidP="00012C63">
      <w:pPr>
        <w:rPr>
          <w:rFonts w:cstheme="minorHAnsi"/>
          <w:bCs/>
          <w:i/>
          <w:color w:val="222222"/>
          <w:sz w:val="20"/>
          <w:szCs w:val="20"/>
          <w:shd w:val="clear" w:color="auto" w:fill="FFFFFF"/>
        </w:rPr>
      </w:pPr>
      <w:r w:rsidRPr="00873888">
        <w:rPr>
          <w:rFonts w:cstheme="minorHAnsi"/>
          <w:i/>
          <w:sz w:val="20"/>
          <w:szCs w:val="20"/>
        </w:rPr>
        <w:t xml:space="preserve">Source: Author’s calculations based on </w:t>
      </w:r>
      <w:r>
        <w:rPr>
          <w:rFonts w:cstheme="minorHAnsi"/>
          <w:i/>
          <w:sz w:val="20"/>
          <w:szCs w:val="20"/>
        </w:rPr>
        <w:t xml:space="preserve">the </w:t>
      </w:r>
      <w:r w:rsidRPr="00873888">
        <w:rPr>
          <w:rFonts w:cstheme="minorHAnsi"/>
          <w:i/>
          <w:sz w:val="20"/>
          <w:szCs w:val="20"/>
        </w:rPr>
        <w:t xml:space="preserve">NBS online databank, Series: </w:t>
      </w:r>
      <w:r>
        <w:rPr>
          <w:rFonts w:cstheme="minorHAnsi"/>
          <w:bCs/>
          <w:i/>
          <w:color w:val="222222"/>
          <w:sz w:val="20"/>
          <w:szCs w:val="20"/>
          <w:shd w:val="clear" w:color="auto" w:fill="FFFFFF"/>
        </w:rPr>
        <w:t>Employed population by e</w:t>
      </w:r>
      <w:r w:rsidRPr="00873888">
        <w:rPr>
          <w:rFonts w:cstheme="minorHAnsi"/>
          <w:bCs/>
          <w:i/>
          <w:color w:val="222222"/>
          <w:sz w:val="20"/>
          <w:szCs w:val="20"/>
          <w:shd w:val="clear" w:color="auto" w:fill="FFFFFF"/>
        </w:rPr>
        <w:t xml:space="preserve">conomic </w:t>
      </w:r>
      <w:r>
        <w:rPr>
          <w:rFonts w:cstheme="minorHAnsi"/>
          <w:bCs/>
          <w:i/>
          <w:color w:val="222222"/>
          <w:sz w:val="20"/>
          <w:szCs w:val="20"/>
          <w:shd w:val="clear" w:color="auto" w:fill="FFFFFF"/>
        </w:rPr>
        <w:t>a</w:t>
      </w:r>
      <w:r w:rsidRPr="00873888">
        <w:rPr>
          <w:rFonts w:cstheme="minorHAnsi"/>
          <w:bCs/>
          <w:i/>
          <w:color w:val="222222"/>
          <w:sz w:val="20"/>
          <w:szCs w:val="20"/>
          <w:shd w:val="clear" w:color="auto" w:fill="FFFFFF"/>
        </w:rPr>
        <w:t xml:space="preserve">ctivities, </w:t>
      </w:r>
      <w:r>
        <w:rPr>
          <w:rFonts w:cstheme="minorHAnsi"/>
          <w:bCs/>
          <w:i/>
          <w:color w:val="222222"/>
          <w:sz w:val="20"/>
          <w:szCs w:val="20"/>
          <w:shd w:val="clear" w:color="auto" w:fill="FFFFFF"/>
        </w:rPr>
        <w:t>y</w:t>
      </w:r>
      <w:r w:rsidRPr="00873888">
        <w:rPr>
          <w:rFonts w:cstheme="minorHAnsi"/>
          <w:bCs/>
          <w:i/>
          <w:color w:val="222222"/>
          <w:sz w:val="20"/>
          <w:szCs w:val="20"/>
          <w:shd w:val="clear" w:color="auto" w:fill="FFFFFF"/>
        </w:rPr>
        <w:t xml:space="preserve">ears, </w:t>
      </w:r>
      <w:r>
        <w:rPr>
          <w:rFonts w:cstheme="minorHAnsi"/>
          <w:bCs/>
          <w:i/>
          <w:color w:val="222222"/>
          <w:sz w:val="20"/>
          <w:szCs w:val="20"/>
          <w:shd w:val="clear" w:color="auto" w:fill="FFFFFF"/>
        </w:rPr>
        <w:t>s</w:t>
      </w:r>
      <w:r w:rsidRPr="00873888">
        <w:rPr>
          <w:rFonts w:cstheme="minorHAnsi"/>
          <w:bCs/>
          <w:i/>
          <w:color w:val="222222"/>
          <w:sz w:val="20"/>
          <w:szCs w:val="20"/>
          <w:shd w:val="clear" w:color="auto" w:fill="FFFFFF"/>
        </w:rPr>
        <w:t xml:space="preserve">ex, </w:t>
      </w:r>
      <w:r>
        <w:rPr>
          <w:rFonts w:cstheme="minorHAnsi"/>
          <w:bCs/>
          <w:i/>
          <w:color w:val="222222"/>
          <w:sz w:val="20"/>
          <w:szCs w:val="20"/>
          <w:shd w:val="clear" w:color="auto" w:fill="FFFFFF"/>
        </w:rPr>
        <w:t>a</w:t>
      </w:r>
      <w:r w:rsidRPr="00873888">
        <w:rPr>
          <w:rFonts w:cstheme="minorHAnsi"/>
          <w:bCs/>
          <w:i/>
          <w:color w:val="222222"/>
          <w:sz w:val="20"/>
          <w:szCs w:val="20"/>
          <w:shd w:val="clear" w:color="auto" w:fill="FFFFFF"/>
        </w:rPr>
        <w:t xml:space="preserve">rea, </w:t>
      </w:r>
      <w:r>
        <w:rPr>
          <w:rFonts w:cstheme="minorHAnsi"/>
          <w:bCs/>
          <w:i/>
          <w:color w:val="222222"/>
          <w:sz w:val="20"/>
          <w:szCs w:val="20"/>
          <w:shd w:val="clear" w:color="auto" w:fill="FFFFFF"/>
        </w:rPr>
        <w:t>level of educations and a</w:t>
      </w:r>
      <w:r w:rsidRPr="00873888">
        <w:rPr>
          <w:rFonts w:cstheme="minorHAnsi"/>
          <w:bCs/>
          <w:i/>
          <w:color w:val="222222"/>
          <w:sz w:val="20"/>
          <w:szCs w:val="20"/>
          <w:shd w:val="clear" w:color="auto" w:fill="FFFFFF"/>
        </w:rPr>
        <w:t>ge groups</w:t>
      </w:r>
    </w:p>
    <w:p w14:paraId="1AF19AB8" w14:textId="6B954799" w:rsidR="00012C63" w:rsidRDefault="00C44A65" w:rsidP="00012C63">
      <w:pPr>
        <w:pStyle w:val="ad"/>
        <w:jc w:val="left"/>
      </w:pPr>
      <w:bookmarkStart w:id="149" w:name="_Ref521404429"/>
      <w:bookmarkStart w:id="150" w:name="_Toc533185134"/>
      <w:r>
        <w:t>Table A-</w:t>
      </w:r>
      <w:r>
        <w:fldChar w:fldCharType="begin"/>
      </w:r>
      <w:r>
        <w:instrText xml:space="preserve"> SEQ Table_A- \* ARABIC </w:instrText>
      </w:r>
      <w:r>
        <w:fldChar w:fldCharType="separate"/>
      </w:r>
      <w:r>
        <w:rPr>
          <w:noProof/>
        </w:rPr>
        <w:t>5</w:t>
      </w:r>
      <w:r>
        <w:fldChar w:fldCharType="end"/>
      </w:r>
      <w:r w:rsidRPr="004E1089">
        <w:t xml:space="preserve">: </w:t>
      </w:r>
      <w:bookmarkEnd w:id="149"/>
      <w:r w:rsidR="00012C63">
        <w:t>Employment by occupation and by gender (%), 2017</w:t>
      </w:r>
      <w:bookmarkEnd w:id="150"/>
    </w:p>
    <w:tbl>
      <w:tblPr>
        <w:tblW w:w="9639" w:type="dxa"/>
        <w:tblLayout w:type="fixed"/>
        <w:tblLook w:val="04A0" w:firstRow="1" w:lastRow="0" w:firstColumn="1" w:lastColumn="0" w:noHBand="0" w:noVBand="1"/>
      </w:tblPr>
      <w:tblGrid>
        <w:gridCol w:w="2673"/>
        <w:gridCol w:w="855"/>
        <w:gridCol w:w="1008"/>
        <w:gridCol w:w="706"/>
        <w:gridCol w:w="813"/>
        <w:gridCol w:w="900"/>
        <w:gridCol w:w="983"/>
        <w:gridCol w:w="731"/>
        <w:gridCol w:w="857"/>
        <w:gridCol w:w="113"/>
      </w:tblGrid>
      <w:tr w:rsidR="00012C63" w:rsidRPr="00873888" w14:paraId="04C82BB6" w14:textId="77777777" w:rsidTr="00CF2502">
        <w:tc>
          <w:tcPr>
            <w:tcW w:w="2673" w:type="dxa"/>
            <w:tcBorders>
              <w:top w:val="single" w:sz="4" w:space="0" w:color="auto"/>
              <w:left w:val="nil"/>
              <w:bottom w:val="nil"/>
              <w:right w:val="nil"/>
            </w:tcBorders>
            <w:shd w:val="clear" w:color="auto" w:fill="auto"/>
            <w:noWrap/>
            <w:vAlign w:val="bottom"/>
            <w:hideMark/>
          </w:tcPr>
          <w:p w14:paraId="41C940A3" w14:textId="77777777" w:rsidR="00012C63" w:rsidRPr="00873888" w:rsidRDefault="00012C63" w:rsidP="00CF2502">
            <w:pPr>
              <w:spacing w:before="0"/>
              <w:rPr>
                <w:rFonts w:ascii="Times New Roman" w:eastAsia="Times New Roman" w:hAnsi="Times New Roman" w:cs="Times New Roman"/>
                <w:sz w:val="24"/>
                <w:szCs w:val="24"/>
                <w:lang w:val="en-US"/>
              </w:rPr>
            </w:pPr>
          </w:p>
        </w:tc>
        <w:tc>
          <w:tcPr>
            <w:tcW w:w="3382" w:type="dxa"/>
            <w:gridSpan w:val="4"/>
            <w:tcBorders>
              <w:top w:val="single" w:sz="4" w:space="0" w:color="auto"/>
              <w:left w:val="nil"/>
              <w:bottom w:val="nil"/>
              <w:right w:val="single" w:sz="4" w:space="0" w:color="auto"/>
            </w:tcBorders>
            <w:shd w:val="clear" w:color="auto" w:fill="auto"/>
            <w:noWrap/>
            <w:vAlign w:val="bottom"/>
            <w:hideMark/>
          </w:tcPr>
          <w:p w14:paraId="60C1851B" w14:textId="77777777" w:rsidR="00012C63" w:rsidRPr="00873888" w:rsidRDefault="00012C63" w:rsidP="00CF2502">
            <w:pPr>
              <w:spacing w:before="0"/>
              <w:jc w:val="center"/>
              <w:rPr>
                <w:rFonts w:ascii="Times New Roman" w:eastAsia="Times New Roman" w:hAnsi="Times New Roman" w:cs="Times New Roman"/>
                <w:b/>
                <w:sz w:val="20"/>
                <w:szCs w:val="20"/>
                <w:lang w:val="en-US"/>
              </w:rPr>
            </w:pPr>
            <w:r w:rsidRPr="00943B6E">
              <w:rPr>
                <w:rFonts w:eastAsia="Times New Roman" w:cstheme="minorHAnsi"/>
                <w:b/>
                <w:sz w:val="20"/>
                <w:szCs w:val="20"/>
                <w:lang w:val="en-US"/>
              </w:rPr>
              <w:t>Urban and rural</w:t>
            </w:r>
          </w:p>
        </w:tc>
        <w:tc>
          <w:tcPr>
            <w:tcW w:w="3584" w:type="dxa"/>
            <w:gridSpan w:val="5"/>
            <w:tcBorders>
              <w:top w:val="single" w:sz="4" w:space="0" w:color="auto"/>
              <w:left w:val="single" w:sz="4" w:space="0" w:color="auto"/>
              <w:bottom w:val="nil"/>
              <w:right w:val="nil"/>
            </w:tcBorders>
            <w:shd w:val="clear" w:color="auto" w:fill="auto"/>
            <w:noWrap/>
            <w:vAlign w:val="bottom"/>
            <w:hideMark/>
          </w:tcPr>
          <w:p w14:paraId="7B1C391E" w14:textId="77777777" w:rsidR="00012C63" w:rsidRPr="00873888" w:rsidRDefault="00012C63" w:rsidP="00CF2502">
            <w:pPr>
              <w:spacing w:before="0"/>
              <w:jc w:val="center"/>
              <w:rPr>
                <w:rFonts w:ascii="Times New Roman" w:eastAsia="Times New Roman" w:hAnsi="Times New Roman" w:cs="Times New Roman"/>
                <w:b/>
                <w:sz w:val="20"/>
                <w:szCs w:val="20"/>
                <w:lang w:val="en-US"/>
              </w:rPr>
            </w:pPr>
            <w:r w:rsidRPr="00943B6E">
              <w:rPr>
                <w:rFonts w:eastAsia="Times New Roman" w:cstheme="minorHAnsi"/>
                <w:b/>
                <w:sz w:val="20"/>
                <w:szCs w:val="20"/>
                <w:lang w:val="en-US"/>
              </w:rPr>
              <w:t>Urban</w:t>
            </w:r>
          </w:p>
        </w:tc>
      </w:tr>
      <w:tr w:rsidR="00012C63" w:rsidRPr="00873888" w14:paraId="5F0A3349" w14:textId="77777777" w:rsidTr="00CF2502">
        <w:trPr>
          <w:gridAfter w:val="1"/>
          <w:wAfter w:w="113" w:type="dxa"/>
        </w:trPr>
        <w:tc>
          <w:tcPr>
            <w:tcW w:w="2673" w:type="dxa"/>
            <w:tcBorders>
              <w:top w:val="nil"/>
              <w:left w:val="nil"/>
              <w:bottom w:val="single" w:sz="4" w:space="0" w:color="auto"/>
              <w:right w:val="nil"/>
            </w:tcBorders>
            <w:shd w:val="clear" w:color="auto" w:fill="auto"/>
            <w:noWrap/>
            <w:vAlign w:val="bottom"/>
            <w:hideMark/>
          </w:tcPr>
          <w:p w14:paraId="0E41A9AE" w14:textId="77777777" w:rsidR="00012C63" w:rsidRPr="00873888" w:rsidRDefault="00012C63" w:rsidP="00CF2502">
            <w:pPr>
              <w:spacing w:before="0"/>
              <w:rPr>
                <w:rFonts w:ascii="Times New Roman" w:eastAsia="Times New Roman" w:hAnsi="Times New Roman" w:cs="Times New Roman"/>
                <w:sz w:val="20"/>
                <w:szCs w:val="20"/>
                <w:lang w:val="en-US"/>
              </w:rPr>
            </w:pPr>
          </w:p>
        </w:tc>
        <w:tc>
          <w:tcPr>
            <w:tcW w:w="855" w:type="dxa"/>
            <w:tcBorders>
              <w:top w:val="nil"/>
              <w:left w:val="nil"/>
              <w:bottom w:val="single" w:sz="4" w:space="0" w:color="auto"/>
              <w:right w:val="nil"/>
            </w:tcBorders>
            <w:shd w:val="clear" w:color="auto" w:fill="auto"/>
            <w:noWrap/>
            <w:hideMark/>
          </w:tcPr>
          <w:p w14:paraId="08173368"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Female share</w:t>
            </w:r>
          </w:p>
        </w:tc>
        <w:tc>
          <w:tcPr>
            <w:tcW w:w="1008" w:type="dxa"/>
            <w:tcBorders>
              <w:top w:val="nil"/>
              <w:left w:val="nil"/>
              <w:bottom w:val="single" w:sz="4" w:space="0" w:color="auto"/>
              <w:right w:val="nil"/>
            </w:tcBorders>
            <w:shd w:val="clear" w:color="auto" w:fill="auto"/>
            <w:noWrap/>
            <w:hideMark/>
          </w:tcPr>
          <w:p w14:paraId="7D1BE349"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Women</w:t>
            </w:r>
          </w:p>
        </w:tc>
        <w:tc>
          <w:tcPr>
            <w:tcW w:w="706" w:type="dxa"/>
            <w:tcBorders>
              <w:top w:val="nil"/>
              <w:left w:val="nil"/>
              <w:bottom w:val="single" w:sz="4" w:space="0" w:color="auto"/>
              <w:right w:val="nil"/>
            </w:tcBorders>
            <w:shd w:val="clear" w:color="auto" w:fill="auto"/>
            <w:noWrap/>
            <w:hideMark/>
          </w:tcPr>
          <w:p w14:paraId="31EB64CD"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Men</w:t>
            </w:r>
          </w:p>
        </w:tc>
        <w:tc>
          <w:tcPr>
            <w:tcW w:w="813" w:type="dxa"/>
            <w:tcBorders>
              <w:top w:val="nil"/>
              <w:left w:val="nil"/>
              <w:bottom w:val="single" w:sz="4" w:space="0" w:color="auto"/>
              <w:right w:val="single" w:sz="4" w:space="0" w:color="auto"/>
            </w:tcBorders>
            <w:shd w:val="clear" w:color="auto" w:fill="auto"/>
            <w:noWrap/>
            <w:hideMark/>
          </w:tcPr>
          <w:p w14:paraId="2E86DAED"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Total</w:t>
            </w:r>
          </w:p>
        </w:tc>
        <w:tc>
          <w:tcPr>
            <w:tcW w:w="900" w:type="dxa"/>
            <w:tcBorders>
              <w:top w:val="nil"/>
              <w:left w:val="single" w:sz="4" w:space="0" w:color="auto"/>
              <w:bottom w:val="single" w:sz="4" w:space="0" w:color="auto"/>
              <w:right w:val="nil"/>
            </w:tcBorders>
            <w:shd w:val="clear" w:color="auto" w:fill="auto"/>
            <w:noWrap/>
            <w:hideMark/>
          </w:tcPr>
          <w:p w14:paraId="06897065"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Female share</w:t>
            </w:r>
          </w:p>
        </w:tc>
        <w:tc>
          <w:tcPr>
            <w:tcW w:w="983" w:type="dxa"/>
            <w:tcBorders>
              <w:top w:val="nil"/>
              <w:left w:val="nil"/>
              <w:bottom w:val="single" w:sz="4" w:space="0" w:color="auto"/>
              <w:right w:val="nil"/>
            </w:tcBorders>
            <w:shd w:val="clear" w:color="auto" w:fill="auto"/>
            <w:noWrap/>
            <w:hideMark/>
          </w:tcPr>
          <w:p w14:paraId="61A9924E"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Women</w:t>
            </w:r>
          </w:p>
        </w:tc>
        <w:tc>
          <w:tcPr>
            <w:tcW w:w="731" w:type="dxa"/>
            <w:tcBorders>
              <w:top w:val="nil"/>
              <w:left w:val="nil"/>
              <w:bottom w:val="single" w:sz="4" w:space="0" w:color="auto"/>
              <w:right w:val="nil"/>
            </w:tcBorders>
            <w:shd w:val="clear" w:color="auto" w:fill="auto"/>
            <w:noWrap/>
            <w:hideMark/>
          </w:tcPr>
          <w:p w14:paraId="415E9C58"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Men</w:t>
            </w:r>
          </w:p>
        </w:tc>
        <w:tc>
          <w:tcPr>
            <w:tcW w:w="857" w:type="dxa"/>
            <w:tcBorders>
              <w:top w:val="nil"/>
              <w:left w:val="nil"/>
              <w:bottom w:val="single" w:sz="4" w:space="0" w:color="auto"/>
              <w:right w:val="nil"/>
            </w:tcBorders>
            <w:shd w:val="clear" w:color="auto" w:fill="auto"/>
            <w:noWrap/>
            <w:hideMark/>
          </w:tcPr>
          <w:p w14:paraId="65A0A5EC" w14:textId="77777777" w:rsidR="00012C63" w:rsidRPr="00873888" w:rsidRDefault="00012C63" w:rsidP="00CF2502">
            <w:pPr>
              <w:spacing w:before="0"/>
              <w:jc w:val="center"/>
              <w:rPr>
                <w:rFonts w:ascii="Calibri" w:eastAsia="Times New Roman" w:hAnsi="Calibri" w:cs="Calibri"/>
                <w:color w:val="000000"/>
                <w:sz w:val="20"/>
                <w:szCs w:val="20"/>
                <w:lang w:val="en-US"/>
              </w:rPr>
            </w:pPr>
            <w:r w:rsidRPr="00873888">
              <w:rPr>
                <w:rFonts w:ascii="Calibri" w:eastAsia="Times New Roman" w:hAnsi="Calibri" w:cs="Calibri"/>
                <w:color w:val="000000"/>
                <w:sz w:val="20"/>
                <w:szCs w:val="20"/>
                <w:lang w:val="en-US"/>
              </w:rPr>
              <w:t>Total</w:t>
            </w:r>
          </w:p>
        </w:tc>
      </w:tr>
      <w:tr w:rsidR="00012C63" w:rsidRPr="00873888" w14:paraId="0E483003" w14:textId="77777777" w:rsidTr="00CF2502">
        <w:trPr>
          <w:gridAfter w:val="1"/>
          <w:wAfter w:w="113" w:type="dxa"/>
        </w:trPr>
        <w:tc>
          <w:tcPr>
            <w:tcW w:w="2673" w:type="dxa"/>
            <w:tcBorders>
              <w:top w:val="single" w:sz="4" w:space="0" w:color="auto"/>
              <w:left w:val="nil"/>
            </w:tcBorders>
            <w:shd w:val="clear" w:color="auto" w:fill="auto"/>
            <w:vAlign w:val="center"/>
          </w:tcPr>
          <w:p w14:paraId="255E6E95"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Legislators, senior officials and managers</w:t>
            </w:r>
          </w:p>
        </w:tc>
        <w:tc>
          <w:tcPr>
            <w:tcW w:w="855" w:type="dxa"/>
            <w:tcBorders>
              <w:top w:val="single" w:sz="4" w:space="0" w:color="auto"/>
              <w:left w:val="nil"/>
              <w:bottom w:val="nil"/>
              <w:right w:val="nil"/>
            </w:tcBorders>
            <w:shd w:val="clear" w:color="auto" w:fill="auto"/>
            <w:noWrap/>
            <w:vAlign w:val="center"/>
          </w:tcPr>
          <w:p w14:paraId="32C515A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42.0</w:t>
            </w:r>
          </w:p>
        </w:tc>
        <w:tc>
          <w:tcPr>
            <w:tcW w:w="1008" w:type="dxa"/>
            <w:tcBorders>
              <w:top w:val="single" w:sz="4" w:space="0" w:color="auto"/>
              <w:left w:val="nil"/>
              <w:bottom w:val="nil"/>
              <w:right w:val="nil"/>
            </w:tcBorders>
            <w:shd w:val="clear" w:color="auto" w:fill="auto"/>
            <w:noWrap/>
            <w:vAlign w:val="center"/>
          </w:tcPr>
          <w:p w14:paraId="4DDCAB77"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5.5</w:t>
            </w:r>
          </w:p>
        </w:tc>
        <w:tc>
          <w:tcPr>
            <w:tcW w:w="706" w:type="dxa"/>
            <w:tcBorders>
              <w:top w:val="single" w:sz="4" w:space="0" w:color="auto"/>
              <w:left w:val="nil"/>
              <w:bottom w:val="nil"/>
              <w:right w:val="nil"/>
            </w:tcBorders>
            <w:shd w:val="clear" w:color="auto" w:fill="auto"/>
            <w:noWrap/>
            <w:vAlign w:val="center"/>
          </w:tcPr>
          <w:p w14:paraId="25AAE17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7.5</w:t>
            </w:r>
          </w:p>
        </w:tc>
        <w:tc>
          <w:tcPr>
            <w:tcW w:w="813" w:type="dxa"/>
            <w:tcBorders>
              <w:top w:val="single" w:sz="4" w:space="0" w:color="auto"/>
              <w:left w:val="nil"/>
              <w:bottom w:val="nil"/>
              <w:right w:val="single" w:sz="4" w:space="0" w:color="auto"/>
            </w:tcBorders>
            <w:shd w:val="clear" w:color="auto" w:fill="auto"/>
            <w:noWrap/>
            <w:vAlign w:val="center"/>
          </w:tcPr>
          <w:p w14:paraId="2798D8B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6.6</w:t>
            </w:r>
          </w:p>
        </w:tc>
        <w:tc>
          <w:tcPr>
            <w:tcW w:w="900" w:type="dxa"/>
            <w:tcBorders>
              <w:top w:val="single" w:sz="4" w:space="0" w:color="auto"/>
              <w:left w:val="single" w:sz="4" w:space="0" w:color="auto"/>
              <w:bottom w:val="nil"/>
              <w:right w:val="nil"/>
            </w:tcBorders>
            <w:shd w:val="clear" w:color="auto" w:fill="auto"/>
            <w:noWrap/>
            <w:vAlign w:val="center"/>
          </w:tcPr>
          <w:p w14:paraId="2DBEC4B1"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39.8</w:t>
            </w:r>
          </w:p>
        </w:tc>
        <w:tc>
          <w:tcPr>
            <w:tcW w:w="983" w:type="dxa"/>
            <w:tcBorders>
              <w:top w:val="single" w:sz="4" w:space="0" w:color="auto"/>
              <w:left w:val="nil"/>
              <w:bottom w:val="nil"/>
              <w:right w:val="nil"/>
            </w:tcBorders>
            <w:shd w:val="clear" w:color="auto" w:fill="auto"/>
            <w:noWrap/>
            <w:vAlign w:val="center"/>
          </w:tcPr>
          <w:p w14:paraId="0A8C7679"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8.6</w:t>
            </w:r>
          </w:p>
        </w:tc>
        <w:tc>
          <w:tcPr>
            <w:tcW w:w="731" w:type="dxa"/>
            <w:tcBorders>
              <w:top w:val="single" w:sz="4" w:space="0" w:color="auto"/>
              <w:left w:val="nil"/>
              <w:bottom w:val="nil"/>
              <w:right w:val="nil"/>
            </w:tcBorders>
            <w:shd w:val="clear" w:color="auto" w:fill="auto"/>
            <w:noWrap/>
            <w:vAlign w:val="center"/>
          </w:tcPr>
          <w:p w14:paraId="49A9ADF6"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13.5</w:t>
            </w:r>
          </w:p>
        </w:tc>
        <w:tc>
          <w:tcPr>
            <w:tcW w:w="857" w:type="dxa"/>
            <w:tcBorders>
              <w:top w:val="single" w:sz="4" w:space="0" w:color="auto"/>
              <w:left w:val="nil"/>
              <w:bottom w:val="nil"/>
              <w:right w:val="nil"/>
            </w:tcBorders>
            <w:shd w:val="clear" w:color="auto" w:fill="auto"/>
            <w:noWrap/>
            <w:vAlign w:val="center"/>
          </w:tcPr>
          <w:p w14:paraId="0D83A471"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11.0</w:t>
            </w:r>
          </w:p>
        </w:tc>
      </w:tr>
      <w:tr w:rsidR="00012C63" w:rsidRPr="00337615" w14:paraId="6C9AFD17" w14:textId="77777777" w:rsidTr="00CF2502">
        <w:trPr>
          <w:gridAfter w:val="1"/>
          <w:wAfter w:w="113" w:type="dxa"/>
        </w:trPr>
        <w:tc>
          <w:tcPr>
            <w:tcW w:w="2673" w:type="dxa"/>
            <w:tcBorders>
              <w:top w:val="nil"/>
              <w:left w:val="nil"/>
            </w:tcBorders>
            <w:shd w:val="clear" w:color="auto" w:fill="auto"/>
            <w:vAlign w:val="center"/>
          </w:tcPr>
          <w:p w14:paraId="026695F8"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Professionals</w:t>
            </w:r>
          </w:p>
        </w:tc>
        <w:tc>
          <w:tcPr>
            <w:tcW w:w="855" w:type="dxa"/>
            <w:tcBorders>
              <w:top w:val="nil"/>
              <w:left w:val="nil"/>
              <w:bottom w:val="nil"/>
              <w:right w:val="nil"/>
            </w:tcBorders>
            <w:shd w:val="clear" w:color="auto" w:fill="auto"/>
            <w:noWrap/>
            <w:vAlign w:val="center"/>
          </w:tcPr>
          <w:p w14:paraId="34940B62"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67.5</w:t>
            </w:r>
          </w:p>
        </w:tc>
        <w:tc>
          <w:tcPr>
            <w:tcW w:w="1008" w:type="dxa"/>
            <w:tcBorders>
              <w:top w:val="nil"/>
              <w:left w:val="nil"/>
              <w:bottom w:val="nil"/>
              <w:right w:val="nil"/>
            </w:tcBorders>
            <w:shd w:val="clear" w:color="auto" w:fill="auto"/>
            <w:noWrap/>
            <w:vAlign w:val="center"/>
          </w:tcPr>
          <w:p w14:paraId="2E85829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18.9</w:t>
            </w:r>
          </w:p>
        </w:tc>
        <w:tc>
          <w:tcPr>
            <w:tcW w:w="706" w:type="dxa"/>
            <w:tcBorders>
              <w:top w:val="nil"/>
              <w:left w:val="nil"/>
              <w:bottom w:val="nil"/>
              <w:right w:val="nil"/>
            </w:tcBorders>
            <w:shd w:val="clear" w:color="auto" w:fill="auto"/>
            <w:noWrap/>
            <w:vAlign w:val="center"/>
          </w:tcPr>
          <w:p w14:paraId="52F009D0"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8.9</w:t>
            </w:r>
          </w:p>
        </w:tc>
        <w:tc>
          <w:tcPr>
            <w:tcW w:w="813" w:type="dxa"/>
            <w:tcBorders>
              <w:top w:val="nil"/>
              <w:left w:val="nil"/>
              <w:bottom w:val="nil"/>
              <w:right w:val="single" w:sz="4" w:space="0" w:color="auto"/>
            </w:tcBorders>
            <w:shd w:val="clear" w:color="auto" w:fill="auto"/>
            <w:noWrap/>
            <w:vAlign w:val="center"/>
          </w:tcPr>
          <w:p w14:paraId="5DB54F6C"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13.9</w:t>
            </w:r>
          </w:p>
        </w:tc>
        <w:tc>
          <w:tcPr>
            <w:tcW w:w="900" w:type="dxa"/>
            <w:tcBorders>
              <w:top w:val="nil"/>
              <w:left w:val="single" w:sz="4" w:space="0" w:color="auto"/>
              <w:bottom w:val="nil"/>
              <w:right w:val="nil"/>
            </w:tcBorders>
            <w:shd w:val="clear" w:color="auto" w:fill="auto"/>
            <w:noWrap/>
            <w:vAlign w:val="center"/>
          </w:tcPr>
          <w:p w14:paraId="0FB4BA6E"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65.1</w:t>
            </w:r>
          </w:p>
        </w:tc>
        <w:tc>
          <w:tcPr>
            <w:tcW w:w="983" w:type="dxa"/>
            <w:tcBorders>
              <w:top w:val="nil"/>
              <w:left w:val="nil"/>
              <w:bottom w:val="nil"/>
              <w:right w:val="nil"/>
            </w:tcBorders>
            <w:shd w:val="clear" w:color="auto" w:fill="auto"/>
            <w:noWrap/>
            <w:vAlign w:val="center"/>
          </w:tcPr>
          <w:p w14:paraId="2360B96C"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28.4</w:t>
            </w:r>
          </w:p>
        </w:tc>
        <w:tc>
          <w:tcPr>
            <w:tcW w:w="731" w:type="dxa"/>
            <w:tcBorders>
              <w:top w:val="nil"/>
              <w:left w:val="nil"/>
              <w:bottom w:val="nil"/>
              <w:right w:val="nil"/>
            </w:tcBorders>
            <w:shd w:val="clear" w:color="auto" w:fill="auto"/>
            <w:noWrap/>
            <w:vAlign w:val="center"/>
          </w:tcPr>
          <w:p w14:paraId="50B62532"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15.8</w:t>
            </w:r>
          </w:p>
        </w:tc>
        <w:tc>
          <w:tcPr>
            <w:tcW w:w="857" w:type="dxa"/>
            <w:tcBorders>
              <w:top w:val="nil"/>
              <w:left w:val="nil"/>
              <w:bottom w:val="nil"/>
              <w:right w:val="nil"/>
            </w:tcBorders>
            <w:shd w:val="clear" w:color="auto" w:fill="auto"/>
            <w:noWrap/>
            <w:vAlign w:val="center"/>
          </w:tcPr>
          <w:p w14:paraId="76BDDB82"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22.3</w:t>
            </w:r>
          </w:p>
        </w:tc>
      </w:tr>
      <w:tr w:rsidR="00012C63" w:rsidRPr="00873888" w14:paraId="2FFA6E30" w14:textId="77777777" w:rsidTr="00CF2502">
        <w:trPr>
          <w:gridAfter w:val="1"/>
          <w:wAfter w:w="113" w:type="dxa"/>
        </w:trPr>
        <w:tc>
          <w:tcPr>
            <w:tcW w:w="2673" w:type="dxa"/>
            <w:tcBorders>
              <w:top w:val="nil"/>
              <w:left w:val="nil"/>
            </w:tcBorders>
            <w:shd w:val="clear" w:color="auto" w:fill="auto"/>
            <w:vAlign w:val="center"/>
          </w:tcPr>
          <w:p w14:paraId="10EC46BB"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Technicians and associate professionals</w:t>
            </w:r>
          </w:p>
        </w:tc>
        <w:tc>
          <w:tcPr>
            <w:tcW w:w="855" w:type="dxa"/>
            <w:tcBorders>
              <w:top w:val="nil"/>
              <w:left w:val="nil"/>
              <w:bottom w:val="nil"/>
              <w:right w:val="nil"/>
            </w:tcBorders>
            <w:shd w:val="clear" w:color="auto" w:fill="auto"/>
            <w:noWrap/>
            <w:vAlign w:val="center"/>
          </w:tcPr>
          <w:p w14:paraId="536232A6"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63.9</w:t>
            </w:r>
          </w:p>
        </w:tc>
        <w:tc>
          <w:tcPr>
            <w:tcW w:w="1008" w:type="dxa"/>
            <w:tcBorders>
              <w:top w:val="nil"/>
              <w:left w:val="nil"/>
              <w:bottom w:val="nil"/>
              <w:right w:val="nil"/>
            </w:tcBorders>
            <w:shd w:val="clear" w:color="auto" w:fill="auto"/>
            <w:noWrap/>
            <w:vAlign w:val="center"/>
          </w:tcPr>
          <w:p w14:paraId="793DE56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8.6</w:t>
            </w:r>
          </w:p>
        </w:tc>
        <w:tc>
          <w:tcPr>
            <w:tcW w:w="706" w:type="dxa"/>
            <w:tcBorders>
              <w:top w:val="nil"/>
              <w:left w:val="nil"/>
              <w:bottom w:val="nil"/>
              <w:right w:val="nil"/>
            </w:tcBorders>
            <w:shd w:val="clear" w:color="auto" w:fill="auto"/>
            <w:noWrap/>
            <w:vAlign w:val="center"/>
          </w:tcPr>
          <w:p w14:paraId="56970EE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4.8</w:t>
            </w:r>
          </w:p>
        </w:tc>
        <w:tc>
          <w:tcPr>
            <w:tcW w:w="813" w:type="dxa"/>
            <w:tcBorders>
              <w:top w:val="nil"/>
              <w:left w:val="nil"/>
              <w:bottom w:val="nil"/>
              <w:right w:val="single" w:sz="4" w:space="0" w:color="auto"/>
            </w:tcBorders>
            <w:shd w:val="clear" w:color="auto" w:fill="auto"/>
            <w:noWrap/>
            <w:vAlign w:val="center"/>
          </w:tcPr>
          <w:p w14:paraId="7C240723"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6.7</w:t>
            </w:r>
          </w:p>
        </w:tc>
        <w:tc>
          <w:tcPr>
            <w:tcW w:w="900" w:type="dxa"/>
            <w:tcBorders>
              <w:top w:val="nil"/>
              <w:left w:val="single" w:sz="4" w:space="0" w:color="auto"/>
              <w:bottom w:val="nil"/>
              <w:right w:val="nil"/>
            </w:tcBorders>
            <w:shd w:val="clear" w:color="auto" w:fill="auto"/>
            <w:noWrap/>
            <w:vAlign w:val="center"/>
          </w:tcPr>
          <w:p w14:paraId="0D32CBA5"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60.1</w:t>
            </w:r>
          </w:p>
        </w:tc>
        <w:tc>
          <w:tcPr>
            <w:tcW w:w="983" w:type="dxa"/>
            <w:tcBorders>
              <w:top w:val="nil"/>
              <w:left w:val="nil"/>
              <w:bottom w:val="nil"/>
              <w:right w:val="nil"/>
            </w:tcBorders>
            <w:shd w:val="clear" w:color="auto" w:fill="auto"/>
            <w:noWrap/>
            <w:vAlign w:val="center"/>
          </w:tcPr>
          <w:p w14:paraId="70BB2B37"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11.3</w:t>
            </w:r>
          </w:p>
        </w:tc>
        <w:tc>
          <w:tcPr>
            <w:tcW w:w="731" w:type="dxa"/>
            <w:tcBorders>
              <w:top w:val="nil"/>
              <w:left w:val="nil"/>
              <w:bottom w:val="nil"/>
              <w:right w:val="nil"/>
            </w:tcBorders>
            <w:shd w:val="clear" w:color="auto" w:fill="auto"/>
            <w:noWrap/>
            <w:vAlign w:val="center"/>
          </w:tcPr>
          <w:p w14:paraId="5775D89C"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7.8</w:t>
            </w:r>
          </w:p>
        </w:tc>
        <w:tc>
          <w:tcPr>
            <w:tcW w:w="857" w:type="dxa"/>
            <w:tcBorders>
              <w:top w:val="nil"/>
              <w:left w:val="nil"/>
              <w:bottom w:val="nil"/>
              <w:right w:val="nil"/>
            </w:tcBorders>
            <w:shd w:val="clear" w:color="auto" w:fill="auto"/>
            <w:noWrap/>
            <w:vAlign w:val="center"/>
          </w:tcPr>
          <w:p w14:paraId="5F03CDC9"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9.6</w:t>
            </w:r>
          </w:p>
        </w:tc>
      </w:tr>
      <w:tr w:rsidR="00012C63" w:rsidRPr="00873888" w14:paraId="33084E96" w14:textId="77777777" w:rsidTr="00CF2502">
        <w:trPr>
          <w:gridAfter w:val="1"/>
          <w:wAfter w:w="113" w:type="dxa"/>
        </w:trPr>
        <w:tc>
          <w:tcPr>
            <w:tcW w:w="2673" w:type="dxa"/>
            <w:tcBorders>
              <w:top w:val="nil"/>
              <w:left w:val="nil"/>
            </w:tcBorders>
            <w:shd w:val="clear" w:color="auto" w:fill="auto"/>
            <w:vAlign w:val="center"/>
          </w:tcPr>
          <w:p w14:paraId="3561FCEF"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Clerks</w:t>
            </w:r>
          </w:p>
        </w:tc>
        <w:tc>
          <w:tcPr>
            <w:tcW w:w="855" w:type="dxa"/>
            <w:tcBorders>
              <w:top w:val="nil"/>
              <w:left w:val="nil"/>
              <w:bottom w:val="nil"/>
              <w:right w:val="nil"/>
            </w:tcBorders>
            <w:shd w:val="clear" w:color="auto" w:fill="auto"/>
            <w:noWrap/>
            <w:vAlign w:val="center"/>
          </w:tcPr>
          <w:p w14:paraId="0B3119F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72.3</w:t>
            </w:r>
          </w:p>
        </w:tc>
        <w:tc>
          <w:tcPr>
            <w:tcW w:w="1008" w:type="dxa"/>
            <w:tcBorders>
              <w:top w:val="nil"/>
              <w:left w:val="nil"/>
              <w:bottom w:val="nil"/>
              <w:right w:val="nil"/>
            </w:tcBorders>
            <w:shd w:val="clear" w:color="auto" w:fill="auto"/>
            <w:noWrap/>
            <w:vAlign w:val="center"/>
          </w:tcPr>
          <w:p w14:paraId="75BDFAF5"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3.6</w:t>
            </w:r>
          </w:p>
        </w:tc>
        <w:tc>
          <w:tcPr>
            <w:tcW w:w="706" w:type="dxa"/>
            <w:tcBorders>
              <w:top w:val="nil"/>
              <w:left w:val="nil"/>
              <w:bottom w:val="nil"/>
              <w:right w:val="nil"/>
            </w:tcBorders>
            <w:shd w:val="clear" w:color="auto" w:fill="auto"/>
            <w:noWrap/>
            <w:vAlign w:val="center"/>
          </w:tcPr>
          <w:p w14:paraId="14518E3B"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1.4</w:t>
            </w:r>
          </w:p>
        </w:tc>
        <w:tc>
          <w:tcPr>
            <w:tcW w:w="813" w:type="dxa"/>
            <w:tcBorders>
              <w:top w:val="nil"/>
              <w:left w:val="nil"/>
              <w:bottom w:val="nil"/>
              <w:right w:val="single" w:sz="4" w:space="0" w:color="auto"/>
            </w:tcBorders>
            <w:shd w:val="clear" w:color="auto" w:fill="auto"/>
            <w:noWrap/>
            <w:vAlign w:val="center"/>
          </w:tcPr>
          <w:p w14:paraId="17CA1F6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2.5</w:t>
            </w:r>
          </w:p>
        </w:tc>
        <w:tc>
          <w:tcPr>
            <w:tcW w:w="900" w:type="dxa"/>
            <w:tcBorders>
              <w:top w:val="nil"/>
              <w:left w:val="single" w:sz="4" w:space="0" w:color="auto"/>
              <w:bottom w:val="nil"/>
              <w:right w:val="nil"/>
            </w:tcBorders>
            <w:shd w:val="clear" w:color="auto" w:fill="auto"/>
            <w:noWrap/>
            <w:vAlign w:val="center"/>
          </w:tcPr>
          <w:p w14:paraId="4023DEE7"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68.2</w:t>
            </w:r>
          </w:p>
        </w:tc>
        <w:tc>
          <w:tcPr>
            <w:tcW w:w="983" w:type="dxa"/>
            <w:tcBorders>
              <w:top w:val="nil"/>
              <w:left w:val="nil"/>
              <w:bottom w:val="nil"/>
              <w:right w:val="nil"/>
            </w:tcBorders>
            <w:shd w:val="clear" w:color="auto" w:fill="auto"/>
            <w:noWrap/>
            <w:vAlign w:val="center"/>
          </w:tcPr>
          <w:p w14:paraId="3B2B2301"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5.3</w:t>
            </w:r>
          </w:p>
        </w:tc>
        <w:tc>
          <w:tcPr>
            <w:tcW w:w="731" w:type="dxa"/>
            <w:tcBorders>
              <w:top w:val="nil"/>
              <w:left w:val="nil"/>
              <w:bottom w:val="nil"/>
              <w:right w:val="nil"/>
            </w:tcBorders>
            <w:shd w:val="clear" w:color="auto" w:fill="auto"/>
            <w:noWrap/>
            <w:vAlign w:val="center"/>
          </w:tcPr>
          <w:p w14:paraId="00EAA41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2.6</w:t>
            </w:r>
          </w:p>
        </w:tc>
        <w:tc>
          <w:tcPr>
            <w:tcW w:w="857" w:type="dxa"/>
            <w:tcBorders>
              <w:top w:val="nil"/>
              <w:left w:val="nil"/>
              <w:bottom w:val="nil"/>
              <w:right w:val="nil"/>
            </w:tcBorders>
            <w:shd w:val="clear" w:color="auto" w:fill="auto"/>
            <w:noWrap/>
            <w:vAlign w:val="center"/>
          </w:tcPr>
          <w:p w14:paraId="44A6188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4.0</w:t>
            </w:r>
          </w:p>
        </w:tc>
      </w:tr>
      <w:tr w:rsidR="00012C63" w:rsidRPr="00873888" w14:paraId="759EE2D7" w14:textId="77777777" w:rsidTr="00CF2502">
        <w:trPr>
          <w:gridAfter w:val="1"/>
          <w:wAfter w:w="113" w:type="dxa"/>
        </w:trPr>
        <w:tc>
          <w:tcPr>
            <w:tcW w:w="2673" w:type="dxa"/>
            <w:tcBorders>
              <w:top w:val="nil"/>
              <w:left w:val="nil"/>
            </w:tcBorders>
            <w:shd w:val="clear" w:color="auto" w:fill="auto"/>
            <w:vAlign w:val="center"/>
          </w:tcPr>
          <w:p w14:paraId="60BB975F"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Service workers and shop and market sales workers</w:t>
            </w:r>
          </w:p>
        </w:tc>
        <w:tc>
          <w:tcPr>
            <w:tcW w:w="855" w:type="dxa"/>
            <w:tcBorders>
              <w:top w:val="nil"/>
              <w:left w:val="nil"/>
              <w:bottom w:val="nil"/>
              <w:right w:val="nil"/>
            </w:tcBorders>
            <w:shd w:val="clear" w:color="auto" w:fill="auto"/>
            <w:noWrap/>
            <w:vAlign w:val="center"/>
          </w:tcPr>
          <w:p w14:paraId="17AB1146"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71.3</w:t>
            </w:r>
          </w:p>
        </w:tc>
        <w:tc>
          <w:tcPr>
            <w:tcW w:w="1008" w:type="dxa"/>
            <w:tcBorders>
              <w:top w:val="nil"/>
              <w:left w:val="nil"/>
              <w:bottom w:val="nil"/>
              <w:right w:val="nil"/>
            </w:tcBorders>
            <w:shd w:val="clear" w:color="auto" w:fill="auto"/>
            <w:noWrap/>
            <w:vAlign w:val="center"/>
          </w:tcPr>
          <w:p w14:paraId="18C26447"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20.7</w:t>
            </w:r>
          </w:p>
        </w:tc>
        <w:tc>
          <w:tcPr>
            <w:tcW w:w="706" w:type="dxa"/>
            <w:tcBorders>
              <w:top w:val="nil"/>
              <w:left w:val="nil"/>
              <w:bottom w:val="nil"/>
              <w:right w:val="nil"/>
            </w:tcBorders>
            <w:shd w:val="clear" w:color="auto" w:fill="auto"/>
            <w:noWrap/>
            <w:vAlign w:val="center"/>
          </w:tcPr>
          <w:p w14:paraId="748DB3F5"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8.2</w:t>
            </w:r>
          </w:p>
        </w:tc>
        <w:tc>
          <w:tcPr>
            <w:tcW w:w="813" w:type="dxa"/>
            <w:tcBorders>
              <w:top w:val="nil"/>
              <w:left w:val="nil"/>
              <w:bottom w:val="nil"/>
              <w:right w:val="single" w:sz="4" w:space="0" w:color="auto"/>
            </w:tcBorders>
            <w:shd w:val="clear" w:color="auto" w:fill="auto"/>
            <w:noWrap/>
            <w:vAlign w:val="center"/>
          </w:tcPr>
          <w:p w14:paraId="7B3DB8BC"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14.4</w:t>
            </w:r>
          </w:p>
        </w:tc>
        <w:tc>
          <w:tcPr>
            <w:tcW w:w="900" w:type="dxa"/>
            <w:tcBorders>
              <w:top w:val="nil"/>
              <w:left w:val="single" w:sz="4" w:space="0" w:color="auto"/>
              <w:bottom w:val="nil"/>
              <w:right w:val="nil"/>
            </w:tcBorders>
            <w:shd w:val="clear" w:color="auto" w:fill="auto"/>
            <w:noWrap/>
            <w:vAlign w:val="center"/>
          </w:tcPr>
          <w:p w14:paraId="09E4F285"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70.7</w:t>
            </w:r>
          </w:p>
        </w:tc>
        <w:tc>
          <w:tcPr>
            <w:tcW w:w="983" w:type="dxa"/>
            <w:tcBorders>
              <w:top w:val="nil"/>
              <w:left w:val="nil"/>
              <w:bottom w:val="nil"/>
              <w:right w:val="nil"/>
            </w:tcBorders>
            <w:shd w:val="clear" w:color="auto" w:fill="auto"/>
            <w:noWrap/>
            <w:vAlign w:val="center"/>
          </w:tcPr>
          <w:p w14:paraId="2F389349"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28.3</w:t>
            </w:r>
          </w:p>
        </w:tc>
        <w:tc>
          <w:tcPr>
            <w:tcW w:w="731" w:type="dxa"/>
            <w:tcBorders>
              <w:top w:val="nil"/>
              <w:left w:val="nil"/>
              <w:bottom w:val="nil"/>
              <w:right w:val="nil"/>
            </w:tcBorders>
            <w:shd w:val="clear" w:color="auto" w:fill="auto"/>
            <w:noWrap/>
            <w:vAlign w:val="center"/>
          </w:tcPr>
          <w:p w14:paraId="28772F7D"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12.2</w:t>
            </w:r>
          </w:p>
        </w:tc>
        <w:tc>
          <w:tcPr>
            <w:tcW w:w="857" w:type="dxa"/>
            <w:tcBorders>
              <w:top w:val="nil"/>
              <w:left w:val="nil"/>
              <w:bottom w:val="nil"/>
              <w:right w:val="nil"/>
            </w:tcBorders>
            <w:shd w:val="clear" w:color="auto" w:fill="auto"/>
            <w:noWrap/>
            <w:vAlign w:val="center"/>
          </w:tcPr>
          <w:p w14:paraId="7F658B53"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20.4</w:t>
            </w:r>
          </w:p>
        </w:tc>
      </w:tr>
      <w:tr w:rsidR="00012C63" w:rsidRPr="00873888" w14:paraId="725D6B36" w14:textId="77777777" w:rsidTr="00CF2502">
        <w:trPr>
          <w:gridAfter w:val="1"/>
          <w:wAfter w:w="113" w:type="dxa"/>
        </w:trPr>
        <w:tc>
          <w:tcPr>
            <w:tcW w:w="2673" w:type="dxa"/>
            <w:tcBorders>
              <w:top w:val="nil"/>
              <w:left w:val="nil"/>
            </w:tcBorders>
            <w:shd w:val="clear" w:color="auto" w:fill="auto"/>
            <w:vAlign w:val="center"/>
          </w:tcPr>
          <w:p w14:paraId="6B713D53"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Skilled agricultural and fishery workers</w:t>
            </w:r>
          </w:p>
        </w:tc>
        <w:tc>
          <w:tcPr>
            <w:tcW w:w="855" w:type="dxa"/>
            <w:tcBorders>
              <w:top w:val="nil"/>
              <w:left w:val="nil"/>
              <w:bottom w:val="nil"/>
              <w:right w:val="nil"/>
            </w:tcBorders>
            <w:shd w:val="clear" w:color="auto" w:fill="auto"/>
            <w:noWrap/>
            <w:vAlign w:val="center"/>
          </w:tcPr>
          <w:p w14:paraId="724A96A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46.8</w:t>
            </w:r>
          </w:p>
        </w:tc>
        <w:tc>
          <w:tcPr>
            <w:tcW w:w="1008" w:type="dxa"/>
            <w:tcBorders>
              <w:top w:val="nil"/>
              <w:left w:val="nil"/>
              <w:bottom w:val="nil"/>
              <w:right w:val="nil"/>
            </w:tcBorders>
            <w:shd w:val="clear" w:color="auto" w:fill="auto"/>
            <w:noWrap/>
            <w:vAlign w:val="center"/>
          </w:tcPr>
          <w:p w14:paraId="32828E76"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23.9</w:t>
            </w:r>
          </w:p>
        </w:tc>
        <w:tc>
          <w:tcPr>
            <w:tcW w:w="706" w:type="dxa"/>
            <w:tcBorders>
              <w:top w:val="nil"/>
              <w:left w:val="nil"/>
              <w:bottom w:val="nil"/>
              <w:right w:val="nil"/>
            </w:tcBorders>
            <w:shd w:val="clear" w:color="auto" w:fill="auto"/>
            <w:noWrap/>
            <w:vAlign w:val="center"/>
          </w:tcPr>
          <w:p w14:paraId="55A02034"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26.7</w:t>
            </w:r>
          </w:p>
        </w:tc>
        <w:tc>
          <w:tcPr>
            <w:tcW w:w="813" w:type="dxa"/>
            <w:tcBorders>
              <w:top w:val="nil"/>
              <w:left w:val="nil"/>
              <w:bottom w:val="nil"/>
              <w:right w:val="single" w:sz="4" w:space="0" w:color="auto"/>
            </w:tcBorders>
            <w:shd w:val="clear" w:color="auto" w:fill="auto"/>
            <w:noWrap/>
            <w:vAlign w:val="center"/>
          </w:tcPr>
          <w:p w14:paraId="7B0054D6"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25.3</w:t>
            </w:r>
          </w:p>
        </w:tc>
        <w:tc>
          <w:tcPr>
            <w:tcW w:w="900" w:type="dxa"/>
            <w:tcBorders>
              <w:top w:val="nil"/>
              <w:left w:val="single" w:sz="4" w:space="0" w:color="auto"/>
              <w:bottom w:val="nil"/>
              <w:right w:val="nil"/>
            </w:tcBorders>
            <w:shd w:val="clear" w:color="auto" w:fill="auto"/>
            <w:noWrap/>
            <w:vAlign w:val="center"/>
          </w:tcPr>
          <w:p w14:paraId="56C38FCD"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47.0</w:t>
            </w:r>
          </w:p>
        </w:tc>
        <w:tc>
          <w:tcPr>
            <w:tcW w:w="983" w:type="dxa"/>
            <w:tcBorders>
              <w:top w:val="nil"/>
              <w:left w:val="nil"/>
              <w:bottom w:val="nil"/>
              <w:right w:val="nil"/>
            </w:tcBorders>
            <w:shd w:val="clear" w:color="auto" w:fill="auto"/>
            <w:noWrap/>
            <w:vAlign w:val="center"/>
          </w:tcPr>
          <w:p w14:paraId="27708144"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2.2</w:t>
            </w:r>
          </w:p>
        </w:tc>
        <w:tc>
          <w:tcPr>
            <w:tcW w:w="731" w:type="dxa"/>
            <w:tcBorders>
              <w:top w:val="nil"/>
              <w:left w:val="nil"/>
              <w:bottom w:val="nil"/>
              <w:right w:val="nil"/>
            </w:tcBorders>
            <w:shd w:val="clear" w:color="auto" w:fill="auto"/>
            <w:noWrap/>
            <w:vAlign w:val="center"/>
          </w:tcPr>
          <w:p w14:paraId="221BE6B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2.6</w:t>
            </w:r>
          </w:p>
        </w:tc>
        <w:tc>
          <w:tcPr>
            <w:tcW w:w="857" w:type="dxa"/>
            <w:tcBorders>
              <w:top w:val="nil"/>
              <w:left w:val="nil"/>
              <w:bottom w:val="nil"/>
              <w:right w:val="nil"/>
            </w:tcBorders>
            <w:shd w:val="clear" w:color="auto" w:fill="auto"/>
            <w:noWrap/>
            <w:vAlign w:val="center"/>
          </w:tcPr>
          <w:p w14:paraId="236EF29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2.4</w:t>
            </w:r>
          </w:p>
        </w:tc>
      </w:tr>
      <w:tr w:rsidR="00012C63" w:rsidRPr="00873888" w14:paraId="266CF629" w14:textId="77777777" w:rsidTr="00CF2502">
        <w:trPr>
          <w:gridAfter w:val="1"/>
          <w:wAfter w:w="113" w:type="dxa"/>
        </w:trPr>
        <w:tc>
          <w:tcPr>
            <w:tcW w:w="2673" w:type="dxa"/>
            <w:tcBorders>
              <w:top w:val="nil"/>
              <w:left w:val="nil"/>
            </w:tcBorders>
            <w:shd w:val="clear" w:color="auto" w:fill="auto"/>
            <w:vAlign w:val="center"/>
          </w:tcPr>
          <w:p w14:paraId="04E6E717"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Craft and related trades workers</w:t>
            </w:r>
          </w:p>
        </w:tc>
        <w:tc>
          <w:tcPr>
            <w:tcW w:w="855" w:type="dxa"/>
            <w:tcBorders>
              <w:top w:val="nil"/>
              <w:left w:val="nil"/>
              <w:bottom w:val="nil"/>
              <w:right w:val="nil"/>
            </w:tcBorders>
            <w:shd w:val="clear" w:color="auto" w:fill="auto"/>
            <w:noWrap/>
            <w:vAlign w:val="center"/>
          </w:tcPr>
          <w:p w14:paraId="293C0332"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30.9</w:t>
            </w:r>
          </w:p>
        </w:tc>
        <w:tc>
          <w:tcPr>
            <w:tcW w:w="1008" w:type="dxa"/>
            <w:tcBorders>
              <w:top w:val="nil"/>
              <w:left w:val="nil"/>
              <w:bottom w:val="nil"/>
              <w:right w:val="nil"/>
            </w:tcBorders>
            <w:shd w:val="clear" w:color="auto" w:fill="auto"/>
            <w:noWrap/>
            <w:vAlign w:val="center"/>
          </w:tcPr>
          <w:p w14:paraId="7E536496"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6.9</w:t>
            </w:r>
          </w:p>
        </w:tc>
        <w:tc>
          <w:tcPr>
            <w:tcW w:w="706" w:type="dxa"/>
            <w:tcBorders>
              <w:top w:val="nil"/>
              <w:left w:val="nil"/>
              <w:bottom w:val="nil"/>
              <w:right w:val="nil"/>
            </w:tcBorders>
            <w:shd w:val="clear" w:color="auto" w:fill="auto"/>
            <w:noWrap/>
            <w:vAlign w:val="center"/>
          </w:tcPr>
          <w:p w14:paraId="6046BD03"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15.2</w:t>
            </w:r>
          </w:p>
        </w:tc>
        <w:tc>
          <w:tcPr>
            <w:tcW w:w="813" w:type="dxa"/>
            <w:tcBorders>
              <w:top w:val="nil"/>
              <w:left w:val="nil"/>
              <w:bottom w:val="nil"/>
              <w:right w:val="single" w:sz="4" w:space="0" w:color="auto"/>
            </w:tcBorders>
            <w:shd w:val="clear" w:color="auto" w:fill="auto"/>
            <w:noWrap/>
            <w:vAlign w:val="center"/>
          </w:tcPr>
          <w:p w14:paraId="14CDF2EF"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11.1</w:t>
            </w:r>
          </w:p>
        </w:tc>
        <w:tc>
          <w:tcPr>
            <w:tcW w:w="900" w:type="dxa"/>
            <w:tcBorders>
              <w:top w:val="nil"/>
              <w:left w:val="single" w:sz="4" w:space="0" w:color="auto"/>
              <w:bottom w:val="nil"/>
              <w:right w:val="nil"/>
            </w:tcBorders>
            <w:shd w:val="clear" w:color="auto" w:fill="auto"/>
            <w:noWrap/>
            <w:vAlign w:val="center"/>
          </w:tcPr>
          <w:p w14:paraId="3BED824E"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27.7</w:t>
            </w:r>
          </w:p>
        </w:tc>
        <w:tc>
          <w:tcPr>
            <w:tcW w:w="983" w:type="dxa"/>
            <w:tcBorders>
              <w:top w:val="nil"/>
              <w:left w:val="nil"/>
              <w:bottom w:val="nil"/>
              <w:right w:val="nil"/>
            </w:tcBorders>
            <w:shd w:val="clear" w:color="auto" w:fill="auto"/>
            <w:noWrap/>
            <w:vAlign w:val="center"/>
          </w:tcPr>
          <w:p w14:paraId="21ACCF1E"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7.6</w:t>
            </w:r>
          </w:p>
        </w:tc>
        <w:tc>
          <w:tcPr>
            <w:tcW w:w="731" w:type="dxa"/>
            <w:tcBorders>
              <w:top w:val="nil"/>
              <w:left w:val="nil"/>
              <w:bottom w:val="nil"/>
              <w:right w:val="nil"/>
            </w:tcBorders>
            <w:shd w:val="clear" w:color="auto" w:fill="auto"/>
            <w:noWrap/>
            <w:vAlign w:val="center"/>
          </w:tcPr>
          <w:p w14:paraId="7D927122"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20.4</w:t>
            </w:r>
          </w:p>
        </w:tc>
        <w:tc>
          <w:tcPr>
            <w:tcW w:w="857" w:type="dxa"/>
            <w:tcBorders>
              <w:top w:val="nil"/>
              <w:left w:val="nil"/>
              <w:bottom w:val="nil"/>
              <w:right w:val="nil"/>
            </w:tcBorders>
            <w:shd w:val="clear" w:color="auto" w:fill="auto"/>
            <w:noWrap/>
            <w:vAlign w:val="center"/>
          </w:tcPr>
          <w:p w14:paraId="760B313D"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13.9</w:t>
            </w:r>
          </w:p>
        </w:tc>
      </w:tr>
      <w:tr w:rsidR="00012C63" w:rsidRPr="00873888" w14:paraId="31A0E79D" w14:textId="77777777" w:rsidTr="00CF2502">
        <w:trPr>
          <w:gridAfter w:val="1"/>
          <w:wAfter w:w="113" w:type="dxa"/>
        </w:trPr>
        <w:tc>
          <w:tcPr>
            <w:tcW w:w="2673" w:type="dxa"/>
            <w:tcBorders>
              <w:top w:val="nil"/>
              <w:left w:val="nil"/>
            </w:tcBorders>
            <w:shd w:val="clear" w:color="auto" w:fill="auto"/>
            <w:vAlign w:val="center"/>
          </w:tcPr>
          <w:p w14:paraId="3D2C4641"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Plant and machine operators, and assemblers</w:t>
            </w:r>
          </w:p>
        </w:tc>
        <w:tc>
          <w:tcPr>
            <w:tcW w:w="855" w:type="dxa"/>
            <w:tcBorders>
              <w:top w:val="nil"/>
              <w:left w:val="nil"/>
              <w:bottom w:val="nil"/>
              <w:right w:val="nil"/>
            </w:tcBorders>
            <w:shd w:val="clear" w:color="auto" w:fill="auto"/>
            <w:noWrap/>
            <w:vAlign w:val="center"/>
          </w:tcPr>
          <w:p w14:paraId="669010C4"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6.5</w:t>
            </w:r>
          </w:p>
        </w:tc>
        <w:tc>
          <w:tcPr>
            <w:tcW w:w="1008" w:type="dxa"/>
            <w:tcBorders>
              <w:top w:val="nil"/>
              <w:left w:val="nil"/>
              <w:bottom w:val="nil"/>
              <w:right w:val="nil"/>
            </w:tcBorders>
            <w:shd w:val="clear" w:color="auto" w:fill="auto"/>
            <w:noWrap/>
            <w:vAlign w:val="center"/>
          </w:tcPr>
          <w:p w14:paraId="3FE01149"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1.0</w:t>
            </w:r>
          </w:p>
        </w:tc>
        <w:tc>
          <w:tcPr>
            <w:tcW w:w="706" w:type="dxa"/>
            <w:tcBorders>
              <w:top w:val="nil"/>
              <w:left w:val="nil"/>
              <w:bottom w:val="nil"/>
              <w:right w:val="nil"/>
            </w:tcBorders>
            <w:shd w:val="clear" w:color="auto" w:fill="auto"/>
            <w:noWrap/>
            <w:vAlign w:val="center"/>
          </w:tcPr>
          <w:p w14:paraId="1203EE72"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13.6</w:t>
            </w:r>
          </w:p>
        </w:tc>
        <w:tc>
          <w:tcPr>
            <w:tcW w:w="813" w:type="dxa"/>
            <w:tcBorders>
              <w:top w:val="nil"/>
              <w:left w:val="nil"/>
              <w:bottom w:val="nil"/>
              <w:right w:val="single" w:sz="4" w:space="0" w:color="auto"/>
            </w:tcBorders>
            <w:shd w:val="clear" w:color="auto" w:fill="auto"/>
            <w:noWrap/>
            <w:vAlign w:val="center"/>
          </w:tcPr>
          <w:p w14:paraId="3BDF457C"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7.3</w:t>
            </w:r>
          </w:p>
        </w:tc>
        <w:tc>
          <w:tcPr>
            <w:tcW w:w="900" w:type="dxa"/>
            <w:tcBorders>
              <w:top w:val="nil"/>
              <w:left w:val="single" w:sz="4" w:space="0" w:color="auto"/>
              <w:bottom w:val="nil"/>
              <w:right w:val="nil"/>
            </w:tcBorders>
            <w:shd w:val="clear" w:color="auto" w:fill="auto"/>
            <w:noWrap/>
            <w:vAlign w:val="center"/>
          </w:tcPr>
          <w:p w14:paraId="7F79771E"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6.4</w:t>
            </w:r>
          </w:p>
        </w:tc>
        <w:tc>
          <w:tcPr>
            <w:tcW w:w="983" w:type="dxa"/>
            <w:tcBorders>
              <w:top w:val="nil"/>
              <w:left w:val="nil"/>
              <w:bottom w:val="nil"/>
              <w:right w:val="nil"/>
            </w:tcBorders>
            <w:shd w:val="clear" w:color="auto" w:fill="auto"/>
            <w:noWrap/>
            <w:vAlign w:val="center"/>
          </w:tcPr>
          <w:p w14:paraId="71DBA844"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1.0</w:t>
            </w:r>
          </w:p>
        </w:tc>
        <w:tc>
          <w:tcPr>
            <w:tcW w:w="731" w:type="dxa"/>
            <w:tcBorders>
              <w:top w:val="nil"/>
              <w:left w:val="nil"/>
              <w:bottom w:val="nil"/>
              <w:right w:val="nil"/>
            </w:tcBorders>
            <w:shd w:val="clear" w:color="auto" w:fill="auto"/>
            <w:noWrap/>
            <w:vAlign w:val="center"/>
          </w:tcPr>
          <w:p w14:paraId="12D327F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15.7</w:t>
            </w:r>
          </w:p>
        </w:tc>
        <w:tc>
          <w:tcPr>
            <w:tcW w:w="857" w:type="dxa"/>
            <w:tcBorders>
              <w:top w:val="nil"/>
              <w:left w:val="nil"/>
              <w:bottom w:val="nil"/>
              <w:right w:val="nil"/>
            </w:tcBorders>
            <w:shd w:val="clear" w:color="auto" w:fill="auto"/>
            <w:noWrap/>
            <w:vAlign w:val="center"/>
          </w:tcPr>
          <w:p w14:paraId="49B14B41"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8.2</w:t>
            </w:r>
          </w:p>
        </w:tc>
      </w:tr>
      <w:tr w:rsidR="00012C63" w:rsidRPr="00873888" w14:paraId="300EBAFA" w14:textId="77777777" w:rsidTr="00CF2502">
        <w:trPr>
          <w:gridAfter w:val="1"/>
          <w:wAfter w:w="113" w:type="dxa"/>
        </w:trPr>
        <w:tc>
          <w:tcPr>
            <w:tcW w:w="2673" w:type="dxa"/>
            <w:tcBorders>
              <w:top w:val="nil"/>
              <w:left w:val="nil"/>
            </w:tcBorders>
            <w:shd w:val="clear" w:color="auto" w:fill="auto"/>
            <w:vAlign w:val="center"/>
          </w:tcPr>
          <w:p w14:paraId="04E23433" w14:textId="77777777" w:rsidR="00012C63" w:rsidRPr="00873888" w:rsidRDefault="00012C63" w:rsidP="00CF2502">
            <w:pPr>
              <w:spacing w:before="0"/>
              <w:rPr>
                <w:rFonts w:ascii="Calibri" w:eastAsia="Times New Roman" w:hAnsi="Calibri" w:cs="Calibri"/>
                <w:color w:val="000000"/>
                <w:sz w:val="20"/>
                <w:szCs w:val="20"/>
                <w:lang w:val="en-US"/>
              </w:rPr>
            </w:pPr>
            <w:r>
              <w:rPr>
                <w:rFonts w:ascii="Calibri" w:hAnsi="Calibri" w:cs="Calibri"/>
                <w:color w:val="000000"/>
                <w:sz w:val="20"/>
                <w:szCs w:val="20"/>
              </w:rPr>
              <w:t>Elementary occupations</w:t>
            </w:r>
          </w:p>
        </w:tc>
        <w:tc>
          <w:tcPr>
            <w:tcW w:w="855" w:type="dxa"/>
            <w:tcBorders>
              <w:top w:val="nil"/>
              <w:left w:val="nil"/>
              <w:bottom w:val="nil"/>
              <w:right w:val="nil"/>
            </w:tcBorders>
            <w:shd w:val="clear" w:color="auto" w:fill="auto"/>
            <w:noWrap/>
            <w:vAlign w:val="center"/>
          </w:tcPr>
          <w:p w14:paraId="74F94AE9"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43.4</w:t>
            </w:r>
          </w:p>
        </w:tc>
        <w:tc>
          <w:tcPr>
            <w:tcW w:w="1008" w:type="dxa"/>
            <w:tcBorders>
              <w:top w:val="nil"/>
              <w:left w:val="nil"/>
              <w:bottom w:val="nil"/>
              <w:right w:val="nil"/>
            </w:tcBorders>
            <w:shd w:val="clear" w:color="auto" w:fill="auto"/>
            <w:noWrap/>
            <w:vAlign w:val="center"/>
          </w:tcPr>
          <w:p w14:paraId="1ABBCA4D"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10.7</w:t>
            </w:r>
          </w:p>
        </w:tc>
        <w:tc>
          <w:tcPr>
            <w:tcW w:w="706" w:type="dxa"/>
            <w:tcBorders>
              <w:top w:val="nil"/>
              <w:left w:val="nil"/>
              <w:bottom w:val="nil"/>
              <w:right w:val="nil"/>
            </w:tcBorders>
            <w:shd w:val="clear" w:color="auto" w:fill="auto"/>
            <w:noWrap/>
            <w:vAlign w:val="center"/>
          </w:tcPr>
          <w:p w14:paraId="314CB6FA"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13.8</w:t>
            </w:r>
          </w:p>
        </w:tc>
        <w:tc>
          <w:tcPr>
            <w:tcW w:w="813" w:type="dxa"/>
            <w:tcBorders>
              <w:top w:val="nil"/>
              <w:left w:val="nil"/>
              <w:bottom w:val="nil"/>
              <w:right w:val="single" w:sz="4" w:space="0" w:color="auto"/>
            </w:tcBorders>
            <w:shd w:val="clear" w:color="auto" w:fill="auto"/>
            <w:noWrap/>
            <w:vAlign w:val="center"/>
          </w:tcPr>
          <w:p w14:paraId="671467D7"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12.3</w:t>
            </w:r>
          </w:p>
        </w:tc>
        <w:tc>
          <w:tcPr>
            <w:tcW w:w="900" w:type="dxa"/>
            <w:tcBorders>
              <w:top w:val="nil"/>
              <w:left w:val="single" w:sz="4" w:space="0" w:color="auto"/>
              <w:bottom w:val="nil"/>
              <w:right w:val="nil"/>
            </w:tcBorders>
            <w:shd w:val="clear" w:color="auto" w:fill="auto"/>
            <w:noWrap/>
            <w:vAlign w:val="center"/>
          </w:tcPr>
          <w:p w14:paraId="14E086D7"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44.9</w:t>
            </w:r>
          </w:p>
        </w:tc>
        <w:tc>
          <w:tcPr>
            <w:tcW w:w="983" w:type="dxa"/>
            <w:tcBorders>
              <w:top w:val="nil"/>
              <w:left w:val="nil"/>
              <w:bottom w:val="nil"/>
              <w:right w:val="nil"/>
            </w:tcBorders>
            <w:shd w:val="clear" w:color="auto" w:fill="auto"/>
            <w:noWrap/>
            <w:vAlign w:val="center"/>
          </w:tcPr>
          <w:p w14:paraId="04A19085"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7.3</w:t>
            </w:r>
          </w:p>
        </w:tc>
        <w:tc>
          <w:tcPr>
            <w:tcW w:w="731" w:type="dxa"/>
            <w:tcBorders>
              <w:top w:val="nil"/>
              <w:left w:val="nil"/>
              <w:bottom w:val="nil"/>
              <w:right w:val="nil"/>
            </w:tcBorders>
            <w:shd w:val="clear" w:color="auto" w:fill="auto"/>
            <w:noWrap/>
            <w:vAlign w:val="center"/>
          </w:tcPr>
          <w:p w14:paraId="4531EA73"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9.3</w:t>
            </w:r>
          </w:p>
        </w:tc>
        <w:tc>
          <w:tcPr>
            <w:tcW w:w="857" w:type="dxa"/>
            <w:tcBorders>
              <w:top w:val="nil"/>
              <w:left w:val="nil"/>
              <w:bottom w:val="nil"/>
              <w:right w:val="nil"/>
            </w:tcBorders>
            <w:shd w:val="clear" w:color="auto" w:fill="auto"/>
            <w:noWrap/>
            <w:vAlign w:val="center"/>
          </w:tcPr>
          <w:p w14:paraId="26FC1718" w14:textId="77777777" w:rsidR="00012C63" w:rsidRPr="00873888" w:rsidRDefault="00012C63" w:rsidP="00CF2502">
            <w:pPr>
              <w:spacing w:before="0"/>
              <w:jc w:val="center"/>
              <w:rPr>
                <w:rFonts w:ascii="Calibri" w:eastAsia="Times New Roman" w:hAnsi="Calibri" w:cs="Calibri"/>
                <w:color w:val="000000"/>
                <w:sz w:val="20"/>
                <w:szCs w:val="20"/>
                <w:lang w:val="en-US"/>
              </w:rPr>
            </w:pPr>
            <w:r>
              <w:rPr>
                <w:rFonts w:ascii="Calibri" w:hAnsi="Calibri" w:cs="Calibri"/>
                <w:color w:val="000000"/>
                <w:sz w:val="20"/>
                <w:szCs w:val="20"/>
              </w:rPr>
              <w:t>8.3</w:t>
            </w:r>
          </w:p>
        </w:tc>
      </w:tr>
      <w:tr w:rsidR="00012C63" w:rsidRPr="00873888" w14:paraId="6BFE1DF7" w14:textId="77777777" w:rsidTr="00CF2502">
        <w:trPr>
          <w:gridAfter w:val="1"/>
          <w:wAfter w:w="113" w:type="dxa"/>
        </w:trPr>
        <w:tc>
          <w:tcPr>
            <w:tcW w:w="2673" w:type="dxa"/>
            <w:tcBorders>
              <w:top w:val="nil"/>
              <w:left w:val="nil"/>
              <w:bottom w:val="single" w:sz="4" w:space="0" w:color="auto"/>
            </w:tcBorders>
            <w:shd w:val="clear" w:color="auto" w:fill="auto"/>
            <w:hideMark/>
          </w:tcPr>
          <w:p w14:paraId="4027D8B2" w14:textId="77777777" w:rsidR="00012C63" w:rsidRPr="00A60A8D" w:rsidRDefault="00012C63" w:rsidP="00CF2502">
            <w:pPr>
              <w:spacing w:before="0"/>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Total</w:t>
            </w:r>
          </w:p>
        </w:tc>
        <w:tc>
          <w:tcPr>
            <w:tcW w:w="855" w:type="dxa"/>
            <w:tcBorders>
              <w:top w:val="nil"/>
              <w:left w:val="nil"/>
              <w:bottom w:val="single" w:sz="4" w:space="0" w:color="auto"/>
              <w:right w:val="nil"/>
            </w:tcBorders>
            <w:shd w:val="clear" w:color="auto" w:fill="auto"/>
            <w:noWrap/>
            <w:hideMark/>
          </w:tcPr>
          <w:p w14:paraId="53B0F044"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49.5</w:t>
            </w:r>
          </w:p>
        </w:tc>
        <w:tc>
          <w:tcPr>
            <w:tcW w:w="1008" w:type="dxa"/>
            <w:tcBorders>
              <w:top w:val="nil"/>
              <w:left w:val="nil"/>
              <w:bottom w:val="single" w:sz="4" w:space="0" w:color="auto"/>
              <w:right w:val="nil"/>
            </w:tcBorders>
            <w:shd w:val="clear" w:color="auto" w:fill="auto"/>
            <w:noWrap/>
            <w:hideMark/>
          </w:tcPr>
          <w:p w14:paraId="45FE451B"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100.0</w:t>
            </w:r>
          </w:p>
        </w:tc>
        <w:tc>
          <w:tcPr>
            <w:tcW w:w="706" w:type="dxa"/>
            <w:tcBorders>
              <w:top w:val="nil"/>
              <w:left w:val="nil"/>
              <w:bottom w:val="single" w:sz="4" w:space="0" w:color="auto"/>
              <w:right w:val="nil"/>
            </w:tcBorders>
            <w:shd w:val="clear" w:color="auto" w:fill="auto"/>
            <w:noWrap/>
            <w:hideMark/>
          </w:tcPr>
          <w:p w14:paraId="46AE05EF"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100.0</w:t>
            </w:r>
          </w:p>
        </w:tc>
        <w:tc>
          <w:tcPr>
            <w:tcW w:w="813" w:type="dxa"/>
            <w:tcBorders>
              <w:top w:val="nil"/>
              <w:left w:val="nil"/>
              <w:bottom w:val="single" w:sz="4" w:space="0" w:color="auto"/>
              <w:right w:val="single" w:sz="4" w:space="0" w:color="auto"/>
            </w:tcBorders>
            <w:shd w:val="clear" w:color="auto" w:fill="auto"/>
            <w:noWrap/>
            <w:hideMark/>
          </w:tcPr>
          <w:p w14:paraId="1D267599"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100.0</w:t>
            </w:r>
          </w:p>
        </w:tc>
        <w:tc>
          <w:tcPr>
            <w:tcW w:w="900" w:type="dxa"/>
            <w:tcBorders>
              <w:top w:val="nil"/>
              <w:left w:val="single" w:sz="4" w:space="0" w:color="auto"/>
              <w:bottom w:val="single" w:sz="4" w:space="0" w:color="auto"/>
              <w:right w:val="nil"/>
            </w:tcBorders>
            <w:shd w:val="clear" w:color="auto" w:fill="auto"/>
            <w:noWrap/>
            <w:hideMark/>
          </w:tcPr>
          <w:p w14:paraId="677A24E7"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51.0</w:t>
            </w:r>
          </w:p>
        </w:tc>
        <w:tc>
          <w:tcPr>
            <w:tcW w:w="983" w:type="dxa"/>
            <w:tcBorders>
              <w:top w:val="nil"/>
              <w:left w:val="nil"/>
              <w:bottom w:val="single" w:sz="4" w:space="0" w:color="auto"/>
              <w:right w:val="nil"/>
            </w:tcBorders>
            <w:shd w:val="clear" w:color="auto" w:fill="auto"/>
            <w:noWrap/>
            <w:hideMark/>
          </w:tcPr>
          <w:p w14:paraId="53E6A635"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100.0</w:t>
            </w:r>
          </w:p>
        </w:tc>
        <w:tc>
          <w:tcPr>
            <w:tcW w:w="731" w:type="dxa"/>
            <w:tcBorders>
              <w:top w:val="nil"/>
              <w:left w:val="nil"/>
              <w:bottom w:val="single" w:sz="4" w:space="0" w:color="auto"/>
              <w:right w:val="nil"/>
            </w:tcBorders>
            <w:shd w:val="clear" w:color="auto" w:fill="auto"/>
            <w:noWrap/>
            <w:hideMark/>
          </w:tcPr>
          <w:p w14:paraId="5283157F"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100.0</w:t>
            </w:r>
          </w:p>
        </w:tc>
        <w:tc>
          <w:tcPr>
            <w:tcW w:w="857" w:type="dxa"/>
            <w:tcBorders>
              <w:top w:val="nil"/>
              <w:left w:val="nil"/>
              <w:bottom w:val="single" w:sz="4" w:space="0" w:color="auto"/>
              <w:right w:val="nil"/>
            </w:tcBorders>
            <w:shd w:val="clear" w:color="auto" w:fill="auto"/>
            <w:noWrap/>
            <w:hideMark/>
          </w:tcPr>
          <w:p w14:paraId="09DC859A" w14:textId="77777777" w:rsidR="00012C63" w:rsidRPr="00A60A8D" w:rsidRDefault="00012C63" w:rsidP="00CF2502">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100.0</w:t>
            </w:r>
          </w:p>
        </w:tc>
      </w:tr>
    </w:tbl>
    <w:p w14:paraId="0ED06F57" w14:textId="77777777" w:rsidR="00012C63" w:rsidRPr="004A792A" w:rsidRDefault="00012C63" w:rsidP="00012C63">
      <w:pPr>
        <w:rPr>
          <w:i/>
          <w:sz w:val="20"/>
          <w:szCs w:val="20"/>
          <w:lang w:val="en-US"/>
        </w:rPr>
      </w:pPr>
      <w:r w:rsidRPr="00873888">
        <w:rPr>
          <w:rFonts w:cstheme="minorHAnsi"/>
          <w:i/>
          <w:sz w:val="20"/>
          <w:szCs w:val="20"/>
        </w:rPr>
        <w:t xml:space="preserve">Source: Author’s calculations based on </w:t>
      </w:r>
      <w:r>
        <w:rPr>
          <w:rFonts w:cstheme="minorHAnsi"/>
          <w:i/>
          <w:sz w:val="20"/>
          <w:szCs w:val="20"/>
        </w:rPr>
        <w:t xml:space="preserve">the </w:t>
      </w:r>
      <w:r w:rsidRPr="00873888">
        <w:rPr>
          <w:rFonts w:cstheme="minorHAnsi"/>
          <w:i/>
          <w:sz w:val="20"/>
          <w:szCs w:val="20"/>
        </w:rPr>
        <w:t xml:space="preserve">NBS online databank, Series: </w:t>
      </w:r>
      <w:r>
        <w:rPr>
          <w:rFonts w:cstheme="minorHAnsi"/>
          <w:bCs/>
          <w:i/>
          <w:color w:val="222222"/>
          <w:sz w:val="20"/>
          <w:szCs w:val="20"/>
          <w:shd w:val="clear" w:color="auto" w:fill="FFFFFF"/>
        </w:rPr>
        <w:t>Employed population by occupations</w:t>
      </w:r>
      <w:r w:rsidRPr="00873888">
        <w:rPr>
          <w:rFonts w:cstheme="minorHAnsi"/>
          <w:bCs/>
          <w:i/>
          <w:color w:val="222222"/>
          <w:sz w:val="20"/>
          <w:szCs w:val="20"/>
          <w:shd w:val="clear" w:color="auto" w:fill="FFFFFF"/>
        </w:rPr>
        <w:t xml:space="preserve">, </w:t>
      </w:r>
      <w:r>
        <w:rPr>
          <w:rFonts w:cstheme="minorHAnsi"/>
          <w:bCs/>
          <w:i/>
          <w:color w:val="222222"/>
          <w:sz w:val="20"/>
          <w:szCs w:val="20"/>
          <w:shd w:val="clear" w:color="auto" w:fill="FFFFFF"/>
        </w:rPr>
        <w:t>y</w:t>
      </w:r>
      <w:r w:rsidRPr="00873888">
        <w:rPr>
          <w:rFonts w:cstheme="minorHAnsi"/>
          <w:bCs/>
          <w:i/>
          <w:color w:val="222222"/>
          <w:sz w:val="20"/>
          <w:szCs w:val="20"/>
          <w:shd w:val="clear" w:color="auto" w:fill="FFFFFF"/>
        </w:rPr>
        <w:t xml:space="preserve">ears, </w:t>
      </w:r>
      <w:r>
        <w:rPr>
          <w:rFonts w:cstheme="minorHAnsi"/>
          <w:bCs/>
          <w:i/>
          <w:color w:val="222222"/>
          <w:sz w:val="20"/>
          <w:szCs w:val="20"/>
          <w:shd w:val="clear" w:color="auto" w:fill="FFFFFF"/>
        </w:rPr>
        <w:t>s</w:t>
      </w:r>
      <w:r w:rsidRPr="00873888">
        <w:rPr>
          <w:rFonts w:cstheme="minorHAnsi"/>
          <w:bCs/>
          <w:i/>
          <w:color w:val="222222"/>
          <w:sz w:val="20"/>
          <w:szCs w:val="20"/>
          <w:shd w:val="clear" w:color="auto" w:fill="FFFFFF"/>
        </w:rPr>
        <w:t xml:space="preserve">ex, </w:t>
      </w:r>
      <w:r>
        <w:rPr>
          <w:rFonts w:cstheme="minorHAnsi"/>
          <w:bCs/>
          <w:i/>
          <w:color w:val="222222"/>
          <w:sz w:val="20"/>
          <w:szCs w:val="20"/>
          <w:shd w:val="clear" w:color="auto" w:fill="FFFFFF"/>
        </w:rPr>
        <w:t>a</w:t>
      </w:r>
      <w:r w:rsidRPr="00873888">
        <w:rPr>
          <w:rFonts w:cstheme="minorHAnsi"/>
          <w:bCs/>
          <w:i/>
          <w:color w:val="222222"/>
          <w:sz w:val="20"/>
          <w:szCs w:val="20"/>
          <w:shd w:val="clear" w:color="auto" w:fill="FFFFFF"/>
        </w:rPr>
        <w:t xml:space="preserve">rea, </w:t>
      </w:r>
      <w:r>
        <w:rPr>
          <w:rFonts w:cstheme="minorHAnsi"/>
          <w:bCs/>
          <w:i/>
          <w:color w:val="222222"/>
          <w:sz w:val="20"/>
          <w:szCs w:val="20"/>
          <w:shd w:val="clear" w:color="auto" w:fill="FFFFFF"/>
        </w:rPr>
        <w:t>level of educations and a</w:t>
      </w:r>
      <w:r w:rsidRPr="00873888">
        <w:rPr>
          <w:rFonts w:cstheme="minorHAnsi"/>
          <w:bCs/>
          <w:i/>
          <w:color w:val="222222"/>
          <w:sz w:val="20"/>
          <w:szCs w:val="20"/>
          <w:shd w:val="clear" w:color="auto" w:fill="FFFFFF"/>
        </w:rPr>
        <w:t>ge groups</w:t>
      </w:r>
    </w:p>
    <w:p w14:paraId="6D4C1194" w14:textId="77777777" w:rsidR="00593F44" w:rsidRPr="004A792A" w:rsidRDefault="00593F44" w:rsidP="00745716">
      <w:pPr>
        <w:pStyle w:val="ad"/>
        <w:jc w:val="left"/>
        <w:rPr>
          <w:lang w:val="en-US"/>
        </w:rPr>
        <w:sectPr w:rsidR="00593F44" w:rsidRPr="004A792A" w:rsidSect="00E13694">
          <w:pgSz w:w="11909" w:h="16834" w:code="9"/>
          <w:pgMar w:top="1440" w:right="1440" w:bottom="1440" w:left="1440" w:header="720" w:footer="720" w:gutter="0"/>
          <w:cols w:space="720"/>
          <w:docGrid w:linePitch="360"/>
        </w:sectPr>
      </w:pPr>
      <w:bookmarkStart w:id="151" w:name="_Ref519158510"/>
    </w:p>
    <w:p w14:paraId="1A4B44B8" w14:textId="58A521C3" w:rsidR="00745716" w:rsidRPr="004A792A" w:rsidRDefault="00474FA5" w:rsidP="00745716">
      <w:pPr>
        <w:pStyle w:val="ad"/>
        <w:jc w:val="left"/>
        <w:rPr>
          <w:lang w:val="en-US"/>
        </w:rPr>
      </w:pPr>
      <w:bookmarkStart w:id="152" w:name="_Ref521693506"/>
      <w:bookmarkStart w:id="153" w:name="_Toc533185135"/>
      <w:r>
        <w:lastRenderedPageBreak/>
        <w:t>Table A-</w:t>
      </w:r>
      <w:r>
        <w:fldChar w:fldCharType="begin"/>
      </w:r>
      <w:r>
        <w:instrText xml:space="preserve"> SEQ Table_A- \* ARABIC </w:instrText>
      </w:r>
      <w:r>
        <w:fldChar w:fldCharType="separate"/>
      </w:r>
      <w:r>
        <w:rPr>
          <w:noProof/>
        </w:rPr>
        <w:t>6</w:t>
      </w:r>
      <w:r>
        <w:fldChar w:fldCharType="end"/>
      </w:r>
      <w:r w:rsidRPr="004E1089">
        <w:t xml:space="preserve">: </w:t>
      </w:r>
      <w:bookmarkEnd w:id="151"/>
      <w:bookmarkEnd w:id="152"/>
      <w:r w:rsidR="00745716" w:rsidRPr="004A792A">
        <w:rPr>
          <w:lang w:val="en-US"/>
        </w:rPr>
        <w:t xml:space="preserve">Female share and composition of </w:t>
      </w:r>
      <w:r w:rsidR="00593F44" w:rsidRPr="004A792A">
        <w:rPr>
          <w:lang w:val="en-US"/>
        </w:rPr>
        <w:t>university-</w:t>
      </w:r>
      <w:r w:rsidR="00745716" w:rsidRPr="004A792A">
        <w:rPr>
          <w:lang w:val="en-US"/>
        </w:rPr>
        <w:t>educated male and female workers</w:t>
      </w:r>
      <w:r w:rsidR="003A4241" w:rsidRPr="004A792A">
        <w:rPr>
          <w:lang w:val="en-US"/>
        </w:rPr>
        <w:t xml:space="preserve"> (25+ years)</w:t>
      </w:r>
      <w:r w:rsidR="00745716" w:rsidRPr="004A792A">
        <w:rPr>
          <w:lang w:val="en-US"/>
        </w:rPr>
        <w:t xml:space="preserve"> by the field of studies</w:t>
      </w:r>
      <w:r w:rsidR="003A4241" w:rsidRPr="004A792A">
        <w:rPr>
          <w:lang w:val="en-US"/>
        </w:rPr>
        <w:t xml:space="preserve"> (%)</w:t>
      </w:r>
      <w:r w:rsidR="00745716" w:rsidRPr="004A792A">
        <w:rPr>
          <w:lang w:val="en-US"/>
        </w:rPr>
        <w:t>, 2014-2016</w:t>
      </w:r>
      <w:bookmarkEnd w:id="153"/>
    </w:p>
    <w:tbl>
      <w:tblPr>
        <w:tblW w:w="13930" w:type="dxa"/>
        <w:tblLook w:val="04A0" w:firstRow="1" w:lastRow="0" w:firstColumn="1" w:lastColumn="0" w:noHBand="0" w:noVBand="1"/>
      </w:tblPr>
      <w:tblGrid>
        <w:gridCol w:w="5290"/>
        <w:gridCol w:w="960"/>
        <w:gridCol w:w="960"/>
        <w:gridCol w:w="960"/>
        <w:gridCol w:w="960"/>
        <w:gridCol w:w="960"/>
        <w:gridCol w:w="960"/>
        <w:gridCol w:w="960"/>
        <w:gridCol w:w="960"/>
        <w:gridCol w:w="960"/>
      </w:tblGrid>
      <w:tr w:rsidR="00593F44" w:rsidRPr="004A792A" w14:paraId="671B5C1F" w14:textId="77777777" w:rsidTr="006F1E0A">
        <w:tc>
          <w:tcPr>
            <w:tcW w:w="5290" w:type="dxa"/>
            <w:vMerge w:val="restart"/>
            <w:tcBorders>
              <w:top w:val="single" w:sz="4" w:space="0" w:color="auto"/>
              <w:left w:val="nil"/>
              <w:right w:val="single" w:sz="4" w:space="0" w:color="auto"/>
            </w:tcBorders>
            <w:shd w:val="clear" w:color="auto" w:fill="auto"/>
            <w:noWrap/>
            <w:hideMark/>
          </w:tcPr>
          <w:p w14:paraId="5497F453" w14:textId="77777777" w:rsidR="00593F44" w:rsidRPr="004A792A" w:rsidRDefault="00593F44" w:rsidP="00593F44">
            <w:pPr>
              <w:spacing w:before="0"/>
              <w:jc w:val="center"/>
              <w:rPr>
                <w:rFonts w:ascii="Calibri" w:eastAsia="Times New Roman" w:hAnsi="Calibri" w:cs="Calibri"/>
                <w:b/>
                <w:bCs/>
                <w:color w:val="000000"/>
                <w:sz w:val="20"/>
                <w:szCs w:val="20"/>
                <w:lang w:val="en-US"/>
              </w:rPr>
            </w:pPr>
            <w:r w:rsidRPr="004A792A">
              <w:rPr>
                <w:rFonts w:ascii="Calibri" w:eastAsia="Times New Roman" w:hAnsi="Calibri" w:cs="Calibri"/>
                <w:b/>
                <w:bCs/>
                <w:color w:val="000000"/>
                <w:sz w:val="20"/>
                <w:szCs w:val="20"/>
                <w:lang w:val="en-US"/>
              </w:rPr>
              <w:t>2-digit ISCO-based field of studies</w:t>
            </w:r>
          </w:p>
        </w:tc>
        <w:tc>
          <w:tcPr>
            <w:tcW w:w="2880" w:type="dxa"/>
            <w:gridSpan w:val="3"/>
            <w:tcBorders>
              <w:top w:val="single" w:sz="4" w:space="0" w:color="auto"/>
              <w:left w:val="single" w:sz="4" w:space="0" w:color="auto"/>
              <w:bottom w:val="nil"/>
              <w:right w:val="single" w:sz="4" w:space="0" w:color="auto"/>
            </w:tcBorders>
            <w:shd w:val="clear" w:color="auto" w:fill="auto"/>
            <w:noWrap/>
            <w:vAlign w:val="bottom"/>
            <w:hideMark/>
          </w:tcPr>
          <w:p w14:paraId="6484F7CE"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Female share</w:t>
            </w:r>
          </w:p>
        </w:tc>
        <w:tc>
          <w:tcPr>
            <w:tcW w:w="2880" w:type="dxa"/>
            <w:gridSpan w:val="3"/>
            <w:tcBorders>
              <w:top w:val="single" w:sz="4" w:space="0" w:color="auto"/>
              <w:left w:val="single" w:sz="4" w:space="0" w:color="auto"/>
              <w:bottom w:val="nil"/>
              <w:right w:val="single" w:sz="4" w:space="0" w:color="auto"/>
            </w:tcBorders>
            <w:shd w:val="clear" w:color="auto" w:fill="auto"/>
            <w:noWrap/>
            <w:vAlign w:val="bottom"/>
            <w:hideMark/>
          </w:tcPr>
          <w:p w14:paraId="5C238A01" w14:textId="77777777" w:rsidR="00593F44" w:rsidRPr="004A792A" w:rsidRDefault="00593F44" w:rsidP="00593F44">
            <w:pPr>
              <w:spacing w:before="0"/>
              <w:jc w:val="center"/>
              <w:rPr>
                <w:rFonts w:ascii="Times New Roman" w:eastAsia="Times New Roman" w:hAnsi="Times New Roman" w:cs="Times New Roman"/>
                <w:b/>
                <w:sz w:val="20"/>
                <w:szCs w:val="20"/>
                <w:lang w:val="en-US"/>
              </w:rPr>
            </w:pPr>
            <w:r w:rsidRPr="004A792A">
              <w:rPr>
                <w:rFonts w:ascii="Calibri" w:eastAsia="Times New Roman" w:hAnsi="Calibri" w:cs="Calibri"/>
                <w:b/>
                <w:color w:val="000000"/>
                <w:sz w:val="20"/>
                <w:szCs w:val="20"/>
                <w:lang w:val="en-US"/>
              </w:rPr>
              <w:t>Men, by field of studies</w:t>
            </w:r>
          </w:p>
        </w:tc>
        <w:tc>
          <w:tcPr>
            <w:tcW w:w="2880" w:type="dxa"/>
            <w:gridSpan w:val="3"/>
            <w:tcBorders>
              <w:top w:val="single" w:sz="4" w:space="0" w:color="auto"/>
              <w:left w:val="single" w:sz="4" w:space="0" w:color="auto"/>
              <w:bottom w:val="nil"/>
              <w:right w:val="nil"/>
            </w:tcBorders>
            <w:shd w:val="clear" w:color="auto" w:fill="auto"/>
            <w:noWrap/>
            <w:vAlign w:val="bottom"/>
            <w:hideMark/>
          </w:tcPr>
          <w:p w14:paraId="5A721EFB"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Women, by field of studies</w:t>
            </w:r>
          </w:p>
        </w:tc>
      </w:tr>
      <w:tr w:rsidR="00593F44" w:rsidRPr="004A792A" w14:paraId="704F8768" w14:textId="77777777" w:rsidTr="006F1E0A">
        <w:tc>
          <w:tcPr>
            <w:tcW w:w="5290" w:type="dxa"/>
            <w:vMerge/>
            <w:tcBorders>
              <w:left w:val="nil"/>
              <w:bottom w:val="single" w:sz="4" w:space="0" w:color="auto"/>
              <w:right w:val="single" w:sz="4" w:space="0" w:color="auto"/>
            </w:tcBorders>
            <w:shd w:val="clear" w:color="auto" w:fill="auto"/>
            <w:noWrap/>
            <w:vAlign w:val="bottom"/>
            <w:hideMark/>
          </w:tcPr>
          <w:p w14:paraId="1FAA0268" w14:textId="77777777" w:rsidR="00593F44" w:rsidRPr="004A792A" w:rsidRDefault="00593F44" w:rsidP="00593F44">
            <w:pPr>
              <w:spacing w:before="0"/>
              <w:rPr>
                <w:rFonts w:ascii="Calibri" w:eastAsia="Times New Roman" w:hAnsi="Calibri" w:cs="Calibri"/>
                <w:color w:val="000000"/>
                <w:sz w:val="20"/>
                <w:szCs w:val="20"/>
                <w:lang w:val="en-US"/>
              </w:rPr>
            </w:pPr>
          </w:p>
        </w:tc>
        <w:tc>
          <w:tcPr>
            <w:tcW w:w="960" w:type="dxa"/>
            <w:tcBorders>
              <w:top w:val="nil"/>
              <w:left w:val="single" w:sz="4" w:space="0" w:color="auto"/>
              <w:bottom w:val="single" w:sz="4" w:space="0" w:color="auto"/>
              <w:right w:val="nil"/>
            </w:tcBorders>
            <w:shd w:val="clear" w:color="auto" w:fill="auto"/>
            <w:noWrap/>
            <w:vAlign w:val="bottom"/>
            <w:hideMark/>
          </w:tcPr>
          <w:p w14:paraId="582B0DE5"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2014</w:t>
            </w:r>
          </w:p>
        </w:tc>
        <w:tc>
          <w:tcPr>
            <w:tcW w:w="960" w:type="dxa"/>
            <w:tcBorders>
              <w:top w:val="nil"/>
              <w:left w:val="nil"/>
              <w:bottom w:val="single" w:sz="4" w:space="0" w:color="auto"/>
              <w:right w:val="nil"/>
            </w:tcBorders>
            <w:shd w:val="clear" w:color="auto" w:fill="auto"/>
            <w:noWrap/>
            <w:vAlign w:val="bottom"/>
            <w:hideMark/>
          </w:tcPr>
          <w:p w14:paraId="06C0FA4A"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344E922B"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2016</w:t>
            </w:r>
          </w:p>
        </w:tc>
        <w:tc>
          <w:tcPr>
            <w:tcW w:w="960" w:type="dxa"/>
            <w:tcBorders>
              <w:top w:val="nil"/>
              <w:left w:val="single" w:sz="4" w:space="0" w:color="auto"/>
              <w:bottom w:val="single" w:sz="4" w:space="0" w:color="auto"/>
              <w:right w:val="nil"/>
            </w:tcBorders>
            <w:shd w:val="clear" w:color="auto" w:fill="auto"/>
            <w:noWrap/>
            <w:vAlign w:val="bottom"/>
            <w:hideMark/>
          </w:tcPr>
          <w:p w14:paraId="454A58AF"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2014</w:t>
            </w:r>
          </w:p>
        </w:tc>
        <w:tc>
          <w:tcPr>
            <w:tcW w:w="960" w:type="dxa"/>
            <w:tcBorders>
              <w:top w:val="nil"/>
              <w:left w:val="nil"/>
              <w:bottom w:val="single" w:sz="4" w:space="0" w:color="auto"/>
              <w:right w:val="nil"/>
            </w:tcBorders>
            <w:shd w:val="clear" w:color="auto" w:fill="auto"/>
            <w:noWrap/>
            <w:vAlign w:val="bottom"/>
            <w:hideMark/>
          </w:tcPr>
          <w:p w14:paraId="5038FBFA"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35278DD2"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2016</w:t>
            </w:r>
          </w:p>
        </w:tc>
        <w:tc>
          <w:tcPr>
            <w:tcW w:w="960" w:type="dxa"/>
            <w:tcBorders>
              <w:top w:val="nil"/>
              <w:left w:val="single" w:sz="4" w:space="0" w:color="auto"/>
              <w:bottom w:val="single" w:sz="4" w:space="0" w:color="auto"/>
              <w:right w:val="nil"/>
            </w:tcBorders>
            <w:shd w:val="clear" w:color="auto" w:fill="auto"/>
            <w:noWrap/>
            <w:vAlign w:val="bottom"/>
            <w:hideMark/>
          </w:tcPr>
          <w:p w14:paraId="49788FA0"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2014</w:t>
            </w:r>
          </w:p>
        </w:tc>
        <w:tc>
          <w:tcPr>
            <w:tcW w:w="960" w:type="dxa"/>
            <w:tcBorders>
              <w:top w:val="nil"/>
              <w:left w:val="nil"/>
              <w:bottom w:val="single" w:sz="4" w:space="0" w:color="auto"/>
              <w:right w:val="nil"/>
            </w:tcBorders>
            <w:shd w:val="clear" w:color="auto" w:fill="auto"/>
            <w:noWrap/>
            <w:vAlign w:val="bottom"/>
            <w:hideMark/>
          </w:tcPr>
          <w:p w14:paraId="312ABAE7"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2015</w:t>
            </w:r>
          </w:p>
        </w:tc>
        <w:tc>
          <w:tcPr>
            <w:tcW w:w="960" w:type="dxa"/>
            <w:tcBorders>
              <w:top w:val="nil"/>
              <w:left w:val="nil"/>
              <w:bottom w:val="single" w:sz="4" w:space="0" w:color="auto"/>
              <w:right w:val="nil"/>
            </w:tcBorders>
          </w:tcPr>
          <w:p w14:paraId="4F50F839" w14:textId="77777777" w:rsidR="00593F44" w:rsidRPr="004A792A" w:rsidRDefault="00593F44" w:rsidP="00593F44">
            <w:pPr>
              <w:spacing w:before="0"/>
              <w:jc w:val="center"/>
              <w:rPr>
                <w:rFonts w:ascii="Calibri" w:eastAsia="Times New Roman" w:hAnsi="Calibri" w:cs="Calibri"/>
                <w:b/>
                <w:color w:val="000000"/>
                <w:sz w:val="20"/>
                <w:szCs w:val="20"/>
                <w:lang w:val="en-US"/>
              </w:rPr>
            </w:pPr>
            <w:r w:rsidRPr="004A792A">
              <w:rPr>
                <w:rFonts w:ascii="Calibri" w:eastAsia="Times New Roman" w:hAnsi="Calibri" w:cs="Calibri"/>
                <w:b/>
                <w:color w:val="000000"/>
                <w:sz w:val="20"/>
                <w:szCs w:val="20"/>
                <w:lang w:val="en-US"/>
              </w:rPr>
              <w:t>2016</w:t>
            </w:r>
          </w:p>
        </w:tc>
      </w:tr>
      <w:tr w:rsidR="00593F44" w:rsidRPr="004A792A" w14:paraId="4EC16A6F" w14:textId="77777777" w:rsidTr="006F1E0A">
        <w:tc>
          <w:tcPr>
            <w:tcW w:w="5290" w:type="dxa"/>
            <w:tcBorders>
              <w:top w:val="single" w:sz="4" w:space="0" w:color="auto"/>
              <w:left w:val="nil"/>
              <w:bottom w:val="nil"/>
              <w:right w:val="single" w:sz="4" w:space="0" w:color="auto"/>
            </w:tcBorders>
            <w:shd w:val="clear" w:color="auto" w:fill="auto"/>
            <w:noWrap/>
            <w:vAlign w:val="bottom"/>
            <w:hideMark/>
          </w:tcPr>
          <w:p w14:paraId="360AA5C8"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24. Business and administration professionals</w:t>
            </w:r>
          </w:p>
        </w:tc>
        <w:tc>
          <w:tcPr>
            <w:tcW w:w="960" w:type="dxa"/>
            <w:tcBorders>
              <w:top w:val="single" w:sz="4" w:space="0" w:color="auto"/>
              <w:left w:val="single" w:sz="4" w:space="0" w:color="auto"/>
              <w:bottom w:val="nil"/>
              <w:right w:val="nil"/>
            </w:tcBorders>
            <w:shd w:val="clear" w:color="auto" w:fill="auto"/>
            <w:noWrap/>
            <w:vAlign w:val="bottom"/>
            <w:hideMark/>
          </w:tcPr>
          <w:p w14:paraId="5186AD04"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68.4</w:t>
            </w:r>
          </w:p>
        </w:tc>
        <w:tc>
          <w:tcPr>
            <w:tcW w:w="960" w:type="dxa"/>
            <w:tcBorders>
              <w:top w:val="single" w:sz="4" w:space="0" w:color="auto"/>
              <w:left w:val="nil"/>
              <w:bottom w:val="nil"/>
              <w:right w:val="nil"/>
            </w:tcBorders>
            <w:shd w:val="clear" w:color="auto" w:fill="auto"/>
            <w:noWrap/>
            <w:vAlign w:val="bottom"/>
            <w:hideMark/>
          </w:tcPr>
          <w:p w14:paraId="36A8579B"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78.4</w:t>
            </w:r>
          </w:p>
        </w:tc>
        <w:tc>
          <w:tcPr>
            <w:tcW w:w="960" w:type="dxa"/>
            <w:tcBorders>
              <w:top w:val="single" w:sz="4" w:space="0" w:color="auto"/>
              <w:left w:val="nil"/>
              <w:bottom w:val="nil"/>
              <w:right w:val="single" w:sz="4" w:space="0" w:color="auto"/>
            </w:tcBorders>
            <w:shd w:val="clear" w:color="auto" w:fill="auto"/>
            <w:noWrap/>
            <w:vAlign w:val="bottom"/>
            <w:hideMark/>
          </w:tcPr>
          <w:p w14:paraId="7335B763"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81.0</w:t>
            </w:r>
          </w:p>
        </w:tc>
        <w:tc>
          <w:tcPr>
            <w:tcW w:w="960" w:type="dxa"/>
            <w:tcBorders>
              <w:top w:val="single" w:sz="4" w:space="0" w:color="auto"/>
              <w:left w:val="single" w:sz="4" w:space="0" w:color="auto"/>
              <w:bottom w:val="nil"/>
              <w:right w:val="nil"/>
            </w:tcBorders>
            <w:shd w:val="clear" w:color="auto" w:fill="auto"/>
            <w:noWrap/>
            <w:vAlign w:val="bottom"/>
            <w:hideMark/>
          </w:tcPr>
          <w:p w14:paraId="6EC94840"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14.5</w:t>
            </w:r>
          </w:p>
        </w:tc>
        <w:tc>
          <w:tcPr>
            <w:tcW w:w="960" w:type="dxa"/>
            <w:tcBorders>
              <w:top w:val="single" w:sz="4" w:space="0" w:color="auto"/>
              <w:left w:val="nil"/>
              <w:bottom w:val="nil"/>
              <w:right w:val="nil"/>
            </w:tcBorders>
            <w:shd w:val="clear" w:color="auto" w:fill="auto"/>
            <w:noWrap/>
            <w:vAlign w:val="bottom"/>
            <w:hideMark/>
          </w:tcPr>
          <w:p w14:paraId="3AE59FAF"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6.6</w:t>
            </w:r>
          </w:p>
        </w:tc>
        <w:tc>
          <w:tcPr>
            <w:tcW w:w="960" w:type="dxa"/>
            <w:tcBorders>
              <w:top w:val="single" w:sz="4" w:space="0" w:color="auto"/>
              <w:left w:val="nil"/>
              <w:bottom w:val="nil"/>
              <w:right w:val="single" w:sz="4" w:space="0" w:color="auto"/>
            </w:tcBorders>
            <w:shd w:val="clear" w:color="auto" w:fill="auto"/>
            <w:noWrap/>
            <w:vAlign w:val="bottom"/>
            <w:hideMark/>
          </w:tcPr>
          <w:p w14:paraId="162BCDB9"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6.3</w:t>
            </w:r>
          </w:p>
        </w:tc>
        <w:tc>
          <w:tcPr>
            <w:tcW w:w="960" w:type="dxa"/>
            <w:tcBorders>
              <w:top w:val="single" w:sz="4" w:space="0" w:color="auto"/>
              <w:left w:val="single" w:sz="4" w:space="0" w:color="auto"/>
              <w:bottom w:val="nil"/>
              <w:right w:val="nil"/>
            </w:tcBorders>
            <w:shd w:val="clear" w:color="auto" w:fill="auto"/>
            <w:noWrap/>
            <w:vAlign w:val="bottom"/>
            <w:hideMark/>
          </w:tcPr>
          <w:p w14:paraId="2980012F"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25.3</w:t>
            </w:r>
          </w:p>
        </w:tc>
        <w:tc>
          <w:tcPr>
            <w:tcW w:w="960" w:type="dxa"/>
            <w:tcBorders>
              <w:top w:val="single" w:sz="4" w:space="0" w:color="auto"/>
              <w:left w:val="nil"/>
              <w:bottom w:val="nil"/>
              <w:right w:val="nil"/>
            </w:tcBorders>
            <w:shd w:val="clear" w:color="auto" w:fill="auto"/>
            <w:noWrap/>
            <w:vAlign w:val="bottom"/>
            <w:hideMark/>
          </w:tcPr>
          <w:p w14:paraId="2EBA2CC9"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18.9</w:t>
            </w:r>
          </w:p>
        </w:tc>
        <w:tc>
          <w:tcPr>
            <w:tcW w:w="960" w:type="dxa"/>
            <w:tcBorders>
              <w:top w:val="single" w:sz="4" w:space="0" w:color="auto"/>
              <w:left w:val="nil"/>
              <w:bottom w:val="nil"/>
              <w:right w:val="nil"/>
            </w:tcBorders>
            <w:vAlign w:val="bottom"/>
          </w:tcPr>
          <w:p w14:paraId="3754E42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20.2</w:t>
            </w:r>
          </w:p>
        </w:tc>
      </w:tr>
      <w:tr w:rsidR="00593F44" w:rsidRPr="004A792A" w14:paraId="394538AF" w14:textId="77777777" w:rsidTr="006F1E0A">
        <w:tc>
          <w:tcPr>
            <w:tcW w:w="5290" w:type="dxa"/>
            <w:tcBorders>
              <w:top w:val="nil"/>
              <w:left w:val="nil"/>
              <w:bottom w:val="nil"/>
              <w:right w:val="single" w:sz="4" w:space="0" w:color="auto"/>
            </w:tcBorders>
            <w:shd w:val="clear" w:color="auto" w:fill="auto"/>
            <w:noWrap/>
            <w:vAlign w:val="bottom"/>
            <w:hideMark/>
          </w:tcPr>
          <w:p w14:paraId="6D1CFBFD"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23. Teaching professionals</w:t>
            </w:r>
          </w:p>
        </w:tc>
        <w:tc>
          <w:tcPr>
            <w:tcW w:w="960" w:type="dxa"/>
            <w:tcBorders>
              <w:top w:val="nil"/>
              <w:left w:val="single" w:sz="4" w:space="0" w:color="auto"/>
              <w:bottom w:val="nil"/>
              <w:right w:val="nil"/>
            </w:tcBorders>
            <w:shd w:val="clear" w:color="auto" w:fill="auto"/>
            <w:noWrap/>
            <w:vAlign w:val="bottom"/>
            <w:hideMark/>
          </w:tcPr>
          <w:p w14:paraId="0BFC06AF"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78.1</w:t>
            </w:r>
          </w:p>
        </w:tc>
        <w:tc>
          <w:tcPr>
            <w:tcW w:w="960" w:type="dxa"/>
            <w:tcBorders>
              <w:top w:val="nil"/>
              <w:left w:val="nil"/>
              <w:bottom w:val="nil"/>
              <w:right w:val="nil"/>
            </w:tcBorders>
            <w:shd w:val="clear" w:color="auto" w:fill="auto"/>
            <w:noWrap/>
            <w:vAlign w:val="bottom"/>
            <w:hideMark/>
          </w:tcPr>
          <w:p w14:paraId="5E991F18"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74.7</w:t>
            </w:r>
          </w:p>
        </w:tc>
        <w:tc>
          <w:tcPr>
            <w:tcW w:w="960" w:type="dxa"/>
            <w:tcBorders>
              <w:top w:val="nil"/>
              <w:left w:val="nil"/>
              <w:bottom w:val="nil"/>
              <w:right w:val="single" w:sz="4" w:space="0" w:color="auto"/>
            </w:tcBorders>
            <w:shd w:val="clear" w:color="auto" w:fill="auto"/>
            <w:noWrap/>
            <w:vAlign w:val="bottom"/>
            <w:hideMark/>
          </w:tcPr>
          <w:p w14:paraId="334ACC69"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76.3</w:t>
            </w:r>
          </w:p>
        </w:tc>
        <w:tc>
          <w:tcPr>
            <w:tcW w:w="960" w:type="dxa"/>
            <w:tcBorders>
              <w:top w:val="nil"/>
              <w:left w:val="single" w:sz="4" w:space="0" w:color="auto"/>
              <w:bottom w:val="nil"/>
              <w:right w:val="nil"/>
            </w:tcBorders>
            <w:shd w:val="clear" w:color="auto" w:fill="auto"/>
            <w:noWrap/>
            <w:vAlign w:val="bottom"/>
            <w:hideMark/>
          </w:tcPr>
          <w:p w14:paraId="5790B92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11.4</w:t>
            </w:r>
          </w:p>
        </w:tc>
        <w:tc>
          <w:tcPr>
            <w:tcW w:w="960" w:type="dxa"/>
            <w:tcBorders>
              <w:top w:val="nil"/>
              <w:left w:val="nil"/>
              <w:bottom w:val="nil"/>
              <w:right w:val="nil"/>
            </w:tcBorders>
            <w:shd w:val="clear" w:color="auto" w:fill="auto"/>
            <w:noWrap/>
            <w:vAlign w:val="bottom"/>
            <w:hideMark/>
          </w:tcPr>
          <w:p w14:paraId="661CD5C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13.9</w:t>
            </w:r>
          </w:p>
        </w:tc>
        <w:tc>
          <w:tcPr>
            <w:tcW w:w="960" w:type="dxa"/>
            <w:tcBorders>
              <w:top w:val="nil"/>
              <w:left w:val="nil"/>
              <w:bottom w:val="nil"/>
              <w:right w:val="single" w:sz="4" w:space="0" w:color="auto"/>
            </w:tcBorders>
            <w:shd w:val="clear" w:color="auto" w:fill="auto"/>
            <w:noWrap/>
            <w:vAlign w:val="bottom"/>
            <w:hideMark/>
          </w:tcPr>
          <w:p w14:paraId="7B430D3C"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12.8</w:t>
            </w:r>
          </w:p>
        </w:tc>
        <w:tc>
          <w:tcPr>
            <w:tcW w:w="960" w:type="dxa"/>
            <w:tcBorders>
              <w:top w:val="nil"/>
              <w:left w:val="single" w:sz="4" w:space="0" w:color="auto"/>
              <w:bottom w:val="nil"/>
              <w:right w:val="nil"/>
            </w:tcBorders>
            <w:shd w:val="clear" w:color="auto" w:fill="auto"/>
            <w:noWrap/>
            <w:vAlign w:val="bottom"/>
            <w:hideMark/>
          </w:tcPr>
          <w:p w14:paraId="565FA8F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32.7</w:t>
            </w:r>
          </w:p>
        </w:tc>
        <w:tc>
          <w:tcPr>
            <w:tcW w:w="960" w:type="dxa"/>
            <w:tcBorders>
              <w:top w:val="nil"/>
              <w:left w:val="nil"/>
              <w:bottom w:val="nil"/>
              <w:right w:val="nil"/>
            </w:tcBorders>
            <w:shd w:val="clear" w:color="auto" w:fill="auto"/>
            <w:noWrap/>
            <w:vAlign w:val="bottom"/>
            <w:hideMark/>
          </w:tcPr>
          <w:p w14:paraId="2EE2C4DB"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32.1</w:t>
            </w:r>
          </w:p>
        </w:tc>
        <w:tc>
          <w:tcPr>
            <w:tcW w:w="960" w:type="dxa"/>
            <w:tcBorders>
              <w:top w:val="nil"/>
              <w:left w:val="nil"/>
              <w:bottom w:val="nil"/>
              <w:right w:val="nil"/>
            </w:tcBorders>
            <w:vAlign w:val="bottom"/>
          </w:tcPr>
          <w:p w14:paraId="4CA6E252"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31.0</w:t>
            </w:r>
          </w:p>
        </w:tc>
      </w:tr>
      <w:tr w:rsidR="00593F44" w:rsidRPr="004A792A" w14:paraId="25083EAF" w14:textId="77777777" w:rsidTr="006F1E0A">
        <w:tc>
          <w:tcPr>
            <w:tcW w:w="5290" w:type="dxa"/>
            <w:tcBorders>
              <w:top w:val="nil"/>
              <w:left w:val="nil"/>
              <w:bottom w:val="nil"/>
              <w:right w:val="single" w:sz="4" w:space="0" w:color="auto"/>
            </w:tcBorders>
            <w:shd w:val="clear" w:color="auto" w:fill="auto"/>
            <w:noWrap/>
            <w:vAlign w:val="bottom"/>
            <w:hideMark/>
          </w:tcPr>
          <w:p w14:paraId="2F9C63B2"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12. Administrative and commercial managers</w:t>
            </w:r>
          </w:p>
        </w:tc>
        <w:tc>
          <w:tcPr>
            <w:tcW w:w="960" w:type="dxa"/>
            <w:tcBorders>
              <w:top w:val="nil"/>
              <w:left w:val="single" w:sz="4" w:space="0" w:color="auto"/>
              <w:bottom w:val="nil"/>
              <w:right w:val="nil"/>
            </w:tcBorders>
            <w:shd w:val="clear" w:color="auto" w:fill="auto"/>
            <w:noWrap/>
            <w:vAlign w:val="bottom"/>
            <w:hideMark/>
          </w:tcPr>
          <w:p w14:paraId="1DA98081"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60.9</w:t>
            </w:r>
          </w:p>
        </w:tc>
        <w:tc>
          <w:tcPr>
            <w:tcW w:w="960" w:type="dxa"/>
            <w:tcBorders>
              <w:top w:val="nil"/>
              <w:left w:val="nil"/>
              <w:bottom w:val="nil"/>
              <w:right w:val="nil"/>
            </w:tcBorders>
            <w:shd w:val="clear" w:color="auto" w:fill="auto"/>
            <w:noWrap/>
            <w:vAlign w:val="bottom"/>
            <w:hideMark/>
          </w:tcPr>
          <w:p w14:paraId="0AB38A5E"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65.4</w:t>
            </w:r>
          </w:p>
        </w:tc>
        <w:tc>
          <w:tcPr>
            <w:tcW w:w="960" w:type="dxa"/>
            <w:tcBorders>
              <w:top w:val="nil"/>
              <w:left w:val="nil"/>
              <w:bottom w:val="nil"/>
              <w:right w:val="single" w:sz="4" w:space="0" w:color="auto"/>
            </w:tcBorders>
            <w:shd w:val="clear" w:color="auto" w:fill="auto"/>
            <w:noWrap/>
            <w:vAlign w:val="bottom"/>
            <w:hideMark/>
          </w:tcPr>
          <w:p w14:paraId="24CFDFCA"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66.7</w:t>
            </w:r>
          </w:p>
        </w:tc>
        <w:tc>
          <w:tcPr>
            <w:tcW w:w="960" w:type="dxa"/>
            <w:tcBorders>
              <w:top w:val="nil"/>
              <w:left w:val="single" w:sz="4" w:space="0" w:color="auto"/>
              <w:bottom w:val="nil"/>
              <w:right w:val="nil"/>
            </w:tcBorders>
            <w:shd w:val="clear" w:color="auto" w:fill="auto"/>
            <w:noWrap/>
            <w:vAlign w:val="bottom"/>
            <w:hideMark/>
          </w:tcPr>
          <w:p w14:paraId="55C8FF3B"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3.9</w:t>
            </w:r>
          </w:p>
        </w:tc>
        <w:tc>
          <w:tcPr>
            <w:tcW w:w="960" w:type="dxa"/>
            <w:tcBorders>
              <w:top w:val="nil"/>
              <w:left w:val="nil"/>
              <w:bottom w:val="nil"/>
              <w:right w:val="nil"/>
            </w:tcBorders>
            <w:shd w:val="clear" w:color="auto" w:fill="auto"/>
            <w:noWrap/>
            <w:vAlign w:val="bottom"/>
            <w:hideMark/>
          </w:tcPr>
          <w:p w14:paraId="1AF452C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2.4</w:t>
            </w:r>
          </w:p>
        </w:tc>
        <w:tc>
          <w:tcPr>
            <w:tcW w:w="960" w:type="dxa"/>
            <w:tcBorders>
              <w:top w:val="nil"/>
              <w:left w:val="nil"/>
              <w:bottom w:val="nil"/>
              <w:right w:val="single" w:sz="4" w:space="0" w:color="auto"/>
            </w:tcBorders>
            <w:shd w:val="clear" w:color="auto" w:fill="auto"/>
            <w:noWrap/>
            <w:vAlign w:val="bottom"/>
            <w:hideMark/>
          </w:tcPr>
          <w:p w14:paraId="2A1855B1"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2.3</w:t>
            </w:r>
          </w:p>
        </w:tc>
        <w:tc>
          <w:tcPr>
            <w:tcW w:w="960" w:type="dxa"/>
            <w:tcBorders>
              <w:top w:val="nil"/>
              <w:left w:val="single" w:sz="4" w:space="0" w:color="auto"/>
              <w:bottom w:val="nil"/>
              <w:right w:val="nil"/>
            </w:tcBorders>
            <w:shd w:val="clear" w:color="auto" w:fill="auto"/>
            <w:noWrap/>
            <w:vAlign w:val="bottom"/>
            <w:hideMark/>
          </w:tcPr>
          <w:p w14:paraId="029C200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4.9</w:t>
            </w:r>
          </w:p>
        </w:tc>
        <w:tc>
          <w:tcPr>
            <w:tcW w:w="960" w:type="dxa"/>
            <w:tcBorders>
              <w:top w:val="nil"/>
              <w:left w:val="nil"/>
              <w:bottom w:val="nil"/>
              <w:right w:val="nil"/>
            </w:tcBorders>
            <w:shd w:val="clear" w:color="auto" w:fill="auto"/>
            <w:noWrap/>
            <w:vAlign w:val="bottom"/>
            <w:hideMark/>
          </w:tcPr>
          <w:p w14:paraId="3A854CEA"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3.5</w:t>
            </w:r>
          </w:p>
        </w:tc>
        <w:tc>
          <w:tcPr>
            <w:tcW w:w="960" w:type="dxa"/>
            <w:tcBorders>
              <w:top w:val="nil"/>
              <w:left w:val="nil"/>
              <w:bottom w:val="nil"/>
              <w:right w:val="nil"/>
            </w:tcBorders>
            <w:vAlign w:val="bottom"/>
          </w:tcPr>
          <w:p w14:paraId="26E47278"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3.5</w:t>
            </w:r>
          </w:p>
        </w:tc>
      </w:tr>
      <w:tr w:rsidR="00593F44" w:rsidRPr="004A792A" w14:paraId="1537081D" w14:textId="77777777" w:rsidTr="006F1E0A">
        <w:tc>
          <w:tcPr>
            <w:tcW w:w="5290" w:type="dxa"/>
            <w:tcBorders>
              <w:top w:val="nil"/>
              <w:left w:val="nil"/>
              <w:bottom w:val="nil"/>
              <w:right w:val="single" w:sz="4" w:space="0" w:color="auto"/>
            </w:tcBorders>
            <w:shd w:val="clear" w:color="auto" w:fill="auto"/>
            <w:noWrap/>
            <w:vAlign w:val="bottom"/>
            <w:hideMark/>
          </w:tcPr>
          <w:p w14:paraId="4859984A"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22. Health professionals</w:t>
            </w:r>
          </w:p>
        </w:tc>
        <w:tc>
          <w:tcPr>
            <w:tcW w:w="960" w:type="dxa"/>
            <w:tcBorders>
              <w:top w:val="nil"/>
              <w:left w:val="single" w:sz="4" w:space="0" w:color="auto"/>
              <w:bottom w:val="nil"/>
              <w:right w:val="nil"/>
            </w:tcBorders>
            <w:shd w:val="clear" w:color="auto" w:fill="auto"/>
            <w:noWrap/>
            <w:vAlign w:val="bottom"/>
            <w:hideMark/>
          </w:tcPr>
          <w:p w14:paraId="30342B1F"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61.3</w:t>
            </w:r>
          </w:p>
        </w:tc>
        <w:tc>
          <w:tcPr>
            <w:tcW w:w="960" w:type="dxa"/>
            <w:tcBorders>
              <w:top w:val="nil"/>
              <w:left w:val="nil"/>
              <w:bottom w:val="nil"/>
              <w:right w:val="nil"/>
            </w:tcBorders>
            <w:shd w:val="clear" w:color="auto" w:fill="auto"/>
            <w:noWrap/>
            <w:vAlign w:val="bottom"/>
            <w:hideMark/>
          </w:tcPr>
          <w:p w14:paraId="5C670EBD"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68.6</w:t>
            </w:r>
          </w:p>
        </w:tc>
        <w:tc>
          <w:tcPr>
            <w:tcW w:w="960" w:type="dxa"/>
            <w:tcBorders>
              <w:top w:val="nil"/>
              <w:left w:val="nil"/>
              <w:bottom w:val="nil"/>
              <w:right w:val="single" w:sz="4" w:space="0" w:color="auto"/>
            </w:tcBorders>
            <w:shd w:val="clear" w:color="auto" w:fill="auto"/>
            <w:noWrap/>
            <w:vAlign w:val="bottom"/>
            <w:hideMark/>
          </w:tcPr>
          <w:p w14:paraId="78AD57A0"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58.6</w:t>
            </w:r>
          </w:p>
        </w:tc>
        <w:tc>
          <w:tcPr>
            <w:tcW w:w="960" w:type="dxa"/>
            <w:tcBorders>
              <w:top w:val="nil"/>
              <w:left w:val="single" w:sz="4" w:space="0" w:color="auto"/>
              <w:bottom w:val="nil"/>
              <w:right w:val="nil"/>
            </w:tcBorders>
            <w:shd w:val="clear" w:color="auto" w:fill="auto"/>
            <w:noWrap/>
            <w:vAlign w:val="bottom"/>
            <w:hideMark/>
          </w:tcPr>
          <w:p w14:paraId="2D0795B4"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6.7</w:t>
            </w:r>
          </w:p>
        </w:tc>
        <w:tc>
          <w:tcPr>
            <w:tcW w:w="960" w:type="dxa"/>
            <w:tcBorders>
              <w:top w:val="nil"/>
              <w:left w:val="nil"/>
              <w:bottom w:val="nil"/>
              <w:right w:val="nil"/>
            </w:tcBorders>
            <w:shd w:val="clear" w:color="auto" w:fill="auto"/>
            <w:noWrap/>
            <w:vAlign w:val="bottom"/>
            <w:hideMark/>
          </w:tcPr>
          <w:p w14:paraId="1706E88B"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5.0</w:t>
            </w:r>
          </w:p>
        </w:tc>
        <w:tc>
          <w:tcPr>
            <w:tcW w:w="960" w:type="dxa"/>
            <w:tcBorders>
              <w:top w:val="nil"/>
              <w:left w:val="nil"/>
              <w:bottom w:val="nil"/>
              <w:right w:val="single" w:sz="4" w:space="0" w:color="auto"/>
            </w:tcBorders>
            <w:shd w:val="clear" w:color="auto" w:fill="auto"/>
            <w:noWrap/>
            <w:vAlign w:val="bottom"/>
            <w:hideMark/>
          </w:tcPr>
          <w:p w14:paraId="7F13E14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6.3</w:t>
            </w:r>
          </w:p>
        </w:tc>
        <w:tc>
          <w:tcPr>
            <w:tcW w:w="960" w:type="dxa"/>
            <w:tcBorders>
              <w:top w:val="nil"/>
              <w:left w:val="single" w:sz="4" w:space="0" w:color="auto"/>
              <w:bottom w:val="nil"/>
              <w:right w:val="nil"/>
            </w:tcBorders>
            <w:shd w:val="clear" w:color="auto" w:fill="auto"/>
            <w:noWrap/>
            <w:vAlign w:val="bottom"/>
            <w:hideMark/>
          </w:tcPr>
          <w:p w14:paraId="38B65741"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8.5</w:t>
            </w:r>
          </w:p>
        </w:tc>
        <w:tc>
          <w:tcPr>
            <w:tcW w:w="960" w:type="dxa"/>
            <w:tcBorders>
              <w:top w:val="nil"/>
              <w:left w:val="nil"/>
              <w:bottom w:val="nil"/>
              <w:right w:val="nil"/>
            </w:tcBorders>
            <w:shd w:val="clear" w:color="auto" w:fill="auto"/>
            <w:noWrap/>
            <w:vAlign w:val="bottom"/>
            <w:hideMark/>
          </w:tcPr>
          <w:p w14:paraId="463E3932"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8.6</w:t>
            </w:r>
          </w:p>
        </w:tc>
        <w:tc>
          <w:tcPr>
            <w:tcW w:w="960" w:type="dxa"/>
            <w:tcBorders>
              <w:top w:val="nil"/>
              <w:left w:val="nil"/>
              <w:bottom w:val="nil"/>
              <w:right w:val="nil"/>
            </w:tcBorders>
            <w:vAlign w:val="bottom"/>
          </w:tcPr>
          <w:p w14:paraId="5C25122C"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6.8</w:t>
            </w:r>
          </w:p>
        </w:tc>
      </w:tr>
      <w:tr w:rsidR="00593F44" w:rsidRPr="004A792A" w14:paraId="456BC9F4" w14:textId="77777777" w:rsidTr="006F1E0A">
        <w:tc>
          <w:tcPr>
            <w:tcW w:w="5290" w:type="dxa"/>
            <w:tcBorders>
              <w:top w:val="nil"/>
              <w:left w:val="nil"/>
              <w:bottom w:val="nil"/>
              <w:right w:val="single" w:sz="4" w:space="0" w:color="auto"/>
            </w:tcBorders>
            <w:shd w:val="clear" w:color="auto" w:fill="auto"/>
            <w:noWrap/>
            <w:vAlign w:val="bottom"/>
            <w:hideMark/>
          </w:tcPr>
          <w:p w14:paraId="7B3F0A1D"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26. Legal, social and cultural professionals</w:t>
            </w:r>
          </w:p>
        </w:tc>
        <w:tc>
          <w:tcPr>
            <w:tcW w:w="960" w:type="dxa"/>
            <w:tcBorders>
              <w:top w:val="nil"/>
              <w:left w:val="single" w:sz="4" w:space="0" w:color="auto"/>
              <w:bottom w:val="nil"/>
              <w:right w:val="nil"/>
            </w:tcBorders>
            <w:shd w:val="clear" w:color="auto" w:fill="auto"/>
            <w:noWrap/>
            <w:vAlign w:val="bottom"/>
            <w:hideMark/>
          </w:tcPr>
          <w:p w14:paraId="3C73E29C"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50.7</w:t>
            </w:r>
          </w:p>
        </w:tc>
        <w:tc>
          <w:tcPr>
            <w:tcW w:w="960" w:type="dxa"/>
            <w:tcBorders>
              <w:top w:val="nil"/>
              <w:left w:val="nil"/>
              <w:bottom w:val="nil"/>
              <w:right w:val="nil"/>
            </w:tcBorders>
            <w:shd w:val="clear" w:color="auto" w:fill="auto"/>
            <w:noWrap/>
            <w:vAlign w:val="bottom"/>
            <w:hideMark/>
          </w:tcPr>
          <w:p w14:paraId="44C9600D"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50.7</w:t>
            </w:r>
          </w:p>
        </w:tc>
        <w:tc>
          <w:tcPr>
            <w:tcW w:w="960" w:type="dxa"/>
            <w:tcBorders>
              <w:top w:val="nil"/>
              <w:left w:val="nil"/>
              <w:bottom w:val="nil"/>
              <w:right w:val="single" w:sz="4" w:space="0" w:color="auto"/>
            </w:tcBorders>
            <w:shd w:val="clear" w:color="auto" w:fill="auto"/>
            <w:noWrap/>
            <w:vAlign w:val="bottom"/>
            <w:hideMark/>
          </w:tcPr>
          <w:p w14:paraId="7C76A358"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52.0</w:t>
            </w:r>
          </w:p>
        </w:tc>
        <w:tc>
          <w:tcPr>
            <w:tcW w:w="960" w:type="dxa"/>
            <w:tcBorders>
              <w:top w:val="nil"/>
              <w:left w:val="single" w:sz="4" w:space="0" w:color="auto"/>
              <w:bottom w:val="nil"/>
              <w:right w:val="nil"/>
            </w:tcBorders>
            <w:shd w:val="clear" w:color="auto" w:fill="auto"/>
            <w:noWrap/>
            <w:vAlign w:val="bottom"/>
            <w:hideMark/>
          </w:tcPr>
          <w:p w14:paraId="6E6551E4"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15.5</w:t>
            </w:r>
          </w:p>
        </w:tc>
        <w:tc>
          <w:tcPr>
            <w:tcW w:w="960" w:type="dxa"/>
            <w:tcBorders>
              <w:top w:val="nil"/>
              <w:left w:val="nil"/>
              <w:bottom w:val="nil"/>
              <w:right w:val="nil"/>
            </w:tcBorders>
            <w:shd w:val="clear" w:color="auto" w:fill="auto"/>
            <w:noWrap/>
            <w:vAlign w:val="bottom"/>
            <w:hideMark/>
          </w:tcPr>
          <w:p w14:paraId="40037976"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23.3</w:t>
            </w:r>
          </w:p>
        </w:tc>
        <w:tc>
          <w:tcPr>
            <w:tcW w:w="960" w:type="dxa"/>
            <w:tcBorders>
              <w:top w:val="nil"/>
              <w:left w:val="nil"/>
              <w:bottom w:val="nil"/>
              <w:right w:val="single" w:sz="4" w:space="0" w:color="auto"/>
            </w:tcBorders>
            <w:shd w:val="clear" w:color="auto" w:fill="auto"/>
            <w:noWrap/>
            <w:vAlign w:val="bottom"/>
            <w:hideMark/>
          </w:tcPr>
          <w:p w14:paraId="6057716B"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22.9</w:t>
            </w:r>
          </w:p>
        </w:tc>
        <w:tc>
          <w:tcPr>
            <w:tcW w:w="960" w:type="dxa"/>
            <w:tcBorders>
              <w:top w:val="nil"/>
              <w:left w:val="single" w:sz="4" w:space="0" w:color="auto"/>
              <w:bottom w:val="nil"/>
              <w:right w:val="nil"/>
            </w:tcBorders>
            <w:shd w:val="clear" w:color="auto" w:fill="auto"/>
            <w:noWrap/>
            <w:vAlign w:val="bottom"/>
            <w:hideMark/>
          </w:tcPr>
          <w:p w14:paraId="15A6EFA3"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12.8</w:t>
            </w:r>
          </w:p>
        </w:tc>
        <w:tc>
          <w:tcPr>
            <w:tcW w:w="960" w:type="dxa"/>
            <w:tcBorders>
              <w:top w:val="nil"/>
              <w:left w:val="nil"/>
              <w:bottom w:val="nil"/>
              <w:right w:val="nil"/>
            </w:tcBorders>
            <w:shd w:val="clear" w:color="auto" w:fill="auto"/>
            <w:noWrap/>
            <w:vAlign w:val="bottom"/>
            <w:hideMark/>
          </w:tcPr>
          <w:p w14:paraId="40440AEB"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18.8</w:t>
            </w:r>
          </w:p>
        </w:tc>
        <w:tc>
          <w:tcPr>
            <w:tcW w:w="960" w:type="dxa"/>
            <w:tcBorders>
              <w:top w:val="nil"/>
              <w:left w:val="nil"/>
              <w:bottom w:val="nil"/>
              <w:right w:val="nil"/>
            </w:tcBorders>
            <w:vAlign w:val="bottom"/>
          </w:tcPr>
          <w:p w14:paraId="0D63B6E3"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18.7</w:t>
            </w:r>
          </w:p>
        </w:tc>
      </w:tr>
      <w:tr w:rsidR="00593F44" w:rsidRPr="004A792A" w14:paraId="37D8CFA1" w14:textId="77777777" w:rsidTr="006F1E0A">
        <w:tc>
          <w:tcPr>
            <w:tcW w:w="5290" w:type="dxa"/>
            <w:tcBorders>
              <w:top w:val="nil"/>
              <w:left w:val="nil"/>
              <w:bottom w:val="nil"/>
              <w:right w:val="single" w:sz="4" w:space="0" w:color="auto"/>
            </w:tcBorders>
            <w:shd w:val="clear" w:color="auto" w:fill="auto"/>
            <w:noWrap/>
            <w:vAlign w:val="bottom"/>
            <w:hideMark/>
          </w:tcPr>
          <w:p w14:paraId="532F64EA"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14. Hospitality, retail and other services managers</w:t>
            </w:r>
          </w:p>
        </w:tc>
        <w:tc>
          <w:tcPr>
            <w:tcW w:w="960" w:type="dxa"/>
            <w:tcBorders>
              <w:top w:val="nil"/>
              <w:left w:val="single" w:sz="4" w:space="0" w:color="auto"/>
              <w:bottom w:val="nil"/>
              <w:right w:val="nil"/>
            </w:tcBorders>
            <w:shd w:val="clear" w:color="auto" w:fill="auto"/>
            <w:noWrap/>
            <w:vAlign w:val="bottom"/>
            <w:hideMark/>
          </w:tcPr>
          <w:p w14:paraId="5C3F4597"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29.5</w:t>
            </w:r>
          </w:p>
        </w:tc>
        <w:tc>
          <w:tcPr>
            <w:tcW w:w="960" w:type="dxa"/>
            <w:tcBorders>
              <w:top w:val="nil"/>
              <w:left w:val="nil"/>
              <w:bottom w:val="nil"/>
              <w:right w:val="nil"/>
            </w:tcBorders>
            <w:shd w:val="clear" w:color="auto" w:fill="auto"/>
            <w:noWrap/>
            <w:vAlign w:val="bottom"/>
            <w:hideMark/>
          </w:tcPr>
          <w:p w14:paraId="025D90DE"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33.0</w:t>
            </w:r>
          </w:p>
        </w:tc>
        <w:tc>
          <w:tcPr>
            <w:tcW w:w="960" w:type="dxa"/>
            <w:tcBorders>
              <w:top w:val="nil"/>
              <w:left w:val="nil"/>
              <w:bottom w:val="nil"/>
              <w:right w:val="single" w:sz="4" w:space="0" w:color="auto"/>
            </w:tcBorders>
            <w:shd w:val="clear" w:color="auto" w:fill="auto"/>
            <w:noWrap/>
            <w:vAlign w:val="bottom"/>
            <w:hideMark/>
          </w:tcPr>
          <w:p w14:paraId="5A8B5469"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45.1</w:t>
            </w:r>
          </w:p>
        </w:tc>
        <w:tc>
          <w:tcPr>
            <w:tcW w:w="960" w:type="dxa"/>
            <w:tcBorders>
              <w:top w:val="nil"/>
              <w:left w:val="single" w:sz="4" w:space="0" w:color="auto"/>
              <w:bottom w:val="nil"/>
              <w:right w:val="nil"/>
            </w:tcBorders>
            <w:shd w:val="clear" w:color="auto" w:fill="auto"/>
            <w:noWrap/>
            <w:vAlign w:val="bottom"/>
            <w:hideMark/>
          </w:tcPr>
          <w:p w14:paraId="2E32301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7.2</w:t>
            </w:r>
          </w:p>
        </w:tc>
        <w:tc>
          <w:tcPr>
            <w:tcW w:w="960" w:type="dxa"/>
            <w:tcBorders>
              <w:top w:val="nil"/>
              <w:left w:val="nil"/>
              <w:bottom w:val="nil"/>
              <w:right w:val="nil"/>
            </w:tcBorders>
            <w:shd w:val="clear" w:color="auto" w:fill="auto"/>
            <w:noWrap/>
            <w:vAlign w:val="bottom"/>
            <w:hideMark/>
          </w:tcPr>
          <w:p w14:paraId="566BBB12"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5.7</w:t>
            </w:r>
          </w:p>
        </w:tc>
        <w:tc>
          <w:tcPr>
            <w:tcW w:w="960" w:type="dxa"/>
            <w:tcBorders>
              <w:top w:val="nil"/>
              <w:left w:val="nil"/>
              <w:bottom w:val="nil"/>
              <w:right w:val="single" w:sz="4" w:space="0" w:color="auto"/>
            </w:tcBorders>
            <w:shd w:val="clear" w:color="auto" w:fill="auto"/>
            <w:noWrap/>
            <w:vAlign w:val="bottom"/>
            <w:hideMark/>
          </w:tcPr>
          <w:p w14:paraId="7DF47DC6"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6.4</w:t>
            </w:r>
          </w:p>
        </w:tc>
        <w:tc>
          <w:tcPr>
            <w:tcW w:w="960" w:type="dxa"/>
            <w:tcBorders>
              <w:top w:val="nil"/>
              <w:left w:val="single" w:sz="4" w:space="0" w:color="auto"/>
              <w:bottom w:val="nil"/>
              <w:right w:val="nil"/>
            </w:tcBorders>
            <w:shd w:val="clear" w:color="auto" w:fill="auto"/>
            <w:noWrap/>
            <w:vAlign w:val="bottom"/>
            <w:hideMark/>
          </w:tcPr>
          <w:p w14:paraId="278A05C6"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2.4</w:t>
            </w:r>
          </w:p>
        </w:tc>
        <w:tc>
          <w:tcPr>
            <w:tcW w:w="960" w:type="dxa"/>
            <w:tcBorders>
              <w:top w:val="nil"/>
              <w:left w:val="nil"/>
              <w:bottom w:val="nil"/>
              <w:right w:val="nil"/>
            </w:tcBorders>
            <w:shd w:val="clear" w:color="auto" w:fill="auto"/>
            <w:noWrap/>
            <w:vAlign w:val="bottom"/>
            <w:hideMark/>
          </w:tcPr>
          <w:p w14:paraId="750C45AF"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2.2</w:t>
            </w:r>
          </w:p>
        </w:tc>
        <w:tc>
          <w:tcPr>
            <w:tcW w:w="960" w:type="dxa"/>
            <w:tcBorders>
              <w:top w:val="nil"/>
              <w:left w:val="nil"/>
              <w:bottom w:val="nil"/>
              <w:right w:val="nil"/>
            </w:tcBorders>
            <w:vAlign w:val="bottom"/>
          </w:tcPr>
          <w:p w14:paraId="72DA32B9"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4.0</w:t>
            </w:r>
          </w:p>
        </w:tc>
      </w:tr>
      <w:tr w:rsidR="00593F44" w:rsidRPr="004A792A" w14:paraId="5E06CC2A" w14:textId="77777777" w:rsidTr="006F1E0A">
        <w:tc>
          <w:tcPr>
            <w:tcW w:w="5290" w:type="dxa"/>
            <w:tcBorders>
              <w:top w:val="nil"/>
              <w:left w:val="nil"/>
              <w:bottom w:val="nil"/>
              <w:right w:val="single" w:sz="4" w:space="0" w:color="auto"/>
            </w:tcBorders>
            <w:shd w:val="clear" w:color="auto" w:fill="auto"/>
            <w:noWrap/>
            <w:vAlign w:val="bottom"/>
            <w:hideMark/>
          </w:tcPr>
          <w:p w14:paraId="13A22709"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 xml:space="preserve">13. Production and </w:t>
            </w:r>
            <w:proofErr w:type="spellStart"/>
            <w:r w:rsidRPr="004A792A">
              <w:rPr>
                <w:rFonts w:ascii="Calibri" w:eastAsia="Times New Roman" w:hAnsi="Calibri" w:cs="Calibri"/>
                <w:sz w:val="20"/>
                <w:szCs w:val="20"/>
                <w:lang w:val="en-US"/>
              </w:rPr>
              <w:t>specialised</w:t>
            </w:r>
            <w:proofErr w:type="spellEnd"/>
            <w:r w:rsidRPr="004A792A">
              <w:rPr>
                <w:rFonts w:ascii="Calibri" w:eastAsia="Times New Roman" w:hAnsi="Calibri" w:cs="Calibri"/>
                <w:sz w:val="20"/>
                <w:szCs w:val="20"/>
                <w:lang w:val="en-US"/>
              </w:rPr>
              <w:t xml:space="preserve"> services managers</w:t>
            </w:r>
          </w:p>
        </w:tc>
        <w:tc>
          <w:tcPr>
            <w:tcW w:w="960" w:type="dxa"/>
            <w:tcBorders>
              <w:top w:val="nil"/>
              <w:left w:val="single" w:sz="4" w:space="0" w:color="auto"/>
              <w:bottom w:val="nil"/>
              <w:right w:val="nil"/>
            </w:tcBorders>
            <w:shd w:val="clear" w:color="auto" w:fill="auto"/>
            <w:noWrap/>
            <w:vAlign w:val="bottom"/>
            <w:hideMark/>
          </w:tcPr>
          <w:p w14:paraId="4EC04C0D"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33.3</w:t>
            </w:r>
          </w:p>
        </w:tc>
        <w:tc>
          <w:tcPr>
            <w:tcW w:w="960" w:type="dxa"/>
            <w:tcBorders>
              <w:top w:val="nil"/>
              <w:left w:val="nil"/>
              <w:bottom w:val="nil"/>
              <w:right w:val="nil"/>
            </w:tcBorders>
            <w:shd w:val="clear" w:color="auto" w:fill="auto"/>
            <w:noWrap/>
            <w:vAlign w:val="bottom"/>
            <w:hideMark/>
          </w:tcPr>
          <w:p w14:paraId="42326903"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38.1</w:t>
            </w:r>
          </w:p>
        </w:tc>
        <w:tc>
          <w:tcPr>
            <w:tcW w:w="960" w:type="dxa"/>
            <w:tcBorders>
              <w:top w:val="nil"/>
              <w:left w:val="nil"/>
              <w:bottom w:val="nil"/>
              <w:right w:val="single" w:sz="4" w:space="0" w:color="auto"/>
            </w:tcBorders>
            <w:shd w:val="clear" w:color="auto" w:fill="auto"/>
            <w:noWrap/>
            <w:vAlign w:val="bottom"/>
            <w:hideMark/>
          </w:tcPr>
          <w:p w14:paraId="22F36D36"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40.5</w:t>
            </w:r>
          </w:p>
        </w:tc>
        <w:tc>
          <w:tcPr>
            <w:tcW w:w="960" w:type="dxa"/>
            <w:tcBorders>
              <w:top w:val="nil"/>
              <w:left w:val="single" w:sz="4" w:space="0" w:color="auto"/>
              <w:bottom w:val="nil"/>
              <w:right w:val="nil"/>
            </w:tcBorders>
            <w:shd w:val="clear" w:color="auto" w:fill="auto"/>
            <w:noWrap/>
            <w:vAlign w:val="bottom"/>
            <w:hideMark/>
          </w:tcPr>
          <w:p w14:paraId="6FB1714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5.6</w:t>
            </w:r>
          </w:p>
        </w:tc>
        <w:tc>
          <w:tcPr>
            <w:tcW w:w="960" w:type="dxa"/>
            <w:tcBorders>
              <w:top w:val="nil"/>
              <w:left w:val="nil"/>
              <w:bottom w:val="nil"/>
              <w:right w:val="nil"/>
            </w:tcBorders>
            <w:shd w:val="clear" w:color="auto" w:fill="auto"/>
            <w:noWrap/>
            <w:vAlign w:val="bottom"/>
            <w:hideMark/>
          </w:tcPr>
          <w:p w14:paraId="0553A7A2"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5.5</w:t>
            </w:r>
          </w:p>
        </w:tc>
        <w:tc>
          <w:tcPr>
            <w:tcW w:w="960" w:type="dxa"/>
            <w:tcBorders>
              <w:top w:val="nil"/>
              <w:left w:val="nil"/>
              <w:bottom w:val="nil"/>
              <w:right w:val="single" w:sz="4" w:space="0" w:color="auto"/>
            </w:tcBorders>
            <w:shd w:val="clear" w:color="auto" w:fill="auto"/>
            <w:noWrap/>
            <w:vAlign w:val="bottom"/>
            <w:hideMark/>
          </w:tcPr>
          <w:p w14:paraId="7552A89F"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6.8</w:t>
            </w:r>
          </w:p>
        </w:tc>
        <w:tc>
          <w:tcPr>
            <w:tcW w:w="960" w:type="dxa"/>
            <w:tcBorders>
              <w:top w:val="nil"/>
              <w:left w:val="single" w:sz="4" w:space="0" w:color="auto"/>
              <w:bottom w:val="nil"/>
              <w:right w:val="nil"/>
            </w:tcBorders>
            <w:shd w:val="clear" w:color="auto" w:fill="auto"/>
            <w:noWrap/>
            <w:vAlign w:val="bottom"/>
            <w:hideMark/>
          </w:tcPr>
          <w:p w14:paraId="7F1BD37E"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2.3</w:t>
            </w:r>
          </w:p>
        </w:tc>
        <w:tc>
          <w:tcPr>
            <w:tcW w:w="960" w:type="dxa"/>
            <w:tcBorders>
              <w:top w:val="nil"/>
              <w:left w:val="nil"/>
              <w:bottom w:val="nil"/>
              <w:right w:val="nil"/>
            </w:tcBorders>
            <w:shd w:val="clear" w:color="auto" w:fill="auto"/>
            <w:noWrap/>
            <w:vAlign w:val="bottom"/>
            <w:hideMark/>
          </w:tcPr>
          <w:p w14:paraId="698D932A"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2.6</w:t>
            </w:r>
          </w:p>
        </w:tc>
        <w:tc>
          <w:tcPr>
            <w:tcW w:w="960" w:type="dxa"/>
            <w:tcBorders>
              <w:top w:val="nil"/>
              <w:left w:val="nil"/>
              <w:bottom w:val="nil"/>
              <w:right w:val="nil"/>
            </w:tcBorders>
            <w:vAlign w:val="bottom"/>
          </w:tcPr>
          <w:p w14:paraId="77539EFA"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3.5</w:t>
            </w:r>
          </w:p>
        </w:tc>
      </w:tr>
      <w:tr w:rsidR="00593F44" w:rsidRPr="004A792A" w14:paraId="7032211F" w14:textId="77777777" w:rsidTr="006F1E0A">
        <w:tc>
          <w:tcPr>
            <w:tcW w:w="5290" w:type="dxa"/>
            <w:tcBorders>
              <w:top w:val="nil"/>
              <w:left w:val="nil"/>
              <w:bottom w:val="nil"/>
              <w:right w:val="single" w:sz="4" w:space="0" w:color="auto"/>
            </w:tcBorders>
            <w:shd w:val="clear" w:color="auto" w:fill="auto"/>
            <w:noWrap/>
            <w:vAlign w:val="bottom"/>
            <w:hideMark/>
          </w:tcPr>
          <w:p w14:paraId="45D33E1A"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11. Chief executives, senior officials and legislators</w:t>
            </w:r>
          </w:p>
        </w:tc>
        <w:tc>
          <w:tcPr>
            <w:tcW w:w="960" w:type="dxa"/>
            <w:tcBorders>
              <w:top w:val="nil"/>
              <w:left w:val="single" w:sz="4" w:space="0" w:color="auto"/>
              <w:bottom w:val="nil"/>
              <w:right w:val="nil"/>
            </w:tcBorders>
            <w:shd w:val="clear" w:color="auto" w:fill="auto"/>
            <w:noWrap/>
            <w:vAlign w:val="bottom"/>
            <w:hideMark/>
          </w:tcPr>
          <w:p w14:paraId="540232ED"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31.1</w:t>
            </w:r>
          </w:p>
        </w:tc>
        <w:tc>
          <w:tcPr>
            <w:tcW w:w="960" w:type="dxa"/>
            <w:tcBorders>
              <w:top w:val="nil"/>
              <w:left w:val="nil"/>
              <w:bottom w:val="nil"/>
              <w:right w:val="nil"/>
            </w:tcBorders>
            <w:shd w:val="clear" w:color="auto" w:fill="auto"/>
            <w:noWrap/>
            <w:vAlign w:val="bottom"/>
            <w:hideMark/>
          </w:tcPr>
          <w:p w14:paraId="736892E0"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47.7</w:t>
            </w:r>
          </w:p>
        </w:tc>
        <w:tc>
          <w:tcPr>
            <w:tcW w:w="960" w:type="dxa"/>
            <w:tcBorders>
              <w:top w:val="nil"/>
              <w:left w:val="nil"/>
              <w:bottom w:val="nil"/>
              <w:right w:val="single" w:sz="4" w:space="0" w:color="auto"/>
            </w:tcBorders>
            <w:shd w:val="clear" w:color="auto" w:fill="auto"/>
            <w:noWrap/>
            <w:vAlign w:val="bottom"/>
            <w:hideMark/>
          </w:tcPr>
          <w:p w14:paraId="0DD780FB"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39.4</w:t>
            </w:r>
          </w:p>
        </w:tc>
        <w:tc>
          <w:tcPr>
            <w:tcW w:w="960" w:type="dxa"/>
            <w:tcBorders>
              <w:top w:val="nil"/>
              <w:left w:val="single" w:sz="4" w:space="0" w:color="auto"/>
              <w:bottom w:val="nil"/>
              <w:right w:val="nil"/>
            </w:tcBorders>
            <w:shd w:val="clear" w:color="auto" w:fill="auto"/>
            <w:noWrap/>
            <w:vAlign w:val="bottom"/>
            <w:hideMark/>
          </w:tcPr>
          <w:p w14:paraId="1F7BDC5A"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2.2</w:t>
            </w:r>
          </w:p>
        </w:tc>
        <w:tc>
          <w:tcPr>
            <w:tcW w:w="960" w:type="dxa"/>
            <w:tcBorders>
              <w:top w:val="nil"/>
              <w:left w:val="nil"/>
              <w:bottom w:val="nil"/>
              <w:right w:val="nil"/>
            </w:tcBorders>
            <w:shd w:val="clear" w:color="auto" w:fill="auto"/>
            <w:noWrap/>
            <w:vAlign w:val="bottom"/>
            <w:hideMark/>
          </w:tcPr>
          <w:p w14:paraId="6DC120E4"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2.2</w:t>
            </w:r>
          </w:p>
        </w:tc>
        <w:tc>
          <w:tcPr>
            <w:tcW w:w="960" w:type="dxa"/>
            <w:tcBorders>
              <w:top w:val="nil"/>
              <w:left w:val="nil"/>
              <w:bottom w:val="nil"/>
              <w:right w:val="single" w:sz="4" w:space="0" w:color="auto"/>
            </w:tcBorders>
            <w:shd w:val="clear" w:color="auto" w:fill="auto"/>
            <w:noWrap/>
            <w:vAlign w:val="bottom"/>
            <w:hideMark/>
          </w:tcPr>
          <w:p w14:paraId="2517AD83"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2.9</w:t>
            </w:r>
          </w:p>
        </w:tc>
        <w:tc>
          <w:tcPr>
            <w:tcW w:w="960" w:type="dxa"/>
            <w:tcBorders>
              <w:top w:val="nil"/>
              <w:left w:val="single" w:sz="4" w:space="0" w:color="auto"/>
              <w:bottom w:val="nil"/>
              <w:right w:val="nil"/>
            </w:tcBorders>
            <w:shd w:val="clear" w:color="auto" w:fill="auto"/>
            <w:noWrap/>
            <w:vAlign w:val="bottom"/>
            <w:hideMark/>
          </w:tcPr>
          <w:p w14:paraId="1868369C"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0.8</w:t>
            </w:r>
          </w:p>
        </w:tc>
        <w:tc>
          <w:tcPr>
            <w:tcW w:w="960" w:type="dxa"/>
            <w:tcBorders>
              <w:top w:val="nil"/>
              <w:left w:val="nil"/>
              <w:bottom w:val="nil"/>
              <w:right w:val="nil"/>
            </w:tcBorders>
            <w:shd w:val="clear" w:color="auto" w:fill="auto"/>
            <w:noWrap/>
            <w:vAlign w:val="bottom"/>
            <w:hideMark/>
          </w:tcPr>
          <w:p w14:paraId="7103C51A"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1.6</w:t>
            </w:r>
          </w:p>
        </w:tc>
        <w:tc>
          <w:tcPr>
            <w:tcW w:w="960" w:type="dxa"/>
            <w:tcBorders>
              <w:top w:val="nil"/>
              <w:left w:val="nil"/>
              <w:bottom w:val="nil"/>
              <w:right w:val="nil"/>
            </w:tcBorders>
            <w:vAlign w:val="bottom"/>
          </w:tcPr>
          <w:p w14:paraId="38AD6CC2"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1.4</w:t>
            </w:r>
          </w:p>
        </w:tc>
      </w:tr>
      <w:tr w:rsidR="00593F44" w:rsidRPr="004A792A" w14:paraId="7CC83E5F" w14:textId="77777777" w:rsidTr="006F1E0A">
        <w:tc>
          <w:tcPr>
            <w:tcW w:w="5290" w:type="dxa"/>
            <w:tcBorders>
              <w:top w:val="nil"/>
              <w:left w:val="nil"/>
              <w:bottom w:val="nil"/>
              <w:right w:val="single" w:sz="4" w:space="0" w:color="auto"/>
            </w:tcBorders>
            <w:shd w:val="clear" w:color="auto" w:fill="auto"/>
            <w:noWrap/>
            <w:vAlign w:val="bottom"/>
            <w:hideMark/>
          </w:tcPr>
          <w:p w14:paraId="4E2D8983"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21. Science and engineering professionals</w:t>
            </w:r>
          </w:p>
        </w:tc>
        <w:tc>
          <w:tcPr>
            <w:tcW w:w="960" w:type="dxa"/>
            <w:tcBorders>
              <w:top w:val="nil"/>
              <w:left w:val="single" w:sz="4" w:space="0" w:color="auto"/>
              <w:bottom w:val="nil"/>
              <w:right w:val="nil"/>
            </w:tcBorders>
            <w:shd w:val="clear" w:color="auto" w:fill="auto"/>
            <w:noWrap/>
            <w:vAlign w:val="bottom"/>
            <w:hideMark/>
          </w:tcPr>
          <w:p w14:paraId="44014C1E"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30.1</w:t>
            </w:r>
          </w:p>
        </w:tc>
        <w:tc>
          <w:tcPr>
            <w:tcW w:w="960" w:type="dxa"/>
            <w:tcBorders>
              <w:top w:val="nil"/>
              <w:left w:val="nil"/>
              <w:bottom w:val="nil"/>
              <w:right w:val="nil"/>
            </w:tcBorders>
            <w:shd w:val="clear" w:color="auto" w:fill="auto"/>
            <w:noWrap/>
            <w:vAlign w:val="bottom"/>
            <w:hideMark/>
          </w:tcPr>
          <w:p w14:paraId="00D1F976"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31.0</w:t>
            </w:r>
          </w:p>
        </w:tc>
        <w:tc>
          <w:tcPr>
            <w:tcW w:w="960" w:type="dxa"/>
            <w:tcBorders>
              <w:top w:val="nil"/>
              <w:left w:val="nil"/>
              <w:bottom w:val="nil"/>
              <w:right w:val="single" w:sz="4" w:space="0" w:color="auto"/>
            </w:tcBorders>
            <w:shd w:val="clear" w:color="auto" w:fill="auto"/>
            <w:noWrap/>
            <w:vAlign w:val="bottom"/>
            <w:hideMark/>
          </w:tcPr>
          <w:p w14:paraId="125BE030"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31.6</w:t>
            </w:r>
          </w:p>
        </w:tc>
        <w:tc>
          <w:tcPr>
            <w:tcW w:w="960" w:type="dxa"/>
            <w:tcBorders>
              <w:top w:val="nil"/>
              <w:left w:val="single" w:sz="4" w:space="0" w:color="auto"/>
              <w:bottom w:val="nil"/>
              <w:right w:val="nil"/>
            </w:tcBorders>
            <w:shd w:val="clear" w:color="auto" w:fill="auto"/>
            <w:noWrap/>
            <w:vAlign w:val="bottom"/>
            <w:hideMark/>
          </w:tcPr>
          <w:p w14:paraId="69B44D61"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27.0</w:t>
            </w:r>
          </w:p>
        </w:tc>
        <w:tc>
          <w:tcPr>
            <w:tcW w:w="960" w:type="dxa"/>
            <w:tcBorders>
              <w:top w:val="nil"/>
              <w:left w:val="nil"/>
              <w:bottom w:val="nil"/>
              <w:right w:val="nil"/>
            </w:tcBorders>
            <w:shd w:val="clear" w:color="auto" w:fill="auto"/>
            <w:noWrap/>
            <w:vAlign w:val="bottom"/>
            <w:hideMark/>
          </w:tcPr>
          <w:p w14:paraId="45097391"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30.3</w:t>
            </w:r>
          </w:p>
        </w:tc>
        <w:tc>
          <w:tcPr>
            <w:tcW w:w="960" w:type="dxa"/>
            <w:tcBorders>
              <w:top w:val="nil"/>
              <w:left w:val="nil"/>
              <w:bottom w:val="nil"/>
              <w:right w:val="single" w:sz="4" w:space="0" w:color="auto"/>
            </w:tcBorders>
            <w:shd w:val="clear" w:color="auto" w:fill="auto"/>
            <w:noWrap/>
            <w:vAlign w:val="bottom"/>
            <w:hideMark/>
          </w:tcPr>
          <w:p w14:paraId="16A3646F"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26.5</w:t>
            </w:r>
          </w:p>
        </w:tc>
        <w:tc>
          <w:tcPr>
            <w:tcW w:w="960" w:type="dxa"/>
            <w:tcBorders>
              <w:top w:val="nil"/>
              <w:left w:val="single" w:sz="4" w:space="0" w:color="auto"/>
              <w:bottom w:val="nil"/>
              <w:right w:val="nil"/>
            </w:tcBorders>
            <w:shd w:val="clear" w:color="auto" w:fill="auto"/>
            <w:noWrap/>
            <w:vAlign w:val="bottom"/>
            <w:hideMark/>
          </w:tcPr>
          <w:p w14:paraId="1550B93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9.4</w:t>
            </w:r>
          </w:p>
        </w:tc>
        <w:tc>
          <w:tcPr>
            <w:tcW w:w="960" w:type="dxa"/>
            <w:tcBorders>
              <w:top w:val="nil"/>
              <w:left w:val="nil"/>
              <w:bottom w:val="nil"/>
              <w:right w:val="nil"/>
            </w:tcBorders>
            <w:shd w:val="clear" w:color="auto" w:fill="auto"/>
            <w:noWrap/>
            <w:vAlign w:val="bottom"/>
            <w:hideMark/>
          </w:tcPr>
          <w:p w14:paraId="54DF1481"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10.7</w:t>
            </w:r>
          </w:p>
        </w:tc>
        <w:tc>
          <w:tcPr>
            <w:tcW w:w="960" w:type="dxa"/>
            <w:tcBorders>
              <w:top w:val="nil"/>
              <w:left w:val="nil"/>
              <w:bottom w:val="nil"/>
              <w:right w:val="nil"/>
            </w:tcBorders>
            <w:vAlign w:val="bottom"/>
          </w:tcPr>
          <w:p w14:paraId="0D226D50"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9.2</w:t>
            </w:r>
          </w:p>
        </w:tc>
      </w:tr>
      <w:tr w:rsidR="00593F44" w:rsidRPr="004A792A" w14:paraId="162A0A51" w14:textId="77777777" w:rsidTr="006F1E0A">
        <w:tc>
          <w:tcPr>
            <w:tcW w:w="5290" w:type="dxa"/>
            <w:tcBorders>
              <w:top w:val="nil"/>
              <w:left w:val="nil"/>
              <w:right w:val="single" w:sz="4" w:space="0" w:color="auto"/>
            </w:tcBorders>
            <w:shd w:val="clear" w:color="auto" w:fill="auto"/>
            <w:noWrap/>
            <w:vAlign w:val="bottom"/>
            <w:hideMark/>
          </w:tcPr>
          <w:p w14:paraId="290DB813" w14:textId="77777777" w:rsidR="00593F44" w:rsidRPr="004A792A" w:rsidRDefault="00593F44" w:rsidP="00593F44">
            <w:pPr>
              <w:spacing w:before="0"/>
              <w:rPr>
                <w:rFonts w:ascii="Calibri" w:eastAsia="Times New Roman" w:hAnsi="Calibri" w:cs="Calibri"/>
                <w:sz w:val="20"/>
                <w:szCs w:val="20"/>
                <w:lang w:val="en-US"/>
              </w:rPr>
            </w:pPr>
            <w:r w:rsidRPr="004A792A">
              <w:rPr>
                <w:rFonts w:ascii="Calibri" w:eastAsia="Times New Roman" w:hAnsi="Calibri" w:cs="Calibri"/>
                <w:sz w:val="20"/>
                <w:szCs w:val="20"/>
                <w:lang w:val="en-US"/>
              </w:rPr>
              <w:t>25. Information and communications technology professionals</w:t>
            </w:r>
          </w:p>
        </w:tc>
        <w:tc>
          <w:tcPr>
            <w:tcW w:w="960" w:type="dxa"/>
            <w:tcBorders>
              <w:top w:val="nil"/>
              <w:left w:val="single" w:sz="4" w:space="0" w:color="auto"/>
              <w:right w:val="nil"/>
            </w:tcBorders>
            <w:shd w:val="clear" w:color="auto" w:fill="auto"/>
            <w:noWrap/>
            <w:vAlign w:val="bottom"/>
            <w:hideMark/>
          </w:tcPr>
          <w:p w14:paraId="0E5B8A98"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16.7</w:t>
            </w:r>
          </w:p>
        </w:tc>
        <w:tc>
          <w:tcPr>
            <w:tcW w:w="960" w:type="dxa"/>
            <w:tcBorders>
              <w:top w:val="nil"/>
              <w:left w:val="nil"/>
              <w:right w:val="nil"/>
            </w:tcBorders>
            <w:shd w:val="clear" w:color="auto" w:fill="auto"/>
            <w:noWrap/>
            <w:vAlign w:val="bottom"/>
            <w:hideMark/>
          </w:tcPr>
          <w:p w14:paraId="68E0ACF4"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23.5</w:t>
            </w:r>
          </w:p>
        </w:tc>
        <w:tc>
          <w:tcPr>
            <w:tcW w:w="960" w:type="dxa"/>
            <w:tcBorders>
              <w:top w:val="nil"/>
              <w:left w:val="nil"/>
              <w:right w:val="single" w:sz="4" w:space="0" w:color="auto"/>
            </w:tcBorders>
            <w:shd w:val="clear" w:color="auto" w:fill="auto"/>
            <w:noWrap/>
            <w:vAlign w:val="bottom"/>
            <w:hideMark/>
          </w:tcPr>
          <w:p w14:paraId="0E57EE47" w14:textId="77777777" w:rsidR="00593F44" w:rsidRPr="004A792A" w:rsidRDefault="00593F44" w:rsidP="00593F44">
            <w:pPr>
              <w:spacing w:before="0"/>
              <w:jc w:val="center"/>
              <w:rPr>
                <w:rFonts w:ascii="Calibri" w:eastAsia="Times New Roman" w:hAnsi="Calibri" w:cs="Calibri"/>
                <w:sz w:val="20"/>
                <w:szCs w:val="20"/>
                <w:lang w:val="en-US"/>
              </w:rPr>
            </w:pPr>
            <w:r w:rsidRPr="004A792A">
              <w:rPr>
                <w:rFonts w:ascii="Calibri" w:eastAsia="Times New Roman" w:hAnsi="Calibri" w:cs="Calibri"/>
                <w:sz w:val="20"/>
                <w:szCs w:val="20"/>
                <w:lang w:val="en-US"/>
              </w:rPr>
              <w:t>27.3</w:t>
            </w:r>
          </w:p>
        </w:tc>
        <w:tc>
          <w:tcPr>
            <w:tcW w:w="960" w:type="dxa"/>
            <w:tcBorders>
              <w:top w:val="nil"/>
              <w:left w:val="single" w:sz="4" w:space="0" w:color="auto"/>
              <w:right w:val="nil"/>
            </w:tcBorders>
            <w:shd w:val="clear" w:color="auto" w:fill="auto"/>
            <w:noWrap/>
            <w:vAlign w:val="bottom"/>
            <w:hideMark/>
          </w:tcPr>
          <w:p w14:paraId="5E5CC0E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5.1</w:t>
            </w:r>
          </w:p>
        </w:tc>
        <w:tc>
          <w:tcPr>
            <w:tcW w:w="960" w:type="dxa"/>
            <w:tcBorders>
              <w:top w:val="nil"/>
              <w:left w:val="nil"/>
              <w:right w:val="nil"/>
            </w:tcBorders>
            <w:shd w:val="clear" w:color="auto" w:fill="auto"/>
            <w:noWrap/>
            <w:vAlign w:val="bottom"/>
            <w:hideMark/>
          </w:tcPr>
          <w:p w14:paraId="27615714"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4.1</w:t>
            </w:r>
          </w:p>
        </w:tc>
        <w:tc>
          <w:tcPr>
            <w:tcW w:w="960" w:type="dxa"/>
            <w:tcBorders>
              <w:top w:val="nil"/>
              <w:left w:val="nil"/>
              <w:right w:val="single" w:sz="4" w:space="0" w:color="auto"/>
            </w:tcBorders>
            <w:shd w:val="clear" w:color="auto" w:fill="auto"/>
            <w:noWrap/>
            <w:vAlign w:val="bottom"/>
            <w:hideMark/>
          </w:tcPr>
          <w:p w14:paraId="5C566917"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5.7</w:t>
            </w:r>
          </w:p>
        </w:tc>
        <w:tc>
          <w:tcPr>
            <w:tcW w:w="960" w:type="dxa"/>
            <w:tcBorders>
              <w:top w:val="nil"/>
              <w:left w:val="single" w:sz="4" w:space="0" w:color="auto"/>
              <w:right w:val="nil"/>
            </w:tcBorders>
            <w:shd w:val="clear" w:color="auto" w:fill="auto"/>
            <w:noWrap/>
            <w:vAlign w:val="bottom"/>
            <w:hideMark/>
          </w:tcPr>
          <w:p w14:paraId="7A0A747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0.8</w:t>
            </w:r>
          </w:p>
        </w:tc>
        <w:tc>
          <w:tcPr>
            <w:tcW w:w="960" w:type="dxa"/>
            <w:tcBorders>
              <w:top w:val="nil"/>
              <w:left w:val="nil"/>
              <w:right w:val="nil"/>
            </w:tcBorders>
            <w:shd w:val="clear" w:color="auto" w:fill="auto"/>
            <w:noWrap/>
            <w:vAlign w:val="bottom"/>
            <w:hideMark/>
          </w:tcPr>
          <w:p w14:paraId="7E23D724"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1.0</w:t>
            </w:r>
          </w:p>
        </w:tc>
        <w:tc>
          <w:tcPr>
            <w:tcW w:w="960" w:type="dxa"/>
            <w:tcBorders>
              <w:top w:val="nil"/>
              <w:left w:val="nil"/>
              <w:right w:val="nil"/>
            </w:tcBorders>
            <w:vAlign w:val="bottom"/>
          </w:tcPr>
          <w:p w14:paraId="40018A79"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1.6</w:t>
            </w:r>
          </w:p>
        </w:tc>
      </w:tr>
      <w:tr w:rsidR="00593F44" w:rsidRPr="004A792A" w14:paraId="5BCFAF80" w14:textId="77777777" w:rsidTr="006F1E0A">
        <w:tc>
          <w:tcPr>
            <w:tcW w:w="5290" w:type="dxa"/>
            <w:tcBorders>
              <w:top w:val="nil"/>
              <w:left w:val="nil"/>
              <w:bottom w:val="single" w:sz="4" w:space="0" w:color="auto"/>
              <w:right w:val="single" w:sz="4" w:space="0" w:color="auto"/>
            </w:tcBorders>
            <w:shd w:val="clear" w:color="auto" w:fill="auto"/>
            <w:noWrap/>
            <w:vAlign w:val="bottom"/>
            <w:hideMark/>
          </w:tcPr>
          <w:p w14:paraId="65DA8E67" w14:textId="77777777" w:rsidR="00593F44" w:rsidRPr="004A792A" w:rsidRDefault="00593F44" w:rsidP="00593F44">
            <w:pPr>
              <w:spacing w:before="0"/>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 Commissioned armed forces officers</w:t>
            </w:r>
          </w:p>
        </w:tc>
        <w:tc>
          <w:tcPr>
            <w:tcW w:w="960" w:type="dxa"/>
            <w:tcBorders>
              <w:top w:val="nil"/>
              <w:left w:val="single" w:sz="4" w:space="0" w:color="auto"/>
              <w:bottom w:val="single" w:sz="4" w:space="0" w:color="auto"/>
              <w:right w:val="nil"/>
            </w:tcBorders>
            <w:shd w:val="clear" w:color="auto" w:fill="auto"/>
            <w:noWrap/>
            <w:vAlign w:val="bottom"/>
            <w:hideMark/>
          </w:tcPr>
          <w:p w14:paraId="0C96027A"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7.1</w:t>
            </w:r>
          </w:p>
        </w:tc>
        <w:tc>
          <w:tcPr>
            <w:tcW w:w="960" w:type="dxa"/>
            <w:tcBorders>
              <w:top w:val="nil"/>
              <w:left w:val="nil"/>
              <w:bottom w:val="single" w:sz="4" w:space="0" w:color="auto"/>
              <w:right w:val="nil"/>
            </w:tcBorders>
            <w:shd w:val="clear" w:color="auto" w:fill="auto"/>
            <w:noWrap/>
            <w:vAlign w:val="bottom"/>
            <w:hideMark/>
          </w:tcPr>
          <w:p w14:paraId="71E9BBD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10.2</w:t>
            </w:r>
          </w:p>
        </w:tc>
        <w:tc>
          <w:tcPr>
            <w:tcW w:w="960" w:type="dxa"/>
            <w:tcBorders>
              <w:top w:val="nil"/>
              <w:left w:val="nil"/>
              <w:bottom w:val="single" w:sz="4" w:space="0" w:color="auto"/>
              <w:right w:val="single" w:sz="4" w:space="0" w:color="auto"/>
            </w:tcBorders>
            <w:shd w:val="clear" w:color="auto" w:fill="auto"/>
            <w:noWrap/>
            <w:vAlign w:val="bottom"/>
            <w:hideMark/>
          </w:tcPr>
          <w:p w14:paraId="2ED8FA4F"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12.1</w:t>
            </w:r>
          </w:p>
        </w:tc>
        <w:tc>
          <w:tcPr>
            <w:tcW w:w="960" w:type="dxa"/>
            <w:tcBorders>
              <w:top w:val="nil"/>
              <w:left w:val="single" w:sz="4" w:space="0" w:color="auto"/>
              <w:bottom w:val="single" w:sz="4" w:space="0" w:color="auto"/>
              <w:right w:val="nil"/>
            </w:tcBorders>
            <w:shd w:val="clear" w:color="auto" w:fill="auto"/>
            <w:noWrap/>
            <w:vAlign w:val="bottom"/>
            <w:hideMark/>
          </w:tcPr>
          <w:p w14:paraId="55076743"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1.1</w:t>
            </w:r>
          </w:p>
        </w:tc>
        <w:tc>
          <w:tcPr>
            <w:tcW w:w="960" w:type="dxa"/>
            <w:tcBorders>
              <w:top w:val="nil"/>
              <w:left w:val="nil"/>
              <w:bottom w:val="single" w:sz="4" w:space="0" w:color="auto"/>
              <w:right w:val="nil"/>
            </w:tcBorders>
            <w:shd w:val="clear" w:color="auto" w:fill="auto"/>
            <w:noWrap/>
            <w:vAlign w:val="bottom"/>
            <w:hideMark/>
          </w:tcPr>
          <w:p w14:paraId="181168E2"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0.8</w:t>
            </w:r>
          </w:p>
        </w:tc>
        <w:tc>
          <w:tcPr>
            <w:tcW w:w="960" w:type="dxa"/>
            <w:tcBorders>
              <w:top w:val="nil"/>
              <w:left w:val="nil"/>
              <w:bottom w:val="single" w:sz="4" w:space="0" w:color="auto"/>
              <w:right w:val="single" w:sz="4" w:space="0" w:color="auto"/>
            </w:tcBorders>
            <w:shd w:val="clear" w:color="auto" w:fill="auto"/>
            <w:noWrap/>
            <w:vAlign w:val="bottom"/>
            <w:hideMark/>
          </w:tcPr>
          <w:p w14:paraId="6EF15D05"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1.0</w:t>
            </w:r>
          </w:p>
        </w:tc>
        <w:tc>
          <w:tcPr>
            <w:tcW w:w="960" w:type="dxa"/>
            <w:tcBorders>
              <w:top w:val="nil"/>
              <w:left w:val="single" w:sz="4" w:space="0" w:color="auto"/>
              <w:bottom w:val="single" w:sz="4" w:space="0" w:color="auto"/>
              <w:right w:val="nil"/>
            </w:tcBorders>
            <w:shd w:val="clear" w:color="auto" w:fill="auto"/>
            <w:noWrap/>
            <w:vAlign w:val="bottom"/>
            <w:hideMark/>
          </w:tcPr>
          <w:p w14:paraId="3C8A8E7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0.1</w:t>
            </w:r>
          </w:p>
        </w:tc>
        <w:tc>
          <w:tcPr>
            <w:tcW w:w="960" w:type="dxa"/>
            <w:tcBorders>
              <w:top w:val="nil"/>
              <w:left w:val="nil"/>
              <w:bottom w:val="single" w:sz="4" w:space="0" w:color="auto"/>
              <w:right w:val="nil"/>
            </w:tcBorders>
            <w:shd w:val="clear" w:color="auto" w:fill="auto"/>
            <w:noWrap/>
            <w:vAlign w:val="bottom"/>
            <w:hideMark/>
          </w:tcPr>
          <w:p w14:paraId="2A892D0D"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eastAsia="Times New Roman" w:hAnsi="Calibri" w:cs="Calibri"/>
                <w:color w:val="000000"/>
                <w:sz w:val="20"/>
                <w:szCs w:val="20"/>
                <w:lang w:val="en-US"/>
              </w:rPr>
              <w:t>0.1</w:t>
            </w:r>
          </w:p>
        </w:tc>
        <w:tc>
          <w:tcPr>
            <w:tcW w:w="960" w:type="dxa"/>
            <w:tcBorders>
              <w:top w:val="nil"/>
              <w:left w:val="nil"/>
              <w:bottom w:val="single" w:sz="4" w:space="0" w:color="auto"/>
              <w:right w:val="nil"/>
            </w:tcBorders>
            <w:vAlign w:val="bottom"/>
          </w:tcPr>
          <w:p w14:paraId="6B9204D1" w14:textId="77777777" w:rsidR="00593F44" w:rsidRPr="004A792A" w:rsidRDefault="00593F44" w:rsidP="00593F44">
            <w:pPr>
              <w:spacing w:before="0"/>
              <w:jc w:val="center"/>
              <w:rPr>
                <w:rFonts w:ascii="Calibri" w:eastAsia="Times New Roman" w:hAnsi="Calibri" w:cs="Calibri"/>
                <w:color w:val="000000"/>
                <w:sz w:val="20"/>
                <w:szCs w:val="20"/>
                <w:lang w:val="en-US"/>
              </w:rPr>
            </w:pPr>
            <w:r w:rsidRPr="004A792A">
              <w:rPr>
                <w:rFonts w:ascii="Calibri" w:hAnsi="Calibri" w:cs="Calibri"/>
                <w:color w:val="000000"/>
                <w:sz w:val="20"/>
                <w:szCs w:val="20"/>
                <w:lang w:val="en-US"/>
              </w:rPr>
              <w:t>0.1</w:t>
            </w:r>
          </w:p>
        </w:tc>
      </w:tr>
    </w:tbl>
    <w:p w14:paraId="498C98CB" w14:textId="77777777" w:rsidR="00C62A9B" w:rsidRPr="004A792A" w:rsidRDefault="00C62A9B" w:rsidP="00A44723">
      <w:pPr>
        <w:pStyle w:val="ad"/>
        <w:jc w:val="left"/>
        <w:rPr>
          <w:lang w:val="en-US"/>
        </w:rPr>
      </w:pPr>
    </w:p>
    <w:p w14:paraId="31CE6EAD" w14:textId="77777777" w:rsidR="00C62A9B" w:rsidRPr="004A792A" w:rsidRDefault="00C62A9B">
      <w:pPr>
        <w:spacing w:before="0" w:after="160" w:line="259" w:lineRule="auto"/>
        <w:rPr>
          <w:b/>
          <w:iCs/>
          <w:szCs w:val="18"/>
          <w:lang w:val="en-US"/>
        </w:rPr>
      </w:pPr>
      <w:r w:rsidRPr="004A792A">
        <w:rPr>
          <w:lang w:val="en-US"/>
        </w:rPr>
        <w:br w:type="page"/>
      </w:r>
    </w:p>
    <w:p w14:paraId="5778AEE6" w14:textId="408DFD00" w:rsidR="00A44723" w:rsidRPr="004A792A" w:rsidRDefault="00474FA5" w:rsidP="00E72ECE">
      <w:pPr>
        <w:pStyle w:val="ad"/>
        <w:jc w:val="left"/>
        <w:rPr>
          <w:lang w:val="en-US"/>
        </w:rPr>
      </w:pPr>
      <w:bookmarkStart w:id="154" w:name="_Ref519240399"/>
      <w:bookmarkStart w:id="155" w:name="_Toc533185136"/>
      <w:r>
        <w:lastRenderedPageBreak/>
        <w:t>Table A-</w:t>
      </w:r>
      <w:r>
        <w:fldChar w:fldCharType="begin"/>
      </w:r>
      <w:r>
        <w:instrText xml:space="preserve"> SEQ Table_A- \* ARABIC </w:instrText>
      </w:r>
      <w:r>
        <w:fldChar w:fldCharType="separate"/>
      </w:r>
      <w:r>
        <w:rPr>
          <w:noProof/>
        </w:rPr>
        <w:t>7</w:t>
      </w:r>
      <w:r>
        <w:fldChar w:fldCharType="end"/>
      </w:r>
      <w:r w:rsidRPr="004E1089">
        <w:t xml:space="preserve">: </w:t>
      </w:r>
      <w:bookmarkEnd w:id="154"/>
      <w:r w:rsidR="00A44723" w:rsidRPr="004A792A">
        <w:rPr>
          <w:lang w:val="en-US"/>
        </w:rPr>
        <w:t>Time use indicators for working-age population by gender, age groups and selected activities</w:t>
      </w:r>
      <w:r w:rsidR="00D161CC" w:rsidRPr="004A792A">
        <w:rPr>
          <w:lang w:val="en-US"/>
        </w:rPr>
        <w:t>, 2012</w:t>
      </w:r>
      <w:bookmarkEnd w:id="155"/>
    </w:p>
    <w:tbl>
      <w:tblPr>
        <w:tblW w:w="14559" w:type="dxa"/>
        <w:tblBorders>
          <w:top w:val="single" w:sz="8" w:space="0" w:color="A9A9A9"/>
        </w:tblBorders>
        <w:tblLayout w:type="fixed"/>
        <w:tblLook w:val="04A0" w:firstRow="1" w:lastRow="0" w:firstColumn="1" w:lastColumn="0" w:noHBand="0" w:noVBand="1"/>
      </w:tblPr>
      <w:tblGrid>
        <w:gridCol w:w="3544"/>
        <w:gridCol w:w="1376"/>
        <w:gridCol w:w="1377"/>
        <w:gridCol w:w="1377"/>
        <w:gridCol w:w="1377"/>
        <w:gridCol w:w="1377"/>
        <w:gridCol w:w="1377"/>
        <w:gridCol w:w="1377"/>
        <w:gridCol w:w="1377"/>
      </w:tblGrid>
      <w:tr w:rsidR="003E6423" w:rsidRPr="004A792A" w14:paraId="48365E7D" w14:textId="77777777" w:rsidTr="003E6423">
        <w:tc>
          <w:tcPr>
            <w:tcW w:w="3544" w:type="dxa"/>
            <w:vMerge w:val="restart"/>
            <w:tcBorders>
              <w:top w:val="single" w:sz="4" w:space="0" w:color="auto"/>
              <w:right w:val="single" w:sz="4" w:space="0" w:color="auto"/>
            </w:tcBorders>
            <w:shd w:val="clear" w:color="auto" w:fill="auto"/>
            <w:vAlign w:val="center"/>
          </w:tcPr>
          <w:p w14:paraId="4BDA9568" w14:textId="77777777" w:rsidR="003E6423" w:rsidRPr="004A792A" w:rsidRDefault="003E6423" w:rsidP="008C7CCC">
            <w:pPr>
              <w:spacing w:before="0"/>
              <w:rPr>
                <w:rFonts w:eastAsia="Times New Roman" w:cstheme="minorHAnsi"/>
                <w:color w:val="000000"/>
                <w:sz w:val="20"/>
                <w:szCs w:val="20"/>
                <w:lang w:val="en-US"/>
              </w:rPr>
            </w:pPr>
          </w:p>
        </w:tc>
        <w:tc>
          <w:tcPr>
            <w:tcW w:w="5507" w:type="dxa"/>
            <w:gridSpan w:val="4"/>
            <w:tcBorders>
              <w:top w:val="single" w:sz="4" w:space="0" w:color="auto"/>
              <w:left w:val="single" w:sz="4" w:space="0" w:color="auto"/>
              <w:bottom w:val="nil"/>
              <w:right w:val="single" w:sz="4" w:space="0" w:color="auto"/>
            </w:tcBorders>
            <w:shd w:val="clear" w:color="auto" w:fill="auto"/>
            <w:noWrap/>
            <w:vAlign w:val="center"/>
          </w:tcPr>
          <w:p w14:paraId="1BA2872F" w14:textId="77777777" w:rsidR="003E6423" w:rsidRPr="004A792A" w:rsidRDefault="003E6423" w:rsidP="008C7CCC">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Men</w:t>
            </w:r>
          </w:p>
        </w:tc>
        <w:tc>
          <w:tcPr>
            <w:tcW w:w="5508" w:type="dxa"/>
            <w:gridSpan w:val="4"/>
            <w:tcBorders>
              <w:top w:val="single" w:sz="4" w:space="0" w:color="auto"/>
              <w:left w:val="single" w:sz="4" w:space="0" w:color="auto"/>
              <w:bottom w:val="nil"/>
            </w:tcBorders>
            <w:shd w:val="clear" w:color="auto" w:fill="auto"/>
            <w:noWrap/>
            <w:vAlign w:val="center"/>
          </w:tcPr>
          <w:p w14:paraId="4528C5BB" w14:textId="77777777" w:rsidR="003E6423" w:rsidRPr="004A792A" w:rsidRDefault="003E6423" w:rsidP="008C7CCC">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Women</w:t>
            </w:r>
          </w:p>
        </w:tc>
      </w:tr>
      <w:tr w:rsidR="003E6423" w:rsidRPr="004A792A" w14:paraId="03DBC5E6" w14:textId="77777777" w:rsidTr="003E6423">
        <w:tc>
          <w:tcPr>
            <w:tcW w:w="3544" w:type="dxa"/>
            <w:vMerge/>
            <w:tcBorders>
              <w:right w:val="single" w:sz="4" w:space="0" w:color="auto"/>
            </w:tcBorders>
            <w:shd w:val="clear" w:color="auto" w:fill="auto"/>
            <w:vAlign w:val="center"/>
          </w:tcPr>
          <w:p w14:paraId="68D3CD28" w14:textId="77777777" w:rsidR="003E6423" w:rsidRPr="004A792A" w:rsidRDefault="003E6423" w:rsidP="003E6423">
            <w:pPr>
              <w:spacing w:before="0"/>
              <w:rPr>
                <w:rFonts w:eastAsia="Times New Roman" w:cstheme="minorHAnsi"/>
                <w:color w:val="000000"/>
                <w:sz w:val="20"/>
                <w:szCs w:val="20"/>
                <w:lang w:val="en-US"/>
              </w:rPr>
            </w:pPr>
          </w:p>
        </w:tc>
        <w:tc>
          <w:tcPr>
            <w:tcW w:w="2753" w:type="dxa"/>
            <w:gridSpan w:val="2"/>
            <w:tcBorders>
              <w:top w:val="nil"/>
              <w:left w:val="single" w:sz="4" w:space="0" w:color="auto"/>
            </w:tcBorders>
            <w:shd w:val="clear" w:color="auto" w:fill="auto"/>
            <w:noWrap/>
            <w:vAlign w:val="center"/>
          </w:tcPr>
          <w:p w14:paraId="20725904"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15-24 years</w:t>
            </w:r>
          </w:p>
        </w:tc>
        <w:tc>
          <w:tcPr>
            <w:tcW w:w="2754" w:type="dxa"/>
            <w:gridSpan w:val="2"/>
            <w:tcBorders>
              <w:top w:val="nil"/>
              <w:right w:val="single" w:sz="4" w:space="0" w:color="auto"/>
            </w:tcBorders>
            <w:shd w:val="clear" w:color="auto" w:fill="auto"/>
            <w:noWrap/>
            <w:vAlign w:val="center"/>
          </w:tcPr>
          <w:p w14:paraId="5DCDADFE"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25-64 years</w:t>
            </w:r>
          </w:p>
        </w:tc>
        <w:tc>
          <w:tcPr>
            <w:tcW w:w="2754" w:type="dxa"/>
            <w:gridSpan w:val="2"/>
            <w:tcBorders>
              <w:top w:val="nil"/>
              <w:left w:val="single" w:sz="4" w:space="0" w:color="auto"/>
            </w:tcBorders>
            <w:shd w:val="clear" w:color="auto" w:fill="auto"/>
            <w:noWrap/>
            <w:vAlign w:val="center"/>
          </w:tcPr>
          <w:p w14:paraId="3698C450"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15-24 years</w:t>
            </w:r>
          </w:p>
        </w:tc>
        <w:tc>
          <w:tcPr>
            <w:tcW w:w="2754" w:type="dxa"/>
            <w:gridSpan w:val="2"/>
            <w:tcBorders>
              <w:top w:val="nil"/>
            </w:tcBorders>
            <w:shd w:val="clear" w:color="auto" w:fill="auto"/>
            <w:noWrap/>
            <w:vAlign w:val="center"/>
          </w:tcPr>
          <w:p w14:paraId="1DAFFF24"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25-64 years</w:t>
            </w:r>
          </w:p>
        </w:tc>
      </w:tr>
      <w:tr w:rsidR="003E6423" w:rsidRPr="004A792A" w14:paraId="04CBDCCD" w14:textId="77777777" w:rsidTr="00791273">
        <w:tc>
          <w:tcPr>
            <w:tcW w:w="3544" w:type="dxa"/>
            <w:vMerge/>
            <w:tcBorders>
              <w:right w:val="single" w:sz="4" w:space="0" w:color="auto"/>
            </w:tcBorders>
            <w:shd w:val="clear" w:color="auto" w:fill="auto"/>
            <w:vAlign w:val="center"/>
          </w:tcPr>
          <w:p w14:paraId="2143B66A" w14:textId="77777777" w:rsidR="003E6423" w:rsidRPr="004A792A" w:rsidRDefault="003E6423" w:rsidP="003E6423">
            <w:pPr>
              <w:spacing w:before="0"/>
              <w:rPr>
                <w:rFonts w:eastAsia="Times New Roman" w:cstheme="minorHAnsi"/>
                <w:color w:val="000000"/>
                <w:sz w:val="20"/>
                <w:szCs w:val="20"/>
                <w:lang w:val="en-US"/>
              </w:rPr>
            </w:pPr>
          </w:p>
        </w:tc>
        <w:tc>
          <w:tcPr>
            <w:tcW w:w="1376" w:type="dxa"/>
            <w:tcBorders>
              <w:top w:val="single" w:sz="4" w:space="0" w:color="auto"/>
              <w:left w:val="single" w:sz="4" w:space="0" w:color="auto"/>
            </w:tcBorders>
            <w:shd w:val="clear" w:color="auto" w:fill="auto"/>
            <w:noWrap/>
          </w:tcPr>
          <w:p w14:paraId="3DB9BA47" w14:textId="77777777" w:rsidR="003E6423" w:rsidRPr="004A792A" w:rsidRDefault="0038245B"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Average daily duration of activity, all persons, hours/day</w:t>
            </w:r>
          </w:p>
        </w:tc>
        <w:tc>
          <w:tcPr>
            <w:tcW w:w="1377" w:type="dxa"/>
            <w:tcBorders>
              <w:top w:val="single" w:sz="4" w:space="0" w:color="auto"/>
            </w:tcBorders>
            <w:shd w:val="clear" w:color="auto" w:fill="auto"/>
            <w:noWrap/>
          </w:tcPr>
          <w:p w14:paraId="192C115C"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Participation rate, %</w:t>
            </w:r>
          </w:p>
        </w:tc>
        <w:tc>
          <w:tcPr>
            <w:tcW w:w="1377" w:type="dxa"/>
            <w:tcBorders>
              <w:top w:val="single" w:sz="4" w:space="0" w:color="auto"/>
            </w:tcBorders>
            <w:shd w:val="clear" w:color="auto" w:fill="auto"/>
            <w:noWrap/>
          </w:tcPr>
          <w:p w14:paraId="4AA2A88C" w14:textId="77777777" w:rsidR="003E6423" w:rsidRPr="004A792A" w:rsidRDefault="0038245B"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Average daily duration of activity, all persons, hours/day</w:t>
            </w:r>
          </w:p>
        </w:tc>
        <w:tc>
          <w:tcPr>
            <w:tcW w:w="1377" w:type="dxa"/>
            <w:tcBorders>
              <w:top w:val="single" w:sz="4" w:space="0" w:color="auto"/>
              <w:right w:val="single" w:sz="4" w:space="0" w:color="auto"/>
            </w:tcBorders>
            <w:shd w:val="clear" w:color="auto" w:fill="auto"/>
            <w:noWrap/>
          </w:tcPr>
          <w:p w14:paraId="5D28F08E"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Participation rate, %</w:t>
            </w:r>
          </w:p>
        </w:tc>
        <w:tc>
          <w:tcPr>
            <w:tcW w:w="1377" w:type="dxa"/>
            <w:tcBorders>
              <w:top w:val="single" w:sz="4" w:space="0" w:color="auto"/>
              <w:left w:val="single" w:sz="4" w:space="0" w:color="auto"/>
            </w:tcBorders>
            <w:shd w:val="clear" w:color="auto" w:fill="auto"/>
            <w:noWrap/>
          </w:tcPr>
          <w:p w14:paraId="06A14E6F" w14:textId="77777777" w:rsidR="003E6423" w:rsidRPr="004A792A" w:rsidRDefault="0038245B"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Average daily duration of activity, all persons, hours/day</w:t>
            </w:r>
          </w:p>
        </w:tc>
        <w:tc>
          <w:tcPr>
            <w:tcW w:w="1377" w:type="dxa"/>
            <w:tcBorders>
              <w:top w:val="single" w:sz="4" w:space="0" w:color="auto"/>
            </w:tcBorders>
            <w:shd w:val="clear" w:color="auto" w:fill="auto"/>
            <w:noWrap/>
          </w:tcPr>
          <w:p w14:paraId="754A9971"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Participation rate, %</w:t>
            </w:r>
          </w:p>
        </w:tc>
        <w:tc>
          <w:tcPr>
            <w:tcW w:w="1377" w:type="dxa"/>
            <w:tcBorders>
              <w:top w:val="single" w:sz="4" w:space="0" w:color="auto"/>
            </w:tcBorders>
            <w:shd w:val="clear" w:color="auto" w:fill="auto"/>
            <w:noWrap/>
          </w:tcPr>
          <w:p w14:paraId="49ED68D4" w14:textId="77777777" w:rsidR="003E6423" w:rsidRPr="004A792A" w:rsidRDefault="0038245B"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Average daily duration of activity, all persons, hours/day</w:t>
            </w:r>
          </w:p>
        </w:tc>
        <w:tc>
          <w:tcPr>
            <w:tcW w:w="1377" w:type="dxa"/>
            <w:tcBorders>
              <w:top w:val="single" w:sz="4" w:space="0" w:color="auto"/>
            </w:tcBorders>
            <w:shd w:val="clear" w:color="auto" w:fill="auto"/>
            <w:noWrap/>
          </w:tcPr>
          <w:p w14:paraId="33DB72B2" w14:textId="77777777" w:rsidR="003E6423" w:rsidRPr="004A792A" w:rsidRDefault="003E6423" w:rsidP="003E6423">
            <w:pPr>
              <w:spacing w:before="0"/>
              <w:jc w:val="center"/>
              <w:rPr>
                <w:rFonts w:eastAsia="Times New Roman" w:cstheme="minorHAnsi"/>
                <w:color w:val="000000"/>
                <w:sz w:val="20"/>
                <w:szCs w:val="20"/>
                <w:lang w:val="en-US"/>
              </w:rPr>
            </w:pPr>
            <w:r w:rsidRPr="004A792A">
              <w:rPr>
                <w:rFonts w:eastAsia="Times New Roman" w:cstheme="minorHAnsi"/>
                <w:bCs/>
                <w:color w:val="000000"/>
                <w:sz w:val="20"/>
                <w:szCs w:val="20"/>
                <w:lang w:val="en-US"/>
              </w:rPr>
              <w:t>Participation rate, %</w:t>
            </w:r>
          </w:p>
        </w:tc>
      </w:tr>
      <w:tr w:rsidR="00330CEE" w:rsidRPr="004A792A" w14:paraId="276AF222" w14:textId="77777777" w:rsidTr="0038245B">
        <w:tc>
          <w:tcPr>
            <w:tcW w:w="3544" w:type="dxa"/>
            <w:tcBorders>
              <w:top w:val="single" w:sz="4" w:space="0" w:color="auto"/>
              <w:bottom w:val="nil"/>
              <w:right w:val="single" w:sz="4" w:space="0" w:color="auto"/>
            </w:tcBorders>
            <w:shd w:val="clear" w:color="auto" w:fill="auto"/>
            <w:vAlign w:val="center"/>
            <w:hideMark/>
          </w:tcPr>
          <w:p w14:paraId="1BE2588D"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Employment</w:t>
            </w:r>
          </w:p>
        </w:tc>
        <w:tc>
          <w:tcPr>
            <w:tcW w:w="1376" w:type="dxa"/>
            <w:tcBorders>
              <w:top w:val="single" w:sz="4" w:space="0" w:color="auto"/>
              <w:left w:val="single" w:sz="4" w:space="0" w:color="auto"/>
              <w:bottom w:val="nil"/>
            </w:tcBorders>
            <w:shd w:val="clear" w:color="auto" w:fill="auto"/>
            <w:noWrap/>
            <w:vAlign w:val="center"/>
          </w:tcPr>
          <w:p w14:paraId="556BD5E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2.1</w:t>
            </w:r>
          </w:p>
        </w:tc>
        <w:tc>
          <w:tcPr>
            <w:tcW w:w="1377" w:type="dxa"/>
            <w:tcBorders>
              <w:top w:val="single" w:sz="4" w:space="0" w:color="auto"/>
              <w:bottom w:val="nil"/>
            </w:tcBorders>
            <w:shd w:val="clear" w:color="auto" w:fill="auto"/>
            <w:noWrap/>
            <w:vAlign w:val="center"/>
          </w:tcPr>
          <w:p w14:paraId="24FA50C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28.6</w:t>
            </w:r>
          </w:p>
        </w:tc>
        <w:tc>
          <w:tcPr>
            <w:tcW w:w="1377" w:type="dxa"/>
            <w:tcBorders>
              <w:top w:val="single" w:sz="4" w:space="0" w:color="auto"/>
              <w:bottom w:val="nil"/>
            </w:tcBorders>
            <w:shd w:val="clear" w:color="auto" w:fill="auto"/>
            <w:noWrap/>
            <w:vAlign w:val="center"/>
          </w:tcPr>
          <w:p w14:paraId="31FA4CF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4.6</w:t>
            </w:r>
          </w:p>
        </w:tc>
        <w:tc>
          <w:tcPr>
            <w:tcW w:w="1377" w:type="dxa"/>
            <w:tcBorders>
              <w:top w:val="single" w:sz="4" w:space="0" w:color="auto"/>
              <w:bottom w:val="nil"/>
              <w:right w:val="single" w:sz="4" w:space="0" w:color="auto"/>
            </w:tcBorders>
            <w:shd w:val="clear" w:color="auto" w:fill="auto"/>
            <w:noWrap/>
            <w:vAlign w:val="center"/>
          </w:tcPr>
          <w:p w14:paraId="6A679C0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55.2</w:t>
            </w:r>
          </w:p>
        </w:tc>
        <w:tc>
          <w:tcPr>
            <w:tcW w:w="1377" w:type="dxa"/>
            <w:tcBorders>
              <w:top w:val="single" w:sz="4" w:space="0" w:color="auto"/>
              <w:left w:val="single" w:sz="4" w:space="0" w:color="auto"/>
              <w:bottom w:val="nil"/>
            </w:tcBorders>
            <w:shd w:val="clear" w:color="auto" w:fill="auto"/>
            <w:noWrap/>
            <w:vAlign w:val="center"/>
          </w:tcPr>
          <w:p w14:paraId="23D9EC3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1.3</w:t>
            </w:r>
          </w:p>
        </w:tc>
        <w:tc>
          <w:tcPr>
            <w:tcW w:w="1377" w:type="dxa"/>
            <w:tcBorders>
              <w:top w:val="single" w:sz="4" w:space="0" w:color="auto"/>
              <w:bottom w:val="nil"/>
            </w:tcBorders>
            <w:shd w:val="clear" w:color="auto" w:fill="auto"/>
            <w:noWrap/>
            <w:vAlign w:val="center"/>
          </w:tcPr>
          <w:p w14:paraId="7A48103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16.9</w:t>
            </w:r>
          </w:p>
        </w:tc>
        <w:tc>
          <w:tcPr>
            <w:tcW w:w="1377" w:type="dxa"/>
            <w:tcBorders>
              <w:top w:val="single" w:sz="4" w:space="0" w:color="auto"/>
              <w:bottom w:val="nil"/>
            </w:tcBorders>
            <w:shd w:val="clear" w:color="auto" w:fill="auto"/>
            <w:noWrap/>
            <w:vAlign w:val="center"/>
          </w:tcPr>
          <w:p w14:paraId="39A2C8B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3.5</w:t>
            </w:r>
          </w:p>
        </w:tc>
        <w:tc>
          <w:tcPr>
            <w:tcW w:w="1377" w:type="dxa"/>
            <w:tcBorders>
              <w:top w:val="single" w:sz="4" w:space="0" w:color="auto"/>
              <w:bottom w:val="nil"/>
            </w:tcBorders>
            <w:shd w:val="clear" w:color="auto" w:fill="auto"/>
            <w:noWrap/>
            <w:vAlign w:val="center"/>
          </w:tcPr>
          <w:p w14:paraId="34FB4AA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46.8</w:t>
            </w:r>
          </w:p>
        </w:tc>
      </w:tr>
      <w:tr w:rsidR="00330CEE" w:rsidRPr="004A792A" w14:paraId="63D99D8A" w14:textId="77777777" w:rsidTr="0038245B">
        <w:tc>
          <w:tcPr>
            <w:tcW w:w="3544" w:type="dxa"/>
            <w:tcBorders>
              <w:top w:val="nil"/>
              <w:right w:val="single" w:sz="4" w:space="0" w:color="auto"/>
            </w:tcBorders>
            <w:shd w:val="clear" w:color="auto" w:fill="auto"/>
            <w:vAlign w:val="center"/>
          </w:tcPr>
          <w:p w14:paraId="4CD7CE8E"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Study</w:t>
            </w:r>
          </w:p>
        </w:tc>
        <w:tc>
          <w:tcPr>
            <w:tcW w:w="1376" w:type="dxa"/>
            <w:tcBorders>
              <w:top w:val="nil"/>
              <w:left w:val="single" w:sz="4" w:space="0" w:color="auto"/>
            </w:tcBorders>
            <w:shd w:val="clear" w:color="auto" w:fill="auto"/>
            <w:noWrap/>
            <w:vAlign w:val="center"/>
          </w:tcPr>
          <w:p w14:paraId="0E1BED0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1.6</w:t>
            </w:r>
          </w:p>
        </w:tc>
        <w:tc>
          <w:tcPr>
            <w:tcW w:w="1377" w:type="dxa"/>
            <w:tcBorders>
              <w:top w:val="nil"/>
            </w:tcBorders>
            <w:shd w:val="clear" w:color="auto" w:fill="auto"/>
            <w:noWrap/>
            <w:vAlign w:val="center"/>
          </w:tcPr>
          <w:p w14:paraId="6060543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26.8</w:t>
            </w:r>
          </w:p>
        </w:tc>
        <w:tc>
          <w:tcPr>
            <w:tcW w:w="1377" w:type="dxa"/>
            <w:tcBorders>
              <w:top w:val="nil"/>
            </w:tcBorders>
            <w:shd w:val="clear" w:color="auto" w:fill="auto"/>
            <w:noWrap/>
            <w:vAlign w:val="center"/>
          </w:tcPr>
          <w:p w14:paraId="6A8CCBA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w:t>
            </w:r>
          </w:p>
        </w:tc>
        <w:tc>
          <w:tcPr>
            <w:tcW w:w="1377" w:type="dxa"/>
            <w:tcBorders>
              <w:top w:val="nil"/>
              <w:right w:val="single" w:sz="4" w:space="0" w:color="auto"/>
            </w:tcBorders>
            <w:shd w:val="clear" w:color="auto" w:fill="auto"/>
            <w:noWrap/>
            <w:vAlign w:val="center"/>
          </w:tcPr>
          <w:p w14:paraId="366DAC8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0.4</w:t>
            </w:r>
          </w:p>
        </w:tc>
        <w:tc>
          <w:tcPr>
            <w:tcW w:w="1377" w:type="dxa"/>
            <w:tcBorders>
              <w:top w:val="nil"/>
              <w:left w:val="single" w:sz="4" w:space="0" w:color="auto"/>
            </w:tcBorders>
            <w:shd w:val="clear" w:color="auto" w:fill="auto"/>
            <w:noWrap/>
            <w:vAlign w:val="center"/>
          </w:tcPr>
          <w:p w14:paraId="2881396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2.2</w:t>
            </w:r>
          </w:p>
        </w:tc>
        <w:tc>
          <w:tcPr>
            <w:tcW w:w="1377" w:type="dxa"/>
            <w:tcBorders>
              <w:top w:val="nil"/>
            </w:tcBorders>
            <w:shd w:val="clear" w:color="auto" w:fill="auto"/>
            <w:noWrap/>
            <w:vAlign w:val="center"/>
          </w:tcPr>
          <w:p w14:paraId="0083BCE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37.2</w:t>
            </w:r>
          </w:p>
        </w:tc>
        <w:tc>
          <w:tcPr>
            <w:tcW w:w="1377" w:type="dxa"/>
            <w:tcBorders>
              <w:top w:val="nil"/>
            </w:tcBorders>
            <w:shd w:val="clear" w:color="auto" w:fill="auto"/>
            <w:noWrap/>
            <w:vAlign w:val="center"/>
          </w:tcPr>
          <w:p w14:paraId="58F36C6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w:t>
            </w:r>
          </w:p>
        </w:tc>
        <w:tc>
          <w:tcPr>
            <w:tcW w:w="1377" w:type="dxa"/>
            <w:tcBorders>
              <w:top w:val="nil"/>
            </w:tcBorders>
            <w:shd w:val="clear" w:color="auto" w:fill="auto"/>
            <w:noWrap/>
            <w:vAlign w:val="center"/>
          </w:tcPr>
          <w:p w14:paraId="0D93380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0.4</w:t>
            </w:r>
          </w:p>
        </w:tc>
      </w:tr>
      <w:tr w:rsidR="00330CEE" w:rsidRPr="004A792A" w14:paraId="17E074D6" w14:textId="77777777" w:rsidTr="00246E28">
        <w:tc>
          <w:tcPr>
            <w:tcW w:w="3544" w:type="dxa"/>
            <w:tcBorders>
              <w:right w:val="single" w:sz="4" w:space="0" w:color="auto"/>
            </w:tcBorders>
            <w:shd w:val="clear" w:color="auto" w:fill="D9D9D9" w:themeFill="background1" w:themeFillShade="D9"/>
            <w:vAlign w:val="center"/>
            <w:hideMark/>
          </w:tcPr>
          <w:p w14:paraId="2E7DA308"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Household and family care</w:t>
            </w:r>
          </w:p>
        </w:tc>
        <w:tc>
          <w:tcPr>
            <w:tcW w:w="1376" w:type="dxa"/>
            <w:tcBorders>
              <w:left w:val="single" w:sz="4" w:space="0" w:color="auto"/>
            </w:tcBorders>
            <w:shd w:val="clear" w:color="auto" w:fill="D9D9D9" w:themeFill="background1" w:themeFillShade="D9"/>
            <w:noWrap/>
            <w:vAlign w:val="center"/>
          </w:tcPr>
          <w:p w14:paraId="24E432F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1.9</w:t>
            </w:r>
          </w:p>
        </w:tc>
        <w:tc>
          <w:tcPr>
            <w:tcW w:w="1377" w:type="dxa"/>
            <w:shd w:val="clear" w:color="auto" w:fill="D9D9D9" w:themeFill="background1" w:themeFillShade="D9"/>
            <w:noWrap/>
            <w:vAlign w:val="center"/>
          </w:tcPr>
          <w:p w14:paraId="6183E50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80.1</w:t>
            </w:r>
          </w:p>
        </w:tc>
        <w:tc>
          <w:tcPr>
            <w:tcW w:w="1377" w:type="dxa"/>
            <w:shd w:val="clear" w:color="auto" w:fill="D9D9D9" w:themeFill="background1" w:themeFillShade="D9"/>
            <w:noWrap/>
            <w:vAlign w:val="center"/>
          </w:tcPr>
          <w:p w14:paraId="1BF6195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2.8</w:t>
            </w:r>
          </w:p>
        </w:tc>
        <w:tc>
          <w:tcPr>
            <w:tcW w:w="1377" w:type="dxa"/>
            <w:tcBorders>
              <w:right w:val="single" w:sz="4" w:space="0" w:color="auto"/>
            </w:tcBorders>
            <w:shd w:val="clear" w:color="auto" w:fill="D9D9D9" w:themeFill="background1" w:themeFillShade="D9"/>
            <w:noWrap/>
            <w:vAlign w:val="center"/>
          </w:tcPr>
          <w:p w14:paraId="4B3698E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82.4</w:t>
            </w:r>
          </w:p>
        </w:tc>
        <w:tc>
          <w:tcPr>
            <w:tcW w:w="1377" w:type="dxa"/>
            <w:tcBorders>
              <w:left w:val="single" w:sz="4" w:space="0" w:color="auto"/>
            </w:tcBorders>
            <w:shd w:val="clear" w:color="auto" w:fill="D9D9D9" w:themeFill="background1" w:themeFillShade="D9"/>
            <w:noWrap/>
            <w:vAlign w:val="center"/>
          </w:tcPr>
          <w:p w14:paraId="089503F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3.4</w:t>
            </w:r>
          </w:p>
        </w:tc>
        <w:tc>
          <w:tcPr>
            <w:tcW w:w="1377" w:type="dxa"/>
            <w:shd w:val="clear" w:color="auto" w:fill="D9D9D9" w:themeFill="background1" w:themeFillShade="D9"/>
            <w:noWrap/>
            <w:vAlign w:val="center"/>
          </w:tcPr>
          <w:p w14:paraId="57C665C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93.2</w:t>
            </w:r>
          </w:p>
        </w:tc>
        <w:tc>
          <w:tcPr>
            <w:tcW w:w="1377" w:type="dxa"/>
            <w:shd w:val="clear" w:color="auto" w:fill="D9D9D9" w:themeFill="background1" w:themeFillShade="D9"/>
            <w:noWrap/>
            <w:vAlign w:val="center"/>
          </w:tcPr>
          <w:p w14:paraId="713BB34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5.1</w:t>
            </w:r>
          </w:p>
        </w:tc>
        <w:tc>
          <w:tcPr>
            <w:tcW w:w="1377" w:type="dxa"/>
            <w:shd w:val="clear" w:color="auto" w:fill="D9D9D9" w:themeFill="background1" w:themeFillShade="D9"/>
            <w:noWrap/>
            <w:vAlign w:val="center"/>
          </w:tcPr>
          <w:p w14:paraId="1A5A5E4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98.3</w:t>
            </w:r>
          </w:p>
        </w:tc>
      </w:tr>
      <w:tr w:rsidR="00330CEE" w:rsidRPr="004A792A" w14:paraId="36492A56" w14:textId="77777777" w:rsidTr="0038245B">
        <w:tc>
          <w:tcPr>
            <w:tcW w:w="3544" w:type="dxa"/>
            <w:tcBorders>
              <w:right w:val="single" w:sz="4" w:space="0" w:color="auto"/>
            </w:tcBorders>
            <w:shd w:val="clear" w:color="auto" w:fill="auto"/>
            <w:vAlign w:val="center"/>
            <w:hideMark/>
          </w:tcPr>
          <w:p w14:paraId="18EEE673"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Food preparation, baking and preserving</w:t>
            </w:r>
          </w:p>
        </w:tc>
        <w:tc>
          <w:tcPr>
            <w:tcW w:w="1376" w:type="dxa"/>
            <w:tcBorders>
              <w:left w:val="single" w:sz="4" w:space="0" w:color="auto"/>
            </w:tcBorders>
            <w:shd w:val="clear" w:color="auto" w:fill="auto"/>
            <w:noWrap/>
            <w:vAlign w:val="center"/>
          </w:tcPr>
          <w:p w14:paraId="200B7FC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shd w:val="clear" w:color="auto" w:fill="auto"/>
            <w:noWrap/>
            <w:vAlign w:val="center"/>
          </w:tcPr>
          <w:p w14:paraId="7432B3E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21.7</w:t>
            </w:r>
          </w:p>
        </w:tc>
        <w:tc>
          <w:tcPr>
            <w:tcW w:w="1377" w:type="dxa"/>
            <w:shd w:val="clear" w:color="auto" w:fill="auto"/>
            <w:noWrap/>
            <w:vAlign w:val="center"/>
          </w:tcPr>
          <w:p w14:paraId="582BF23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right w:val="single" w:sz="4" w:space="0" w:color="auto"/>
            </w:tcBorders>
            <w:shd w:val="clear" w:color="auto" w:fill="auto"/>
            <w:noWrap/>
            <w:vAlign w:val="center"/>
          </w:tcPr>
          <w:p w14:paraId="28F71CD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27.1</w:t>
            </w:r>
          </w:p>
        </w:tc>
        <w:tc>
          <w:tcPr>
            <w:tcW w:w="1377" w:type="dxa"/>
            <w:tcBorders>
              <w:left w:val="single" w:sz="4" w:space="0" w:color="auto"/>
            </w:tcBorders>
            <w:shd w:val="clear" w:color="auto" w:fill="auto"/>
            <w:noWrap/>
            <w:vAlign w:val="center"/>
          </w:tcPr>
          <w:p w14:paraId="2B1A322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0.7</w:t>
            </w:r>
          </w:p>
        </w:tc>
        <w:tc>
          <w:tcPr>
            <w:tcW w:w="1377" w:type="dxa"/>
            <w:shd w:val="clear" w:color="auto" w:fill="auto"/>
            <w:noWrap/>
            <w:vAlign w:val="center"/>
          </w:tcPr>
          <w:p w14:paraId="2703F2E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60.5</w:t>
            </w:r>
          </w:p>
        </w:tc>
        <w:tc>
          <w:tcPr>
            <w:tcW w:w="1377" w:type="dxa"/>
            <w:shd w:val="clear" w:color="auto" w:fill="auto"/>
            <w:noWrap/>
            <w:vAlign w:val="center"/>
          </w:tcPr>
          <w:p w14:paraId="5D89E90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1.5</w:t>
            </w:r>
          </w:p>
        </w:tc>
        <w:tc>
          <w:tcPr>
            <w:tcW w:w="1377" w:type="dxa"/>
            <w:shd w:val="clear" w:color="auto" w:fill="auto"/>
            <w:noWrap/>
            <w:vAlign w:val="center"/>
          </w:tcPr>
          <w:p w14:paraId="0EBE517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89.7</w:t>
            </w:r>
          </w:p>
        </w:tc>
      </w:tr>
      <w:tr w:rsidR="00330CEE" w:rsidRPr="004A792A" w14:paraId="7006F95F" w14:textId="77777777" w:rsidTr="0038245B">
        <w:tc>
          <w:tcPr>
            <w:tcW w:w="3544" w:type="dxa"/>
            <w:tcBorders>
              <w:right w:val="single" w:sz="4" w:space="0" w:color="auto"/>
            </w:tcBorders>
            <w:shd w:val="clear" w:color="auto" w:fill="auto"/>
            <w:vAlign w:val="center"/>
            <w:hideMark/>
          </w:tcPr>
          <w:p w14:paraId="2FE9FDBC"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Household upkeep</w:t>
            </w:r>
          </w:p>
        </w:tc>
        <w:tc>
          <w:tcPr>
            <w:tcW w:w="1376" w:type="dxa"/>
            <w:tcBorders>
              <w:left w:val="single" w:sz="4" w:space="0" w:color="auto"/>
            </w:tcBorders>
            <w:shd w:val="clear" w:color="auto" w:fill="auto"/>
            <w:noWrap/>
            <w:vAlign w:val="center"/>
          </w:tcPr>
          <w:p w14:paraId="3EB7DCA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0.5</w:t>
            </w:r>
          </w:p>
        </w:tc>
        <w:tc>
          <w:tcPr>
            <w:tcW w:w="1377" w:type="dxa"/>
            <w:shd w:val="clear" w:color="auto" w:fill="auto"/>
            <w:noWrap/>
            <w:vAlign w:val="center"/>
          </w:tcPr>
          <w:p w14:paraId="2E97E35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41.9</w:t>
            </w:r>
          </w:p>
        </w:tc>
        <w:tc>
          <w:tcPr>
            <w:tcW w:w="1377" w:type="dxa"/>
            <w:shd w:val="clear" w:color="auto" w:fill="auto"/>
            <w:noWrap/>
            <w:vAlign w:val="center"/>
          </w:tcPr>
          <w:p w14:paraId="13F8FB5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0.7</w:t>
            </w:r>
          </w:p>
        </w:tc>
        <w:tc>
          <w:tcPr>
            <w:tcW w:w="1377" w:type="dxa"/>
            <w:tcBorders>
              <w:right w:val="single" w:sz="4" w:space="0" w:color="auto"/>
            </w:tcBorders>
            <w:shd w:val="clear" w:color="auto" w:fill="auto"/>
            <w:noWrap/>
            <w:vAlign w:val="center"/>
          </w:tcPr>
          <w:p w14:paraId="51CFDD3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45.7</w:t>
            </w:r>
          </w:p>
        </w:tc>
        <w:tc>
          <w:tcPr>
            <w:tcW w:w="1377" w:type="dxa"/>
            <w:tcBorders>
              <w:left w:val="single" w:sz="4" w:space="0" w:color="auto"/>
            </w:tcBorders>
            <w:shd w:val="clear" w:color="auto" w:fill="auto"/>
            <w:noWrap/>
            <w:vAlign w:val="center"/>
          </w:tcPr>
          <w:p w14:paraId="2E65D32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0.7</w:t>
            </w:r>
          </w:p>
        </w:tc>
        <w:tc>
          <w:tcPr>
            <w:tcW w:w="1377" w:type="dxa"/>
            <w:shd w:val="clear" w:color="auto" w:fill="auto"/>
            <w:noWrap/>
            <w:vAlign w:val="center"/>
          </w:tcPr>
          <w:p w14:paraId="13617E8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64.6</w:t>
            </w:r>
          </w:p>
        </w:tc>
        <w:tc>
          <w:tcPr>
            <w:tcW w:w="1377" w:type="dxa"/>
            <w:shd w:val="clear" w:color="auto" w:fill="auto"/>
            <w:noWrap/>
            <w:vAlign w:val="center"/>
          </w:tcPr>
          <w:p w14:paraId="1E3F6C8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0.9</w:t>
            </w:r>
          </w:p>
        </w:tc>
        <w:tc>
          <w:tcPr>
            <w:tcW w:w="1377" w:type="dxa"/>
            <w:shd w:val="clear" w:color="auto" w:fill="auto"/>
            <w:noWrap/>
            <w:vAlign w:val="center"/>
          </w:tcPr>
          <w:p w14:paraId="0232C04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67.5</w:t>
            </w:r>
          </w:p>
        </w:tc>
      </w:tr>
      <w:tr w:rsidR="00330CEE" w:rsidRPr="004A792A" w14:paraId="4CFA2FC5" w14:textId="77777777" w:rsidTr="0038245B">
        <w:tc>
          <w:tcPr>
            <w:tcW w:w="3544" w:type="dxa"/>
            <w:tcBorders>
              <w:right w:val="single" w:sz="4" w:space="0" w:color="auto"/>
            </w:tcBorders>
            <w:shd w:val="clear" w:color="auto" w:fill="auto"/>
            <w:vAlign w:val="center"/>
            <w:hideMark/>
          </w:tcPr>
          <w:p w14:paraId="56999757"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Gardening and pet care</w:t>
            </w:r>
          </w:p>
        </w:tc>
        <w:tc>
          <w:tcPr>
            <w:tcW w:w="1376" w:type="dxa"/>
            <w:tcBorders>
              <w:left w:val="single" w:sz="4" w:space="0" w:color="auto"/>
            </w:tcBorders>
            <w:shd w:val="clear" w:color="auto" w:fill="auto"/>
            <w:noWrap/>
            <w:vAlign w:val="center"/>
          </w:tcPr>
          <w:p w14:paraId="5D4FCFA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0.6</w:t>
            </w:r>
          </w:p>
        </w:tc>
        <w:tc>
          <w:tcPr>
            <w:tcW w:w="1377" w:type="dxa"/>
            <w:shd w:val="clear" w:color="auto" w:fill="auto"/>
            <w:noWrap/>
            <w:vAlign w:val="center"/>
          </w:tcPr>
          <w:p w14:paraId="59DF0F5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32.7</w:t>
            </w:r>
          </w:p>
        </w:tc>
        <w:tc>
          <w:tcPr>
            <w:tcW w:w="1377" w:type="dxa"/>
            <w:shd w:val="clear" w:color="auto" w:fill="auto"/>
            <w:noWrap/>
            <w:vAlign w:val="center"/>
          </w:tcPr>
          <w:p w14:paraId="5D5C613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0.9</w:t>
            </w:r>
          </w:p>
        </w:tc>
        <w:tc>
          <w:tcPr>
            <w:tcW w:w="1377" w:type="dxa"/>
            <w:tcBorders>
              <w:right w:val="single" w:sz="4" w:space="0" w:color="auto"/>
            </w:tcBorders>
            <w:shd w:val="clear" w:color="auto" w:fill="auto"/>
            <w:noWrap/>
            <w:vAlign w:val="center"/>
          </w:tcPr>
          <w:p w14:paraId="3C0B127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39.2</w:t>
            </w:r>
          </w:p>
        </w:tc>
        <w:tc>
          <w:tcPr>
            <w:tcW w:w="1377" w:type="dxa"/>
            <w:tcBorders>
              <w:left w:val="single" w:sz="4" w:space="0" w:color="auto"/>
            </w:tcBorders>
            <w:shd w:val="clear" w:color="auto" w:fill="auto"/>
            <w:noWrap/>
            <w:vAlign w:val="center"/>
          </w:tcPr>
          <w:p w14:paraId="0FD026A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shd w:val="clear" w:color="auto" w:fill="auto"/>
            <w:noWrap/>
            <w:vAlign w:val="center"/>
          </w:tcPr>
          <w:p w14:paraId="3F67190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19.8</w:t>
            </w:r>
          </w:p>
        </w:tc>
        <w:tc>
          <w:tcPr>
            <w:tcW w:w="1377" w:type="dxa"/>
            <w:shd w:val="clear" w:color="auto" w:fill="auto"/>
            <w:noWrap/>
            <w:vAlign w:val="center"/>
          </w:tcPr>
          <w:p w14:paraId="7137E4E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0.7</w:t>
            </w:r>
          </w:p>
        </w:tc>
        <w:tc>
          <w:tcPr>
            <w:tcW w:w="1377" w:type="dxa"/>
            <w:shd w:val="clear" w:color="auto" w:fill="auto"/>
            <w:noWrap/>
            <w:vAlign w:val="center"/>
          </w:tcPr>
          <w:p w14:paraId="0855571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36.5</w:t>
            </w:r>
          </w:p>
        </w:tc>
      </w:tr>
      <w:tr w:rsidR="00330CEE" w:rsidRPr="004A792A" w14:paraId="41B0552E" w14:textId="77777777" w:rsidTr="0038245B">
        <w:tc>
          <w:tcPr>
            <w:tcW w:w="3544" w:type="dxa"/>
            <w:tcBorders>
              <w:right w:val="single" w:sz="4" w:space="0" w:color="auto"/>
            </w:tcBorders>
            <w:shd w:val="clear" w:color="auto" w:fill="auto"/>
            <w:vAlign w:val="center"/>
            <w:hideMark/>
          </w:tcPr>
          <w:p w14:paraId="3507776D"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Dish washing</w:t>
            </w:r>
          </w:p>
        </w:tc>
        <w:tc>
          <w:tcPr>
            <w:tcW w:w="1376" w:type="dxa"/>
            <w:tcBorders>
              <w:left w:val="single" w:sz="4" w:space="0" w:color="auto"/>
            </w:tcBorders>
            <w:shd w:val="clear" w:color="auto" w:fill="auto"/>
            <w:noWrap/>
            <w:vAlign w:val="center"/>
          </w:tcPr>
          <w:p w14:paraId="7A7D68C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0.1</w:t>
            </w:r>
          </w:p>
        </w:tc>
        <w:tc>
          <w:tcPr>
            <w:tcW w:w="1377" w:type="dxa"/>
            <w:shd w:val="clear" w:color="auto" w:fill="auto"/>
            <w:noWrap/>
            <w:vAlign w:val="center"/>
          </w:tcPr>
          <w:p w14:paraId="3829DF3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23.6</w:t>
            </w:r>
          </w:p>
        </w:tc>
        <w:tc>
          <w:tcPr>
            <w:tcW w:w="1377" w:type="dxa"/>
            <w:shd w:val="clear" w:color="auto" w:fill="auto"/>
            <w:noWrap/>
            <w:vAlign w:val="center"/>
          </w:tcPr>
          <w:p w14:paraId="3964B53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0.1</w:t>
            </w:r>
          </w:p>
        </w:tc>
        <w:tc>
          <w:tcPr>
            <w:tcW w:w="1377" w:type="dxa"/>
            <w:tcBorders>
              <w:right w:val="single" w:sz="4" w:space="0" w:color="auto"/>
            </w:tcBorders>
            <w:shd w:val="clear" w:color="auto" w:fill="auto"/>
            <w:noWrap/>
            <w:vAlign w:val="center"/>
          </w:tcPr>
          <w:p w14:paraId="6788EB5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22.4</w:t>
            </w:r>
          </w:p>
        </w:tc>
        <w:tc>
          <w:tcPr>
            <w:tcW w:w="1377" w:type="dxa"/>
            <w:tcBorders>
              <w:left w:val="single" w:sz="4" w:space="0" w:color="auto"/>
            </w:tcBorders>
            <w:shd w:val="clear" w:color="auto" w:fill="auto"/>
            <w:noWrap/>
            <w:vAlign w:val="center"/>
          </w:tcPr>
          <w:p w14:paraId="0AB8C20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0.4</w:t>
            </w:r>
          </w:p>
        </w:tc>
        <w:tc>
          <w:tcPr>
            <w:tcW w:w="1377" w:type="dxa"/>
            <w:shd w:val="clear" w:color="auto" w:fill="auto"/>
            <w:noWrap/>
            <w:vAlign w:val="center"/>
          </w:tcPr>
          <w:p w14:paraId="6CF7FEB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66.5</w:t>
            </w:r>
          </w:p>
        </w:tc>
        <w:tc>
          <w:tcPr>
            <w:tcW w:w="1377" w:type="dxa"/>
            <w:shd w:val="clear" w:color="auto" w:fill="auto"/>
            <w:noWrap/>
            <w:vAlign w:val="center"/>
          </w:tcPr>
          <w:p w14:paraId="00F4E9C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0.6</w:t>
            </w:r>
          </w:p>
        </w:tc>
        <w:tc>
          <w:tcPr>
            <w:tcW w:w="1377" w:type="dxa"/>
            <w:shd w:val="clear" w:color="auto" w:fill="auto"/>
            <w:noWrap/>
            <w:vAlign w:val="center"/>
          </w:tcPr>
          <w:p w14:paraId="4EB99C5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77.9</w:t>
            </w:r>
          </w:p>
        </w:tc>
      </w:tr>
      <w:tr w:rsidR="00330CEE" w:rsidRPr="004A792A" w14:paraId="252E128B" w14:textId="77777777" w:rsidTr="00330CEE">
        <w:tc>
          <w:tcPr>
            <w:tcW w:w="3544" w:type="dxa"/>
            <w:tcBorders>
              <w:bottom w:val="nil"/>
              <w:right w:val="single" w:sz="4" w:space="0" w:color="auto"/>
            </w:tcBorders>
            <w:shd w:val="clear" w:color="auto" w:fill="D9D9D9" w:themeFill="background1" w:themeFillShade="D9"/>
            <w:vAlign w:val="center"/>
            <w:hideMark/>
          </w:tcPr>
          <w:p w14:paraId="24C0B043"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Childcare</w:t>
            </w:r>
          </w:p>
        </w:tc>
        <w:tc>
          <w:tcPr>
            <w:tcW w:w="1376" w:type="dxa"/>
            <w:tcBorders>
              <w:left w:val="single" w:sz="4" w:space="0" w:color="auto"/>
              <w:bottom w:val="nil"/>
            </w:tcBorders>
            <w:shd w:val="clear" w:color="auto" w:fill="D9D9D9" w:themeFill="background1" w:themeFillShade="D9"/>
            <w:noWrap/>
            <w:vAlign w:val="center"/>
          </w:tcPr>
          <w:p w14:paraId="0F36B90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w:t>
            </w:r>
          </w:p>
        </w:tc>
        <w:tc>
          <w:tcPr>
            <w:tcW w:w="1377" w:type="dxa"/>
            <w:tcBorders>
              <w:bottom w:val="nil"/>
            </w:tcBorders>
            <w:shd w:val="clear" w:color="auto" w:fill="D9D9D9" w:themeFill="background1" w:themeFillShade="D9"/>
            <w:noWrap/>
            <w:vAlign w:val="center"/>
          </w:tcPr>
          <w:p w14:paraId="4166293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5.2</w:t>
            </w:r>
          </w:p>
        </w:tc>
        <w:tc>
          <w:tcPr>
            <w:tcW w:w="1377" w:type="dxa"/>
            <w:tcBorders>
              <w:bottom w:val="nil"/>
            </w:tcBorders>
            <w:shd w:val="clear" w:color="auto" w:fill="D9D9D9" w:themeFill="background1" w:themeFillShade="D9"/>
            <w:noWrap/>
            <w:vAlign w:val="center"/>
          </w:tcPr>
          <w:p w14:paraId="07475E9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right w:val="single" w:sz="4" w:space="0" w:color="auto"/>
            </w:tcBorders>
            <w:shd w:val="clear" w:color="auto" w:fill="D9D9D9" w:themeFill="background1" w:themeFillShade="D9"/>
            <w:noWrap/>
            <w:vAlign w:val="center"/>
          </w:tcPr>
          <w:p w14:paraId="5803E71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14.6</w:t>
            </w:r>
          </w:p>
        </w:tc>
        <w:tc>
          <w:tcPr>
            <w:tcW w:w="1377" w:type="dxa"/>
            <w:tcBorders>
              <w:left w:val="single" w:sz="4" w:space="0" w:color="auto"/>
              <w:bottom w:val="nil"/>
            </w:tcBorders>
            <w:shd w:val="clear" w:color="auto" w:fill="D9D9D9" w:themeFill="background1" w:themeFillShade="D9"/>
            <w:noWrap/>
            <w:vAlign w:val="center"/>
          </w:tcPr>
          <w:p w14:paraId="28C57EA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0.7</w:t>
            </w:r>
          </w:p>
        </w:tc>
        <w:tc>
          <w:tcPr>
            <w:tcW w:w="1377" w:type="dxa"/>
            <w:tcBorders>
              <w:bottom w:val="nil"/>
            </w:tcBorders>
            <w:shd w:val="clear" w:color="auto" w:fill="D9D9D9" w:themeFill="background1" w:themeFillShade="D9"/>
            <w:noWrap/>
            <w:vAlign w:val="center"/>
          </w:tcPr>
          <w:p w14:paraId="3B998F7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18.9</w:t>
            </w:r>
          </w:p>
        </w:tc>
        <w:tc>
          <w:tcPr>
            <w:tcW w:w="1377" w:type="dxa"/>
            <w:tcBorders>
              <w:bottom w:val="nil"/>
            </w:tcBorders>
            <w:shd w:val="clear" w:color="auto" w:fill="D9D9D9" w:themeFill="background1" w:themeFillShade="D9"/>
            <w:noWrap/>
            <w:vAlign w:val="center"/>
          </w:tcPr>
          <w:p w14:paraId="0D2168D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0.6</w:t>
            </w:r>
          </w:p>
        </w:tc>
        <w:tc>
          <w:tcPr>
            <w:tcW w:w="1377" w:type="dxa"/>
            <w:tcBorders>
              <w:bottom w:val="nil"/>
            </w:tcBorders>
            <w:shd w:val="clear" w:color="auto" w:fill="D9D9D9" w:themeFill="background1" w:themeFillShade="D9"/>
            <w:noWrap/>
            <w:vAlign w:val="center"/>
          </w:tcPr>
          <w:p w14:paraId="55BF410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27.2</w:t>
            </w:r>
          </w:p>
        </w:tc>
      </w:tr>
      <w:tr w:rsidR="00330CEE" w:rsidRPr="004A792A" w14:paraId="740091C6" w14:textId="77777777" w:rsidTr="0038245B">
        <w:tc>
          <w:tcPr>
            <w:tcW w:w="3544" w:type="dxa"/>
            <w:tcBorders>
              <w:bottom w:val="nil"/>
              <w:right w:val="single" w:sz="4" w:space="0" w:color="auto"/>
            </w:tcBorders>
            <w:shd w:val="clear" w:color="auto" w:fill="auto"/>
            <w:vAlign w:val="center"/>
          </w:tcPr>
          <w:p w14:paraId="738A1B09"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Cleaning dwelling</w:t>
            </w:r>
          </w:p>
        </w:tc>
        <w:tc>
          <w:tcPr>
            <w:tcW w:w="1376" w:type="dxa"/>
            <w:tcBorders>
              <w:left w:val="single" w:sz="4" w:space="0" w:color="auto"/>
              <w:bottom w:val="nil"/>
            </w:tcBorders>
            <w:shd w:val="clear" w:color="auto" w:fill="auto"/>
            <w:noWrap/>
            <w:vAlign w:val="center"/>
          </w:tcPr>
          <w:p w14:paraId="143C1F7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0.1</w:t>
            </w:r>
          </w:p>
        </w:tc>
        <w:tc>
          <w:tcPr>
            <w:tcW w:w="1377" w:type="dxa"/>
            <w:tcBorders>
              <w:bottom w:val="nil"/>
            </w:tcBorders>
            <w:shd w:val="clear" w:color="auto" w:fill="auto"/>
            <w:noWrap/>
            <w:vAlign w:val="center"/>
          </w:tcPr>
          <w:p w14:paraId="61908B3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12.5</w:t>
            </w:r>
          </w:p>
        </w:tc>
        <w:tc>
          <w:tcPr>
            <w:tcW w:w="1377" w:type="dxa"/>
            <w:tcBorders>
              <w:bottom w:val="nil"/>
            </w:tcBorders>
            <w:shd w:val="clear" w:color="auto" w:fill="auto"/>
            <w:noWrap/>
            <w:vAlign w:val="center"/>
          </w:tcPr>
          <w:p w14:paraId="0139E5D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0.1</w:t>
            </w:r>
          </w:p>
        </w:tc>
        <w:tc>
          <w:tcPr>
            <w:tcW w:w="1377" w:type="dxa"/>
            <w:tcBorders>
              <w:bottom w:val="nil"/>
              <w:right w:val="single" w:sz="4" w:space="0" w:color="auto"/>
            </w:tcBorders>
            <w:shd w:val="clear" w:color="auto" w:fill="auto"/>
            <w:noWrap/>
            <w:vAlign w:val="center"/>
          </w:tcPr>
          <w:p w14:paraId="25345F8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13.2</w:t>
            </w:r>
          </w:p>
        </w:tc>
        <w:tc>
          <w:tcPr>
            <w:tcW w:w="1377" w:type="dxa"/>
            <w:tcBorders>
              <w:left w:val="single" w:sz="4" w:space="0" w:color="auto"/>
              <w:bottom w:val="nil"/>
            </w:tcBorders>
            <w:shd w:val="clear" w:color="auto" w:fill="auto"/>
            <w:noWrap/>
            <w:vAlign w:val="center"/>
          </w:tcPr>
          <w:p w14:paraId="6541646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0.5</w:t>
            </w:r>
          </w:p>
        </w:tc>
        <w:tc>
          <w:tcPr>
            <w:tcW w:w="1377" w:type="dxa"/>
            <w:tcBorders>
              <w:bottom w:val="nil"/>
            </w:tcBorders>
            <w:shd w:val="clear" w:color="auto" w:fill="auto"/>
            <w:noWrap/>
            <w:vAlign w:val="center"/>
          </w:tcPr>
          <w:p w14:paraId="18B5CF20"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50.4</w:t>
            </w:r>
          </w:p>
        </w:tc>
        <w:tc>
          <w:tcPr>
            <w:tcW w:w="1377" w:type="dxa"/>
            <w:tcBorders>
              <w:bottom w:val="nil"/>
            </w:tcBorders>
            <w:shd w:val="clear" w:color="auto" w:fill="auto"/>
            <w:noWrap/>
            <w:vAlign w:val="center"/>
          </w:tcPr>
          <w:p w14:paraId="11D7B89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0.5</w:t>
            </w:r>
          </w:p>
        </w:tc>
        <w:tc>
          <w:tcPr>
            <w:tcW w:w="1377" w:type="dxa"/>
            <w:tcBorders>
              <w:bottom w:val="nil"/>
            </w:tcBorders>
            <w:shd w:val="clear" w:color="auto" w:fill="auto"/>
            <w:noWrap/>
            <w:vAlign w:val="center"/>
          </w:tcPr>
          <w:p w14:paraId="1BD275D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53.5</w:t>
            </w:r>
          </w:p>
        </w:tc>
      </w:tr>
      <w:tr w:rsidR="00330CEE" w:rsidRPr="004A792A" w14:paraId="1E5501F6" w14:textId="77777777" w:rsidTr="0038245B">
        <w:tc>
          <w:tcPr>
            <w:tcW w:w="3544" w:type="dxa"/>
            <w:tcBorders>
              <w:bottom w:val="nil"/>
              <w:right w:val="single" w:sz="4" w:space="0" w:color="auto"/>
            </w:tcBorders>
            <w:shd w:val="clear" w:color="auto" w:fill="auto"/>
            <w:vAlign w:val="center"/>
          </w:tcPr>
          <w:p w14:paraId="54E547BF"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Shopping and services</w:t>
            </w:r>
          </w:p>
        </w:tc>
        <w:tc>
          <w:tcPr>
            <w:tcW w:w="1376" w:type="dxa"/>
            <w:tcBorders>
              <w:left w:val="single" w:sz="4" w:space="0" w:color="auto"/>
              <w:bottom w:val="nil"/>
            </w:tcBorders>
            <w:shd w:val="clear" w:color="auto" w:fill="auto"/>
            <w:noWrap/>
            <w:vAlign w:val="center"/>
          </w:tcPr>
          <w:p w14:paraId="7AFE5D1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0B468BC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28.7</w:t>
            </w:r>
          </w:p>
        </w:tc>
        <w:tc>
          <w:tcPr>
            <w:tcW w:w="1377" w:type="dxa"/>
            <w:tcBorders>
              <w:bottom w:val="nil"/>
            </w:tcBorders>
            <w:shd w:val="clear" w:color="auto" w:fill="auto"/>
            <w:noWrap/>
            <w:vAlign w:val="center"/>
          </w:tcPr>
          <w:p w14:paraId="2C6E444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bottom w:val="nil"/>
              <w:right w:val="single" w:sz="4" w:space="0" w:color="auto"/>
            </w:tcBorders>
            <w:shd w:val="clear" w:color="auto" w:fill="auto"/>
            <w:noWrap/>
            <w:vAlign w:val="center"/>
          </w:tcPr>
          <w:p w14:paraId="1D3DA3C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30</w:t>
            </w:r>
          </w:p>
        </w:tc>
        <w:tc>
          <w:tcPr>
            <w:tcW w:w="1377" w:type="dxa"/>
            <w:tcBorders>
              <w:left w:val="single" w:sz="4" w:space="0" w:color="auto"/>
              <w:bottom w:val="nil"/>
            </w:tcBorders>
            <w:shd w:val="clear" w:color="auto" w:fill="auto"/>
            <w:noWrap/>
            <w:vAlign w:val="center"/>
          </w:tcPr>
          <w:p w14:paraId="60C17A5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797F1C0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32.5</w:t>
            </w:r>
          </w:p>
        </w:tc>
        <w:tc>
          <w:tcPr>
            <w:tcW w:w="1377" w:type="dxa"/>
            <w:tcBorders>
              <w:bottom w:val="nil"/>
            </w:tcBorders>
            <w:shd w:val="clear" w:color="auto" w:fill="auto"/>
            <w:noWrap/>
            <w:vAlign w:val="center"/>
          </w:tcPr>
          <w:p w14:paraId="1C63B3E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bottom w:val="nil"/>
            </w:tcBorders>
            <w:shd w:val="clear" w:color="auto" w:fill="auto"/>
            <w:noWrap/>
            <w:vAlign w:val="center"/>
          </w:tcPr>
          <w:p w14:paraId="37FA748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37.8</w:t>
            </w:r>
          </w:p>
        </w:tc>
      </w:tr>
      <w:tr w:rsidR="00330CEE" w:rsidRPr="004A792A" w14:paraId="4F612366" w14:textId="77777777" w:rsidTr="0038245B">
        <w:tc>
          <w:tcPr>
            <w:tcW w:w="3544" w:type="dxa"/>
            <w:tcBorders>
              <w:bottom w:val="nil"/>
              <w:right w:val="single" w:sz="4" w:space="0" w:color="auto"/>
            </w:tcBorders>
            <w:shd w:val="clear" w:color="auto" w:fill="auto"/>
            <w:vAlign w:val="center"/>
          </w:tcPr>
          <w:p w14:paraId="3E390692"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Laundry</w:t>
            </w:r>
          </w:p>
        </w:tc>
        <w:tc>
          <w:tcPr>
            <w:tcW w:w="1376" w:type="dxa"/>
            <w:tcBorders>
              <w:left w:val="single" w:sz="4" w:space="0" w:color="auto"/>
              <w:bottom w:val="nil"/>
            </w:tcBorders>
            <w:shd w:val="clear" w:color="auto" w:fill="auto"/>
            <w:noWrap/>
            <w:vAlign w:val="center"/>
          </w:tcPr>
          <w:p w14:paraId="2CBDDE7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w:t>
            </w:r>
          </w:p>
        </w:tc>
        <w:tc>
          <w:tcPr>
            <w:tcW w:w="1377" w:type="dxa"/>
            <w:tcBorders>
              <w:bottom w:val="nil"/>
            </w:tcBorders>
            <w:shd w:val="clear" w:color="auto" w:fill="auto"/>
            <w:noWrap/>
            <w:vAlign w:val="center"/>
          </w:tcPr>
          <w:p w14:paraId="0B0C436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w:t>
            </w:r>
          </w:p>
        </w:tc>
        <w:tc>
          <w:tcPr>
            <w:tcW w:w="1377" w:type="dxa"/>
            <w:tcBorders>
              <w:bottom w:val="nil"/>
            </w:tcBorders>
            <w:shd w:val="clear" w:color="auto" w:fill="auto"/>
            <w:noWrap/>
            <w:vAlign w:val="center"/>
          </w:tcPr>
          <w:p w14:paraId="708203B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w:t>
            </w:r>
          </w:p>
        </w:tc>
        <w:tc>
          <w:tcPr>
            <w:tcW w:w="1377" w:type="dxa"/>
            <w:tcBorders>
              <w:bottom w:val="nil"/>
              <w:right w:val="single" w:sz="4" w:space="0" w:color="auto"/>
            </w:tcBorders>
            <w:shd w:val="clear" w:color="auto" w:fill="auto"/>
            <w:noWrap/>
            <w:vAlign w:val="center"/>
          </w:tcPr>
          <w:p w14:paraId="46D603C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2.2</w:t>
            </w:r>
          </w:p>
        </w:tc>
        <w:tc>
          <w:tcPr>
            <w:tcW w:w="1377" w:type="dxa"/>
            <w:tcBorders>
              <w:left w:val="single" w:sz="4" w:space="0" w:color="auto"/>
              <w:bottom w:val="nil"/>
            </w:tcBorders>
            <w:shd w:val="clear" w:color="auto" w:fill="auto"/>
            <w:noWrap/>
            <w:vAlign w:val="center"/>
          </w:tcPr>
          <w:p w14:paraId="1B5D052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bottom w:val="nil"/>
            </w:tcBorders>
            <w:shd w:val="clear" w:color="auto" w:fill="auto"/>
            <w:noWrap/>
            <w:vAlign w:val="center"/>
          </w:tcPr>
          <w:p w14:paraId="5A9C552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20.1</w:t>
            </w:r>
          </w:p>
        </w:tc>
        <w:tc>
          <w:tcPr>
            <w:tcW w:w="1377" w:type="dxa"/>
            <w:tcBorders>
              <w:bottom w:val="nil"/>
            </w:tcBorders>
            <w:shd w:val="clear" w:color="auto" w:fill="auto"/>
            <w:noWrap/>
            <w:vAlign w:val="center"/>
          </w:tcPr>
          <w:p w14:paraId="3A7CAAA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bottom w:val="nil"/>
            </w:tcBorders>
            <w:shd w:val="clear" w:color="auto" w:fill="auto"/>
            <w:noWrap/>
            <w:vAlign w:val="center"/>
          </w:tcPr>
          <w:p w14:paraId="5BAB22C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26.7</w:t>
            </w:r>
          </w:p>
        </w:tc>
      </w:tr>
      <w:tr w:rsidR="00330CEE" w:rsidRPr="004A792A" w14:paraId="6974D3FA" w14:textId="77777777" w:rsidTr="0038245B">
        <w:tc>
          <w:tcPr>
            <w:tcW w:w="3544" w:type="dxa"/>
            <w:tcBorders>
              <w:bottom w:val="nil"/>
              <w:right w:val="single" w:sz="4" w:space="0" w:color="auto"/>
            </w:tcBorders>
            <w:shd w:val="clear" w:color="auto" w:fill="auto"/>
            <w:vAlign w:val="center"/>
          </w:tcPr>
          <w:p w14:paraId="5C97DF5D" w14:textId="77777777" w:rsidR="00330CEE" w:rsidRPr="004A792A" w:rsidRDefault="00330CEE" w:rsidP="00330CEE">
            <w:pPr>
              <w:spacing w:before="0"/>
              <w:jc w:val="right"/>
              <w:rPr>
                <w:rFonts w:eastAsia="Times New Roman" w:cstheme="minorHAnsi"/>
                <w:color w:val="000000"/>
                <w:sz w:val="20"/>
                <w:szCs w:val="20"/>
                <w:lang w:val="en-US"/>
              </w:rPr>
            </w:pPr>
            <w:r w:rsidRPr="004A792A">
              <w:rPr>
                <w:rFonts w:cstheme="minorHAnsi"/>
                <w:color w:val="000000"/>
                <w:sz w:val="20"/>
                <w:szCs w:val="20"/>
                <w:lang w:val="en-US"/>
              </w:rPr>
              <w:t>Heating and water</w:t>
            </w:r>
          </w:p>
        </w:tc>
        <w:tc>
          <w:tcPr>
            <w:tcW w:w="1376" w:type="dxa"/>
            <w:tcBorders>
              <w:left w:val="single" w:sz="4" w:space="0" w:color="auto"/>
              <w:bottom w:val="nil"/>
            </w:tcBorders>
            <w:shd w:val="clear" w:color="auto" w:fill="auto"/>
            <w:noWrap/>
            <w:vAlign w:val="center"/>
          </w:tcPr>
          <w:p w14:paraId="4960CE6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21DBE4B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17.9</w:t>
            </w:r>
          </w:p>
        </w:tc>
        <w:tc>
          <w:tcPr>
            <w:tcW w:w="1377" w:type="dxa"/>
            <w:tcBorders>
              <w:bottom w:val="nil"/>
            </w:tcBorders>
            <w:shd w:val="clear" w:color="auto" w:fill="auto"/>
            <w:noWrap/>
            <w:vAlign w:val="center"/>
          </w:tcPr>
          <w:p w14:paraId="0BE143E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0.4</w:t>
            </w:r>
          </w:p>
        </w:tc>
        <w:tc>
          <w:tcPr>
            <w:tcW w:w="1377" w:type="dxa"/>
            <w:tcBorders>
              <w:bottom w:val="nil"/>
              <w:right w:val="single" w:sz="4" w:space="0" w:color="auto"/>
            </w:tcBorders>
            <w:shd w:val="clear" w:color="auto" w:fill="auto"/>
            <w:noWrap/>
            <w:vAlign w:val="center"/>
          </w:tcPr>
          <w:p w14:paraId="5BF5BF9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23.4</w:t>
            </w:r>
          </w:p>
        </w:tc>
        <w:tc>
          <w:tcPr>
            <w:tcW w:w="1377" w:type="dxa"/>
            <w:tcBorders>
              <w:left w:val="single" w:sz="4" w:space="0" w:color="auto"/>
              <w:bottom w:val="nil"/>
            </w:tcBorders>
            <w:shd w:val="clear" w:color="auto" w:fill="auto"/>
            <w:noWrap/>
            <w:vAlign w:val="center"/>
          </w:tcPr>
          <w:p w14:paraId="7DC3EE2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0.1</w:t>
            </w:r>
          </w:p>
        </w:tc>
        <w:tc>
          <w:tcPr>
            <w:tcW w:w="1377" w:type="dxa"/>
            <w:tcBorders>
              <w:bottom w:val="nil"/>
            </w:tcBorders>
            <w:shd w:val="clear" w:color="auto" w:fill="auto"/>
            <w:noWrap/>
            <w:vAlign w:val="center"/>
          </w:tcPr>
          <w:p w14:paraId="60952AE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10.7</w:t>
            </w:r>
          </w:p>
        </w:tc>
        <w:tc>
          <w:tcPr>
            <w:tcW w:w="1377" w:type="dxa"/>
            <w:tcBorders>
              <w:bottom w:val="nil"/>
            </w:tcBorders>
            <w:shd w:val="clear" w:color="auto" w:fill="auto"/>
            <w:noWrap/>
            <w:vAlign w:val="center"/>
          </w:tcPr>
          <w:p w14:paraId="559B07B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0.1</w:t>
            </w:r>
          </w:p>
        </w:tc>
        <w:tc>
          <w:tcPr>
            <w:tcW w:w="1377" w:type="dxa"/>
            <w:tcBorders>
              <w:bottom w:val="nil"/>
            </w:tcBorders>
            <w:shd w:val="clear" w:color="auto" w:fill="auto"/>
            <w:noWrap/>
            <w:vAlign w:val="center"/>
          </w:tcPr>
          <w:p w14:paraId="37844C6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17.7</w:t>
            </w:r>
          </w:p>
        </w:tc>
      </w:tr>
      <w:tr w:rsidR="00330CEE" w:rsidRPr="004A792A" w14:paraId="402D2EEF" w14:textId="77777777" w:rsidTr="0038245B">
        <w:tc>
          <w:tcPr>
            <w:tcW w:w="3544" w:type="dxa"/>
            <w:tcBorders>
              <w:bottom w:val="nil"/>
              <w:right w:val="single" w:sz="4" w:space="0" w:color="auto"/>
            </w:tcBorders>
            <w:shd w:val="clear" w:color="auto" w:fill="auto"/>
            <w:vAlign w:val="center"/>
          </w:tcPr>
          <w:p w14:paraId="41F50A9E"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Voluntary work and meetings</w:t>
            </w:r>
          </w:p>
        </w:tc>
        <w:tc>
          <w:tcPr>
            <w:tcW w:w="1376" w:type="dxa"/>
            <w:tcBorders>
              <w:left w:val="single" w:sz="4" w:space="0" w:color="auto"/>
              <w:bottom w:val="nil"/>
            </w:tcBorders>
            <w:shd w:val="clear" w:color="auto" w:fill="auto"/>
            <w:noWrap/>
            <w:vAlign w:val="center"/>
          </w:tcPr>
          <w:p w14:paraId="70A51F5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09B06BE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8.6</w:t>
            </w:r>
          </w:p>
        </w:tc>
        <w:tc>
          <w:tcPr>
            <w:tcW w:w="1377" w:type="dxa"/>
            <w:tcBorders>
              <w:bottom w:val="nil"/>
            </w:tcBorders>
            <w:shd w:val="clear" w:color="auto" w:fill="auto"/>
            <w:noWrap/>
            <w:vAlign w:val="center"/>
          </w:tcPr>
          <w:p w14:paraId="50285D5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0.4</w:t>
            </w:r>
          </w:p>
        </w:tc>
        <w:tc>
          <w:tcPr>
            <w:tcW w:w="1377" w:type="dxa"/>
            <w:tcBorders>
              <w:bottom w:val="nil"/>
              <w:right w:val="single" w:sz="4" w:space="0" w:color="auto"/>
            </w:tcBorders>
            <w:shd w:val="clear" w:color="auto" w:fill="auto"/>
            <w:noWrap/>
            <w:vAlign w:val="center"/>
          </w:tcPr>
          <w:p w14:paraId="379216C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12.9</w:t>
            </w:r>
          </w:p>
        </w:tc>
        <w:tc>
          <w:tcPr>
            <w:tcW w:w="1377" w:type="dxa"/>
            <w:tcBorders>
              <w:left w:val="single" w:sz="4" w:space="0" w:color="auto"/>
              <w:bottom w:val="nil"/>
            </w:tcBorders>
            <w:shd w:val="clear" w:color="auto" w:fill="auto"/>
            <w:noWrap/>
            <w:vAlign w:val="center"/>
          </w:tcPr>
          <w:p w14:paraId="7A804B9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26E00F3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7.8</w:t>
            </w:r>
          </w:p>
        </w:tc>
        <w:tc>
          <w:tcPr>
            <w:tcW w:w="1377" w:type="dxa"/>
            <w:tcBorders>
              <w:bottom w:val="nil"/>
            </w:tcBorders>
            <w:shd w:val="clear" w:color="auto" w:fill="auto"/>
            <w:noWrap/>
            <w:vAlign w:val="center"/>
          </w:tcPr>
          <w:p w14:paraId="7CB5398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0.4</w:t>
            </w:r>
          </w:p>
        </w:tc>
        <w:tc>
          <w:tcPr>
            <w:tcW w:w="1377" w:type="dxa"/>
            <w:tcBorders>
              <w:bottom w:val="nil"/>
            </w:tcBorders>
            <w:shd w:val="clear" w:color="auto" w:fill="auto"/>
            <w:noWrap/>
            <w:vAlign w:val="center"/>
          </w:tcPr>
          <w:p w14:paraId="4F6DBE5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16.1</w:t>
            </w:r>
          </w:p>
        </w:tc>
      </w:tr>
      <w:tr w:rsidR="00330CEE" w:rsidRPr="004A792A" w14:paraId="263B9347" w14:textId="77777777" w:rsidTr="0038245B">
        <w:tc>
          <w:tcPr>
            <w:tcW w:w="3544" w:type="dxa"/>
            <w:tcBorders>
              <w:bottom w:val="nil"/>
              <w:right w:val="single" w:sz="4" w:space="0" w:color="auto"/>
            </w:tcBorders>
            <w:shd w:val="clear" w:color="auto" w:fill="auto"/>
            <w:vAlign w:val="center"/>
          </w:tcPr>
          <w:p w14:paraId="206E5A4C"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Social life and entertainment</w:t>
            </w:r>
          </w:p>
        </w:tc>
        <w:tc>
          <w:tcPr>
            <w:tcW w:w="1376" w:type="dxa"/>
            <w:tcBorders>
              <w:left w:val="single" w:sz="4" w:space="0" w:color="auto"/>
              <w:bottom w:val="nil"/>
            </w:tcBorders>
            <w:shd w:val="clear" w:color="auto" w:fill="auto"/>
            <w:noWrap/>
            <w:vAlign w:val="center"/>
          </w:tcPr>
          <w:p w14:paraId="448AD66C"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1.4</w:t>
            </w:r>
          </w:p>
        </w:tc>
        <w:tc>
          <w:tcPr>
            <w:tcW w:w="1377" w:type="dxa"/>
            <w:tcBorders>
              <w:bottom w:val="nil"/>
            </w:tcBorders>
            <w:shd w:val="clear" w:color="auto" w:fill="auto"/>
            <w:noWrap/>
            <w:vAlign w:val="center"/>
          </w:tcPr>
          <w:p w14:paraId="1D50CBA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70.2</w:t>
            </w:r>
          </w:p>
        </w:tc>
        <w:tc>
          <w:tcPr>
            <w:tcW w:w="1377" w:type="dxa"/>
            <w:tcBorders>
              <w:bottom w:val="nil"/>
            </w:tcBorders>
            <w:shd w:val="clear" w:color="auto" w:fill="auto"/>
            <w:noWrap/>
            <w:vAlign w:val="center"/>
          </w:tcPr>
          <w:p w14:paraId="3FA14DB0"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w:t>
            </w:r>
          </w:p>
        </w:tc>
        <w:tc>
          <w:tcPr>
            <w:tcW w:w="1377" w:type="dxa"/>
            <w:tcBorders>
              <w:bottom w:val="nil"/>
              <w:right w:val="single" w:sz="4" w:space="0" w:color="auto"/>
            </w:tcBorders>
            <w:shd w:val="clear" w:color="auto" w:fill="auto"/>
            <w:noWrap/>
            <w:vAlign w:val="center"/>
          </w:tcPr>
          <w:p w14:paraId="2A2E1D20"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71</w:t>
            </w:r>
          </w:p>
        </w:tc>
        <w:tc>
          <w:tcPr>
            <w:tcW w:w="1377" w:type="dxa"/>
            <w:tcBorders>
              <w:left w:val="single" w:sz="4" w:space="0" w:color="auto"/>
              <w:bottom w:val="nil"/>
            </w:tcBorders>
            <w:shd w:val="clear" w:color="auto" w:fill="auto"/>
            <w:noWrap/>
            <w:vAlign w:val="center"/>
          </w:tcPr>
          <w:p w14:paraId="4620135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1.1</w:t>
            </w:r>
          </w:p>
        </w:tc>
        <w:tc>
          <w:tcPr>
            <w:tcW w:w="1377" w:type="dxa"/>
            <w:tcBorders>
              <w:bottom w:val="nil"/>
            </w:tcBorders>
            <w:shd w:val="clear" w:color="auto" w:fill="auto"/>
            <w:noWrap/>
            <w:vAlign w:val="center"/>
          </w:tcPr>
          <w:p w14:paraId="5792CBB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66.5</w:t>
            </w:r>
          </w:p>
        </w:tc>
        <w:tc>
          <w:tcPr>
            <w:tcW w:w="1377" w:type="dxa"/>
            <w:tcBorders>
              <w:bottom w:val="nil"/>
            </w:tcBorders>
            <w:shd w:val="clear" w:color="auto" w:fill="auto"/>
            <w:noWrap/>
            <w:vAlign w:val="center"/>
          </w:tcPr>
          <w:p w14:paraId="359E26E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0.8</w:t>
            </w:r>
          </w:p>
        </w:tc>
        <w:tc>
          <w:tcPr>
            <w:tcW w:w="1377" w:type="dxa"/>
            <w:tcBorders>
              <w:bottom w:val="nil"/>
            </w:tcBorders>
            <w:shd w:val="clear" w:color="auto" w:fill="auto"/>
            <w:noWrap/>
            <w:vAlign w:val="center"/>
          </w:tcPr>
          <w:p w14:paraId="0F46B28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63.2</w:t>
            </w:r>
          </w:p>
        </w:tc>
      </w:tr>
      <w:tr w:rsidR="00330CEE" w:rsidRPr="004A792A" w14:paraId="06C8C1F6" w14:textId="77777777" w:rsidTr="0038245B">
        <w:tc>
          <w:tcPr>
            <w:tcW w:w="3544" w:type="dxa"/>
            <w:tcBorders>
              <w:bottom w:val="nil"/>
              <w:right w:val="single" w:sz="4" w:space="0" w:color="auto"/>
            </w:tcBorders>
            <w:shd w:val="clear" w:color="auto" w:fill="auto"/>
            <w:vAlign w:val="center"/>
          </w:tcPr>
          <w:p w14:paraId="568DC10A"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Sports and outdoor activities</w:t>
            </w:r>
          </w:p>
        </w:tc>
        <w:tc>
          <w:tcPr>
            <w:tcW w:w="1376" w:type="dxa"/>
            <w:tcBorders>
              <w:left w:val="single" w:sz="4" w:space="0" w:color="auto"/>
              <w:bottom w:val="nil"/>
            </w:tcBorders>
            <w:shd w:val="clear" w:color="auto" w:fill="auto"/>
            <w:noWrap/>
            <w:vAlign w:val="center"/>
          </w:tcPr>
          <w:p w14:paraId="173389F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0.8</w:t>
            </w:r>
          </w:p>
        </w:tc>
        <w:tc>
          <w:tcPr>
            <w:tcW w:w="1377" w:type="dxa"/>
            <w:tcBorders>
              <w:bottom w:val="nil"/>
            </w:tcBorders>
            <w:shd w:val="clear" w:color="auto" w:fill="auto"/>
            <w:noWrap/>
            <w:vAlign w:val="center"/>
          </w:tcPr>
          <w:p w14:paraId="2F40300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35.8</w:t>
            </w:r>
          </w:p>
        </w:tc>
        <w:tc>
          <w:tcPr>
            <w:tcW w:w="1377" w:type="dxa"/>
            <w:tcBorders>
              <w:bottom w:val="nil"/>
            </w:tcBorders>
            <w:shd w:val="clear" w:color="auto" w:fill="auto"/>
            <w:noWrap/>
            <w:vAlign w:val="center"/>
          </w:tcPr>
          <w:p w14:paraId="4C7E7273"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bottom w:val="nil"/>
              <w:right w:val="single" w:sz="4" w:space="0" w:color="auto"/>
            </w:tcBorders>
            <w:shd w:val="clear" w:color="auto" w:fill="auto"/>
            <w:noWrap/>
            <w:vAlign w:val="center"/>
          </w:tcPr>
          <w:p w14:paraId="29F988A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15.2</w:t>
            </w:r>
          </w:p>
        </w:tc>
        <w:tc>
          <w:tcPr>
            <w:tcW w:w="1377" w:type="dxa"/>
            <w:tcBorders>
              <w:left w:val="single" w:sz="4" w:space="0" w:color="auto"/>
              <w:bottom w:val="nil"/>
            </w:tcBorders>
            <w:shd w:val="clear" w:color="auto" w:fill="auto"/>
            <w:noWrap/>
            <w:vAlign w:val="center"/>
          </w:tcPr>
          <w:p w14:paraId="64FD726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0.6</w:t>
            </w:r>
          </w:p>
        </w:tc>
        <w:tc>
          <w:tcPr>
            <w:tcW w:w="1377" w:type="dxa"/>
            <w:tcBorders>
              <w:bottom w:val="nil"/>
            </w:tcBorders>
            <w:shd w:val="clear" w:color="auto" w:fill="auto"/>
            <w:noWrap/>
            <w:vAlign w:val="center"/>
          </w:tcPr>
          <w:p w14:paraId="6A1B72B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34.4</w:t>
            </w:r>
          </w:p>
        </w:tc>
        <w:tc>
          <w:tcPr>
            <w:tcW w:w="1377" w:type="dxa"/>
            <w:tcBorders>
              <w:bottom w:val="nil"/>
            </w:tcBorders>
            <w:shd w:val="clear" w:color="auto" w:fill="auto"/>
            <w:noWrap/>
            <w:vAlign w:val="center"/>
          </w:tcPr>
          <w:p w14:paraId="3A0C1239"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7C23DC5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15</w:t>
            </w:r>
          </w:p>
        </w:tc>
      </w:tr>
      <w:tr w:rsidR="00330CEE" w:rsidRPr="004A792A" w14:paraId="7F5ACDF6" w14:textId="77777777" w:rsidTr="0038245B">
        <w:tc>
          <w:tcPr>
            <w:tcW w:w="3544" w:type="dxa"/>
            <w:tcBorders>
              <w:bottom w:val="nil"/>
              <w:right w:val="single" w:sz="4" w:space="0" w:color="auto"/>
            </w:tcBorders>
            <w:shd w:val="clear" w:color="auto" w:fill="auto"/>
            <w:vAlign w:val="center"/>
          </w:tcPr>
          <w:p w14:paraId="5EC5B170"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Hobbies and computing</w:t>
            </w:r>
          </w:p>
        </w:tc>
        <w:tc>
          <w:tcPr>
            <w:tcW w:w="1376" w:type="dxa"/>
            <w:tcBorders>
              <w:left w:val="single" w:sz="4" w:space="0" w:color="auto"/>
              <w:bottom w:val="nil"/>
            </w:tcBorders>
            <w:shd w:val="clear" w:color="auto" w:fill="auto"/>
            <w:noWrap/>
            <w:vAlign w:val="center"/>
          </w:tcPr>
          <w:p w14:paraId="613502E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1.4</w:t>
            </w:r>
          </w:p>
        </w:tc>
        <w:tc>
          <w:tcPr>
            <w:tcW w:w="1377" w:type="dxa"/>
            <w:tcBorders>
              <w:bottom w:val="nil"/>
            </w:tcBorders>
            <w:shd w:val="clear" w:color="auto" w:fill="auto"/>
            <w:noWrap/>
            <w:vAlign w:val="center"/>
          </w:tcPr>
          <w:p w14:paraId="49BE5E38"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51.7</w:t>
            </w:r>
          </w:p>
        </w:tc>
        <w:tc>
          <w:tcPr>
            <w:tcW w:w="1377" w:type="dxa"/>
            <w:tcBorders>
              <w:bottom w:val="nil"/>
            </w:tcBorders>
            <w:shd w:val="clear" w:color="auto" w:fill="auto"/>
            <w:noWrap/>
            <w:vAlign w:val="center"/>
          </w:tcPr>
          <w:p w14:paraId="27316A8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0.3</w:t>
            </w:r>
          </w:p>
        </w:tc>
        <w:tc>
          <w:tcPr>
            <w:tcW w:w="1377" w:type="dxa"/>
            <w:tcBorders>
              <w:bottom w:val="nil"/>
              <w:right w:val="single" w:sz="4" w:space="0" w:color="auto"/>
            </w:tcBorders>
            <w:shd w:val="clear" w:color="auto" w:fill="auto"/>
            <w:noWrap/>
            <w:vAlign w:val="center"/>
          </w:tcPr>
          <w:p w14:paraId="2DD185C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16.8</w:t>
            </w:r>
          </w:p>
        </w:tc>
        <w:tc>
          <w:tcPr>
            <w:tcW w:w="1377" w:type="dxa"/>
            <w:tcBorders>
              <w:left w:val="single" w:sz="4" w:space="0" w:color="auto"/>
              <w:bottom w:val="nil"/>
            </w:tcBorders>
            <w:shd w:val="clear" w:color="auto" w:fill="auto"/>
            <w:noWrap/>
            <w:vAlign w:val="center"/>
          </w:tcPr>
          <w:p w14:paraId="5A05117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w:t>
            </w:r>
          </w:p>
        </w:tc>
        <w:tc>
          <w:tcPr>
            <w:tcW w:w="1377" w:type="dxa"/>
            <w:tcBorders>
              <w:bottom w:val="nil"/>
            </w:tcBorders>
            <w:shd w:val="clear" w:color="auto" w:fill="auto"/>
            <w:noWrap/>
            <w:vAlign w:val="center"/>
          </w:tcPr>
          <w:p w14:paraId="0F7C89C2"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50.9</w:t>
            </w:r>
          </w:p>
        </w:tc>
        <w:tc>
          <w:tcPr>
            <w:tcW w:w="1377" w:type="dxa"/>
            <w:tcBorders>
              <w:bottom w:val="nil"/>
            </w:tcBorders>
            <w:shd w:val="clear" w:color="auto" w:fill="auto"/>
            <w:noWrap/>
            <w:vAlign w:val="center"/>
          </w:tcPr>
          <w:p w14:paraId="37BD846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0.2</w:t>
            </w:r>
          </w:p>
        </w:tc>
        <w:tc>
          <w:tcPr>
            <w:tcW w:w="1377" w:type="dxa"/>
            <w:tcBorders>
              <w:bottom w:val="nil"/>
            </w:tcBorders>
            <w:shd w:val="clear" w:color="auto" w:fill="auto"/>
            <w:noWrap/>
            <w:vAlign w:val="center"/>
          </w:tcPr>
          <w:p w14:paraId="7C8E6F8F"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13</w:t>
            </w:r>
          </w:p>
        </w:tc>
      </w:tr>
      <w:tr w:rsidR="00330CEE" w:rsidRPr="004A792A" w14:paraId="5DBD92A2" w14:textId="77777777" w:rsidTr="00330CEE">
        <w:tc>
          <w:tcPr>
            <w:tcW w:w="3544" w:type="dxa"/>
            <w:tcBorders>
              <w:bottom w:val="nil"/>
              <w:right w:val="single" w:sz="4" w:space="0" w:color="auto"/>
            </w:tcBorders>
            <w:shd w:val="clear" w:color="auto" w:fill="auto"/>
            <w:vAlign w:val="center"/>
          </w:tcPr>
          <w:p w14:paraId="599C50E0"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Mass media</w:t>
            </w:r>
          </w:p>
        </w:tc>
        <w:tc>
          <w:tcPr>
            <w:tcW w:w="1376" w:type="dxa"/>
            <w:tcBorders>
              <w:left w:val="single" w:sz="4" w:space="0" w:color="auto"/>
              <w:bottom w:val="nil"/>
            </w:tcBorders>
            <w:shd w:val="clear" w:color="auto" w:fill="auto"/>
            <w:noWrap/>
            <w:vAlign w:val="center"/>
          </w:tcPr>
          <w:p w14:paraId="5CD77A9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1.8</w:t>
            </w:r>
          </w:p>
        </w:tc>
        <w:tc>
          <w:tcPr>
            <w:tcW w:w="1377" w:type="dxa"/>
            <w:tcBorders>
              <w:bottom w:val="nil"/>
            </w:tcBorders>
            <w:shd w:val="clear" w:color="auto" w:fill="auto"/>
            <w:noWrap/>
            <w:vAlign w:val="center"/>
          </w:tcPr>
          <w:p w14:paraId="5187BFB0"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76.8</w:t>
            </w:r>
          </w:p>
        </w:tc>
        <w:tc>
          <w:tcPr>
            <w:tcW w:w="1377" w:type="dxa"/>
            <w:tcBorders>
              <w:bottom w:val="nil"/>
            </w:tcBorders>
            <w:shd w:val="clear" w:color="auto" w:fill="auto"/>
            <w:noWrap/>
            <w:vAlign w:val="center"/>
          </w:tcPr>
          <w:p w14:paraId="5FD196E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2.4</w:t>
            </w:r>
          </w:p>
        </w:tc>
        <w:tc>
          <w:tcPr>
            <w:tcW w:w="1377" w:type="dxa"/>
            <w:tcBorders>
              <w:bottom w:val="nil"/>
              <w:right w:val="single" w:sz="4" w:space="0" w:color="auto"/>
            </w:tcBorders>
            <w:shd w:val="clear" w:color="auto" w:fill="auto"/>
            <w:noWrap/>
            <w:vAlign w:val="center"/>
          </w:tcPr>
          <w:p w14:paraId="06981A0E"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85.5</w:t>
            </w:r>
          </w:p>
        </w:tc>
        <w:tc>
          <w:tcPr>
            <w:tcW w:w="1377" w:type="dxa"/>
            <w:tcBorders>
              <w:left w:val="single" w:sz="4" w:space="0" w:color="auto"/>
              <w:bottom w:val="nil"/>
            </w:tcBorders>
            <w:shd w:val="clear" w:color="auto" w:fill="auto"/>
            <w:noWrap/>
            <w:vAlign w:val="center"/>
          </w:tcPr>
          <w:p w14:paraId="142C4CA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1.6</w:t>
            </w:r>
          </w:p>
        </w:tc>
        <w:tc>
          <w:tcPr>
            <w:tcW w:w="1377" w:type="dxa"/>
            <w:tcBorders>
              <w:bottom w:val="nil"/>
            </w:tcBorders>
            <w:shd w:val="clear" w:color="auto" w:fill="auto"/>
            <w:noWrap/>
            <w:vAlign w:val="center"/>
          </w:tcPr>
          <w:p w14:paraId="028553AD"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79.2</w:t>
            </w:r>
          </w:p>
        </w:tc>
        <w:tc>
          <w:tcPr>
            <w:tcW w:w="1377" w:type="dxa"/>
            <w:tcBorders>
              <w:bottom w:val="nil"/>
            </w:tcBorders>
            <w:shd w:val="clear" w:color="auto" w:fill="auto"/>
            <w:noWrap/>
            <w:vAlign w:val="center"/>
          </w:tcPr>
          <w:p w14:paraId="4FE7BF61"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1.9</w:t>
            </w:r>
          </w:p>
        </w:tc>
        <w:tc>
          <w:tcPr>
            <w:tcW w:w="1377" w:type="dxa"/>
            <w:tcBorders>
              <w:bottom w:val="nil"/>
            </w:tcBorders>
            <w:shd w:val="clear" w:color="auto" w:fill="auto"/>
            <w:noWrap/>
            <w:vAlign w:val="center"/>
          </w:tcPr>
          <w:p w14:paraId="08A5DA8A"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84.7</w:t>
            </w:r>
          </w:p>
        </w:tc>
      </w:tr>
      <w:tr w:rsidR="00330CEE" w:rsidRPr="004A792A" w14:paraId="75DCD3A1" w14:textId="77777777" w:rsidTr="00330CEE">
        <w:tc>
          <w:tcPr>
            <w:tcW w:w="3544" w:type="dxa"/>
            <w:tcBorders>
              <w:top w:val="nil"/>
              <w:bottom w:val="single" w:sz="4" w:space="0" w:color="auto"/>
              <w:right w:val="single" w:sz="4" w:space="0" w:color="auto"/>
            </w:tcBorders>
            <w:shd w:val="clear" w:color="auto" w:fill="auto"/>
            <w:vAlign w:val="center"/>
          </w:tcPr>
          <w:p w14:paraId="4CAF3B06" w14:textId="77777777" w:rsidR="00330CEE" w:rsidRPr="004A792A" w:rsidRDefault="00330CEE" w:rsidP="00330CEE">
            <w:pPr>
              <w:spacing w:before="0"/>
              <w:rPr>
                <w:rFonts w:eastAsia="Times New Roman" w:cstheme="minorHAnsi"/>
                <w:color w:val="000000"/>
                <w:sz w:val="20"/>
                <w:szCs w:val="20"/>
                <w:lang w:val="en-US"/>
              </w:rPr>
            </w:pPr>
            <w:r w:rsidRPr="004A792A">
              <w:rPr>
                <w:rFonts w:cstheme="minorHAnsi"/>
                <w:color w:val="000000"/>
                <w:sz w:val="20"/>
                <w:szCs w:val="20"/>
                <w:lang w:val="en-US"/>
              </w:rPr>
              <w:t>Travel</w:t>
            </w:r>
          </w:p>
        </w:tc>
        <w:tc>
          <w:tcPr>
            <w:tcW w:w="1376" w:type="dxa"/>
            <w:tcBorders>
              <w:top w:val="nil"/>
              <w:left w:val="single" w:sz="4" w:space="0" w:color="auto"/>
              <w:bottom w:val="single" w:sz="4" w:space="0" w:color="auto"/>
            </w:tcBorders>
            <w:shd w:val="clear" w:color="auto" w:fill="auto"/>
            <w:noWrap/>
            <w:vAlign w:val="center"/>
          </w:tcPr>
          <w:p w14:paraId="79783DC7"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1.4</w:t>
            </w:r>
          </w:p>
        </w:tc>
        <w:tc>
          <w:tcPr>
            <w:tcW w:w="1377" w:type="dxa"/>
            <w:tcBorders>
              <w:top w:val="nil"/>
              <w:bottom w:val="single" w:sz="4" w:space="0" w:color="auto"/>
            </w:tcBorders>
            <w:shd w:val="clear" w:color="auto" w:fill="auto"/>
            <w:noWrap/>
            <w:vAlign w:val="center"/>
          </w:tcPr>
          <w:p w14:paraId="14E6EB0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88.8</w:t>
            </w:r>
          </w:p>
        </w:tc>
        <w:tc>
          <w:tcPr>
            <w:tcW w:w="1377" w:type="dxa"/>
            <w:tcBorders>
              <w:top w:val="nil"/>
              <w:bottom w:val="single" w:sz="4" w:space="0" w:color="auto"/>
            </w:tcBorders>
            <w:shd w:val="clear" w:color="auto" w:fill="auto"/>
            <w:noWrap/>
            <w:vAlign w:val="center"/>
          </w:tcPr>
          <w:p w14:paraId="79D2A555"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1.2</w:t>
            </w:r>
          </w:p>
        </w:tc>
        <w:tc>
          <w:tcPr>
            <w:tcW w:w="1377" w:type="dxa"/>
            <w:tcBorders>
              <w:top w:val="nil"/>
              <w:bottom w:val="single" w:sz="4" w:space="0" w:color="auto"/>
              <w:right w:val="single" w:sz="4" w:space="0" w:color="auto"/>
            </w:tcBorders>
            <w:shd w:val="clear" w:color="auto" w:fill="auto"/>
            <w:noWrap/>
            <w:vAlign w:val="center"/>
          </w:tcPr>
          <w:p w14:paraId="211DA68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85.6</w:t>
            </w:r>
          </w:p>
        </w:tc>
        <w:tc>
          <w:tcPr>
            <w:tcW w:w="1377" w:type="dxa"/>
            <w:tcBorders>
              <w:top w:val="nil"/>
              <w:left w:val="single" w:sz="4" w:space="0" w:color="auto"/>
              <w:bottom w:val="single" w:sz="4" w:space="0" w:color="auto"/>
            </w:tcBorders>
            <w:shd w:val="clear" w:color="auto" w:fill="auto"/>
            <w:noWrap/>
            <w:vAlign w:val="center"/>
          </w:tcPr>
          <w:p w14:paraId="0989DA84"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1.3</w:t>
            </w:r>
          </w:p>
        </w:tc>
        <w:tc>
          <w:tcPr>
            <w:tcW w:w="1377" w:type="dxa"/>
            <w:tcBorders>
              <w:top w:val="nil"/>
              <w:bottom w:val="single" w:sz="4" w:space="0" w:color="auto"/>
            </w:tcBorders>
            <w:shd w:val="clear" w:color="auto" w:fill="auto"/>
            <w:noWrap/>
            <w:vAlign w:val="center"/>
          </w:tcPr>
          <w:p w14:paraId="0890B526"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84.9</w:t>
            </w:r>
          </w:p>
        </w:tc>
        <w:tc>
          <w:tcPr>
            <w:tcW w:w="1377" w:type="dxa"/>
            <w:tcBorders>
              <w:top w:val="nil"/>
              <w:bottom w:val="single" w:sz="4" w:space="0" w:color="auto"/>
            </w:tcBorders>
            <w:shd w:val="clear" w:color="auto" w:fill="auto"/>
            <w:noWrap/>
            <w:vAlign w:val="center"/>
          </w:tcPr>
          <w:p w14:paraId="32823950"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1</w:t>
            </w:r>
          </w:p>
        </w:tc>
        <w:tc>
          <w:tcPr>
            <w:tcW w:w="1377" w:type="dxa"/>
            <w:tcBorders>
              <w:top w:val="nil"/>
              <w:bottom w:val="single" w:sz="4" w:space="0" w:color="auto"/>
            </w:tcBorders>
            <w:shd w:val="clear" w:color="auto" w:fill="auto"/>
            <w:noWrap/>
            <w:vAlign w:val="center"/>
          </w:tcPr>
          <w:p w14:paraId="48DD88FB" w14:textId="77777777" w:rsidR="00330CEE" w:rsidRPr="004A792A" w:rsidRDefault="00330CEE" w:rsidP="00330CEE">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79.1</w:t>
            </w:r>
          </w:p>
        </w:tc>
      </w:tr>
    </w:tbl>
    <w:p w14:paraId="33AFCE83" w14:textId="77777777" w:rsidR="00A44723" w:rsidRPr="004A792A" w:rsidRDefault="00A44723" w:rsidP="00A44723">
      <w:pPr>
        <w:rPr>
          <w:i/>
          <w:sz w:val="20"/>
          <w:szCs w:val="20"/>
          <w:lang w:val="en-US"/>
        </w:rPr>
      </w:pPr>
      <w:r w:rsidRPr="004A792A">
        <w:rPr>
          <w:i/>
          <w:sz w:val="20"/>
          <w:szCs w:val="20"/>
          <w:lang w:val="en-US"/>
        </w:rPr>
        <w:t>Source: NBS, Time Use Survey</w:t>
      </w:r>
      <w:r w:rsidR="00D161CC" w:rsidRPr="004A792A">
        <w:rPr>
          <w:i/>
          <w:sz w:val="20"/>
          <w:szCs w:val="20"/>
          <w:lang w:val="en-US"/>
        </w:rPr>
        <w:t>-2012</w:t>
      </w:r>
    </w:p>
    <w:p w14:paraId="7A92375A" w14:textId="77777777" w:rsidR="00C62A9B" w:rsidRPr="004A792A" w:rsidRDefault="00C62A9B">
      <w:pPr>
        <w:spacing w:before="0" w:after="160" w:line="259" w:lineRule="auto"/>
        <w:rPr>
          <w:b/>
          <w:iCs/>
          <w:szCs w:val="18"/>
          <w:lang w:val="en-US"/>
        </w:rPr>
      </w:pPr>
      <w:r w:rsidRPr="004A792A">
        <w:rPr>
          <w:lang w:val="en-US"/>
        </w:rPr>
        <w:br w:type="page"/>
      </w:r>
    </w:p>
    <w:p w14:paraId="566267A3" w14:textId="77777777" w:rsidR="000836FD" w:rsidRPr="004A792A" w:rsidRDefault="000836FD" w:rsidP="000836FD">
      <w:pPr>
        <w:pStyle w:val="ad"/>
        <w:jc w:val="left"/>
        <w:rPr>
          <w:lang w:val="en-US"/>
        </w:rPr>
        <w:sectPr w:rsidR="000836FD" w:rsidRPr="004A792A" w:rsidSect="00593F44">
          <w:pgSz w:w="16834" w:h="11909" w:orient="landscape" w:code="9"/>
          <w:pgMar w:top="1440" w:right="1440" w:bottom="1440" w:left="1440" w:header="720" w:footer="720" w:gutter="0"/>
          <w:cols w:space="720"/>
          <w:docGrid w:linePitch="360"/>
        </w:sectPr>
      </w:pPr>
      <w:bookmarkStart w:id="156" w:name="_Ref519244123"/>
    </w:p>
    <w:p w14:paraId="182EC071" w14:textId="6F1249A6" w:rsidR="000836FD" w:rsidRPr="004A792A" w:rsidRDefault="00474FA5" w:rsidP="000836FD">
      <w:pPr>
        <w:pStyle w:val="ad"/>
        <w:jc w:val="left"/>
        <w:rPr>
          <w:lang w:val="en-US"/>
        </w:rPr>
      </w:pPr>
      <w:bookmarkStart w:id="157" w:name="_Ref519339257"/>
      <w:bookmarkStart w:id="158" w:name="_Toc533185137"/>
      <w:r>
        <w:lastRenderedPageBreak/>
        <w:t>Table A-</w:t>
      </w:r>
      <w:r>
        <w:fldChar w:fldCharType="begin"/>
      </w:r>
      <w:r>
        <w:instrText xml:space="preserve"> SEQ Table_A- \* ARABIC </w:instrText>
      </w:r>
      <w:r>
        <w:fldChar w:fldCharType="separate"/>
      </w:r>
      <w:r>
        <w:rPr>
          <w:noProof/>
        </w:rPr>
        <w:t>8</w:t>
      </w:r>
      <w:r>
        <w:fldChar w:fldCharType="end"/>
      </w:r>
      <w:r w:rsidRPr="004E1089">
        <w:t xml:space="preserve">: </w:t>
      </w:r>
      <w:bookmarkEnd w:id="157"/>
      <w:r w:rsidR="000836FD" w:rsidRPr="004A792A">
        <w:rPr>
          <w:lang w:val="en-US"/>
        </w:rPr>
        <w:t xml:space="preserve">Profile of Moldovan women </w:t>
      </w:r>
      <w:r w:rsidR="00C94DA7">
        <w:rPr>
          <w:lang w:val="en-US"/>
        </w:rPr>
        <w:t xml:space="preserve">(15-64 years) </w:t>
      </w:r>
      <w:r w:rsidR="000836FD" w:rsidRPr="004A792A">
        <w:rPr>
          <w:lang w:val="en-US"/>
        </w:rPr>
        <w:t>by the number of children under 15 years, 2016</w:t>
      </w:r>
      <w:bookmarkEnd w:id="158"/>
    </w:p>
    <w:tbl>
      <w:tblPr>
        <w:tblW w:w="8821" w:type="dxa"/>
        <w:tblLayout w:type="fixed"/>
        <w:tblLook w:val="04A0" w:firstRow="1" w:lastRow="0" w:firstColumn="1" w:lastColumn="0" w:noHBand="0" w:noVBand="1"/>
      </w:tblPr>
      <w:tblGrid>
        <w:gridCol w:w="2977"/>
        <w:gridCol w:w="1461"/>
        <w:gridCol w:w="1461"/>
        <w:gridCol w:w="1461"/>
        <w:gridCol w:w="1461"/>
      </w:tblGrid>
      <w:tr w:rsidR="004D4279" w:rsidRPr="004A792A" w14:paraId="71E3E944" w14:textId="77777777" w:rsidTr="004D4279">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4997BED" w14:textId="77777777" w:rsidR="004D4279" w:rsidRPr="004A792A" w:rsidRDefault="004D4279" w:rsidP="004D4279">
            <w:pPr>
              <w:spacing w:before="0"/>
              <w:rPr>
                <w:rFonts w:eastAsia="Times New Roman" w:cstheme="minorHAnsi"/>
                <w:sz w:val="20"/>
                <w:szCs w:val="20"/>
                <w:lang w:val="en-US"/>
              </w:rPr>
            </w:pPr>
          </w:p>
        </w:tc>
        <w:tc>
          <w:tcPr>
            <w:tcW w:w="1461" w:type="dxa"/>
            <w:tcBorders>
              <w:top w:val="single" w:sz="4" w:space="0" w:color="auto"/>
              <w:left w:val="single" w:sz="4" w:space="0" w:color="auto"/>
              <w:bottom w:val="single" w:sz="4" w:space="0" w:color="auto"/>
              <w:right w:val="nil"/>
            </w:tcBorders>
            <w:shd w:val="clear" w:color="auto" w:fill="auto"/>
            <w:noWrap/>
            <w:hideMark/>
          </w:tcPr>
          <w:p w14:paraId="1F341AE0" w14:textId="77777777" w:rsidR="004D4279" w:rsidRPr="004A792A" w:rsidRDefault="004D4279" w:rsidP="004D4279">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No children under 15 years</w:t>
            </w:r>
          </w:p>
        </w:tc>
        <w:tc>
          <w:tcPr>
            <w:tcW w:w="1461" w:type="dxa"/>
            <w:tcBorders>
              <w:top w:val="single" w:sz="4" w:space="0" w:color="auto"/>
              <w:left w:val="nil"/>
              <w:bottom w:val="single" w:sz="4" w:space="0" w:color="auto"/>
              <w:right w:val="nil"/>
            </w:tcBorders>
            <w:shd w:val="clear" w:color="auto" w:fill="auto"/>
            <w:noWrap/>
            <w:hideMark/>
          </w:tcPr>
          <w:p w14:paraId="2CF7CCCE" w14:textId="77777777" w:rsidR="004D4279" w:rsidRPr="004A792A" w:rsidRDefault="004D4279" w:rsidP="004D4279">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1 child</w:t>
            </w:r>
          </w:p>
        </w:tc>
        <w:tc>
          <w:tcPr>
            <w:tcW w:w="1461" w:type="dxa"/>
            <w:tcBorders>
              <w:top w:val="single" w:sz="4" w:space="0" w:color="auto"/>
              <w:left w:val="nil"/>
              <w:bottom w:val="single" w:sz="4" w:space="0" w:color="auto"/>
              <w:right w:val="nil"/>
            </w:tcBorders>
            <w:shd w:val="clear" w:color="auto" w:fill="auto"/>
            <w:noWrap/>
            <w:hideMark/>
          </w:tcPr>
          <w:p w14:paraId="3978D4FA" w14:textId="77777777" w:rsidR="004D4279" w:rsidRPr="004A792A" w:rsidRDefault="004D4279" w:rsidP="004D4279">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2 children</w:t>
            </w:r>
          </w:p>
        </w:tc>
        <w:tc>
          <w:tcPr>
            <w:tcW w:w="1461" w:type="dxa"/>
            <w:tcBorders>
              <w:top w:val="single" w:sz="4" w:space="0" w:color="auto"/>
              <w:left w:val="nil"/>
              <w:bottom w:val="single" w:sz="4" w:space="0" w:color="auto"/>
              <w:right w:val="nil"/>
            </w:tcBorders>
            <w:shd w:val="clear" w:color="auto" w:fill="auto"/>
            <w:noWrap/>
            <w:hideMark/>
          </w:tcPr>
          <w:p w14:paraId="6B8F4200" w14:textId="77777777" w:rsidR="004D4279" w:rsidRPr="004A792A" w:rsidRDefault="004D4279" w:rsidP="004D4279">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3 and more children</w:t>
            </w:r>
          </w:p>
        </w:tc>
      </w:tr>
      <w:tr w:rsidR="004D4279" w:rsidRPr="004A792A" w14:paraId="1A1A2EB2" w14:textId="77777777" w:rsidTr="004D4279">
        <w:tc>
          <w:tcPr>
            <w:tcW w:w="2977" w:type="dxa"/>
            <w:tcBorders>
              <w:top w:val="single" w:sz="4" w:space="0" w:color="auto"/>
              <w:left w:val="nil"/>
              <w:right w:val="single" w:sz="4" w:space="0" w:color="auto"/>
            </w:tcBorders>
            <w:shd w:val="clear" w:color="auto" w:fill="auto"/>
            <w:noWrap/>
            <w:vAlign w:val="bottom"/>
            <w:hideMark/>
          </w:tcPr>
          <w:p w14:paraId="4F78CBDD" w14:textId="77777777" w:rsidR="004D4279" w:rsidRPr="004A792A" w:rsidRDefault="004D4279" w:rsidP="004D4279">
            <w:pPr>
              <w:spacing w:before="0"/>
              <w:rPr>
                <w:rFonts w:eastAsia="Times New Roman" w:cstheme="minorHAnsi"/>
                <w:sz w:val="20"/>
                <w:szCs w:val="20"/>
                <w:lang w:val="en-US"/>
              </w:rPr>
            </w:pPr>
            <w:r w:rsidRPr="004A792A">
              <w:rPr>
                <w:rFonts w:eastAsia="Times New Roman" w:cstheme="minorHAnsi"/>
                <w:sz w:val="20"/>
                <w:szCs w:val="20"/>
                <w:lang w:val="en-US"/>
              </w:rPr>
              <w:t>Age</w:t>
            </w:r>
          </w:p>
        </w:tc>
        <w:tc>
          <w:tcPr>
            <w:tcW w:w="1461" w:type="dxa"/>
            <w:tcBorders>
              <w:top w:val="single" w:sz="4" w:space="0" w:color="auto"/>
              <w:left w:val="single" w:sz="4" w:space="0" w:color="auto"/>
              <w:right w:val="nil"/>
            </w:tcBorders>
            <w:shd w:val="clear" w:color="auto" w:fill="auto"/>
            <w:noWrap/>
            <w:vAlign w:val="bottom"/>
            <w:hideMark/>
          </w:tcPr>
          <w:p w14:paraId="6831C85B"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42.857</w:t>
            </w:r>
          </w:p>
        </w:tc>
        <w:tc>
          <w:tcPr>
            <w:tcW w:w="1461" w:type="dxa"/>
            <w:tcBorders>
              <w:top w:val="single" w:sz="4" w:space="0" w:color="auto"/>
              <w:left w:val="nil"/>
              <w:right w:val="nil"/>
            </w:tcBorders>
            <w:shd w:val="clear" w:color="auto" w:fill="auto"/>
            <w:noWrap/>
            <w:vAlign w:val="bottom"/>
            <w:hideMark/>
          </w:tcPr>
          <w:p w14:paraId="58E03A8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33.556***</w:t>
            </w:r>
          </w:p>
        </w:tc>
        <w:tc>
          <w:tcPr>
            <w:tcW w:w="1461" w:type="dxa"/>
            <w:tcBorders>
              <w:top w:val="single" w:sz="4" w:space="0" w:color="auto"/>
              <w:left w:val="nil"/>
              <w:right w:val="nil"/>
            </w:tcBorders>
            <w:shd w:val="clear" w:color="auto" w:fill="auto"/>
            <w:noWrap/>
            <w:vAlign w:val="bottom"/>
            <w:hideMark/>
          </w:tcPr>
          <w:p w14:paraId="2D3317DA"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32.352***</w:t>
            </w:r>
          </w:p>
        </w:tc>
        <w:tc>
          <w:tcPr>
            <w:tcW w:w="1461" w:type="dxa"/>
            <w:tcBorders>
              <w:top w:val="single" w:sz="4" w:space="0" w:color="auto"/>
              <w:left w:val="nil"/>
              <w:right w:val="nil"/>
            </w:tcBorders>
            <w:shd w:val="clear" w:color="auto" w:fill="auto"/>
            <w:noWrap/>
            <w:vAlign w:val="bottom"/>
            <w:hideMark/>
          </w:tcPr>
          <w:p w14:paraId="1C26DDD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33.340***</w:t>
            </w:r>
          </w:p>
        </w:tc>
      </w:tr>
      <w:tr w:rsidR="004D4279" w:rsidRPr="004A792A" w14:paraId="0E8F7879" w14:textId="77777777" w:rsidTr="004D4279">
        <w:tc>
          <w:tcPr>
            <w:tcW w:w="2977" w:type="dxa"/>
            <w:tcBorders>
              <w:left w:val="nil"/>
              <w:bottom w:val="nil"/>
              <w:right w:val="single" w:sz="4" w:space="0" w:color="auto"/>
            </w:tcBorders>
            <w:shd w:val="clear" w:color="auto" w:fill="auto"/>
            <w:noWrap/>
            <w:vAlign w:val="bottom"/>
          </w:tcPr>
          <w:p w14:paraId="797E1A1C" w14:textId="77777777" w:rsidR="004D4279" w:rsidRPr="004A792A" w:rsidRDefault="004D4279" w:rsidP="0024122F">
            <w:pPr>
              <w:spacing w:before="0"/>
              <w:rPr>
                <w:rFonts w:eastAsia="Times New Roman" w:cstheme="minorHAnsi"/>
                <w:i/>
                <w:sz w:val="20"/>
                <w:szCs w:val="20"/>
                <w:lang w:val="en-US"/>
              </w:rPr>
            </w:pPr>
            <w:r w:rsidRPr="004A792A">
              <w:rPr>
                <w:rFonts w:eastAsia="Times New Roman" w:cstheme="minorHAnsi"/>
                <w:i/>
                <w:sz w:val="20"/>
                <w:szCs w:val="20"/>
                <w:lang w:val="en-US"/>
              </w:rPr>
              <w:t>Marital status</w:t>
            </w:r>
          </w:p>
        </w:tc>
        <w:tc>
          <w:tcPr>
            <w:tcW w:w="1461" w:type="dxa"/>
            <w:tcBorders>
              <w:left w:val="single" w:sz="4" w:space="0" w:color="auto"/>
              <w:bottom w:val="nil"/>
              <w:right w:val="nil"/>
            </w:tcBorders>
            <w:shd w:val="clear" w:color="auto" w:fill="auto"/>
            <w:noWrap/>
            <w:vAlign w:val="bottom"/>
          </w:tcPr>
          <w:p w14:paraId="75BC8DE5" w14:textId="77777777" w:rsidR="004D4279" w:rsidRPr="004A792A" w:rsidRDefault="004D4279" w:rsidP="0024122F">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5D9C6F6B" w14:textId="77777777" w:rsidR="004D4279" w:rsidRPr="004A792A" w:rsidRDefault="004D4279" w:rsidP="0024122F">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556B44FF" w14:textId="77777777" w:rsidR="004D4279" w:rsidRPr="004A792A" w:rsidRDefault="004D4279" w:rsidP="0024122F">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0F42BE69" w14:textId="77777777" w:rsidR="004D4279" w:rsidRPr="004A792A" w:rsidRDefault="004D4279" w:rsidP="0024122F">
            <w:pPr>
              <w:spacing w:before="0"/>
              <w:jc w:val="center"/>
              <w:rPr>
                <w:rFonts w:eastAsia="Times New Roman" w:cstheme="minorHAnsi"/>
                <w:sz w:val="20"/>
                <w:szCs w:val="20"/>
                <w:lang w:val="en-US"/>
              </w:rPr>
            </w:pPr>
          </w:p>
        </w:tc>
      </w:tr>
      <w:tr w:rsidR="004D4279" w:rsidRPr="004A792A" w14:paraId="3C163AA5" w14:textId="77777777" w:rsidTr="004D4279">
        <w:tc>
          <w:tcPr>
            <w:tcW w:w="2977" w:type="dxa"/>
            <w:tcBorders>
              <w:top w:val="nil"/>
              <w:left w:val="nil"/>
              <w:bottom w:val="nil"/>
              <w:right w:val="single" w:sz="4" w:space="0" w:color="auto"/>
            </w:tcBorders>
            <w:shd w:val="clear" w:color="auto" w:fill="auto"/>
            <w:noWrap/>
            <w:vAlign w:val="bottom"/>
            <w:hideMark/>
          </w:tcPr>
          <w:p w14:paraId="310D6185"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Single</w:t>
            </w:r>
          </w:p>
        </w:tc>
        <w:tc>
          <w:tcPr>
            <w:tcW w:w="1461" w:type="dxa"/>
            <w:tcBorders>
              <w:top w:val="nil"/>
              <w:left w:val="single" w:sz="4" w:space="0" w:color="auto"/>
              <w:bottom w:val="nil"/>
              <w:right w:val="nil"/>
            </w:tcBorders>
            <w:shd w:val="clear" w:color="auto" w:fill="auto"/>
            <w:noWrap/>
            <w:vAlign w:val="bottom"/>
            <w:hideMark/>
          </w:tcPr>
          <w:p w14:paraId="6963018F"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0.296</w:t>
            </w:r>
          </w:p>
        </w:tc>
        <w:tc>
          <w:tcPr>
            <w:tcW w:w="1461" w:type="dxa"/>
            <w:tcBorders>
              <w:top w:val="nil"/>
              <w:left w:val="nil"/>
              <w:bottom w:val="nil"/>
              <w:right w:val="nil"/>
            </w:tcBorders>
            <w:shd w:val="clear" w:color="auto" w:fill="auto"/>
            <w:noWrap/>
            <w:vAlign w:val="bottom"/>
            <w:hideMark/>
          </w:tcPr>
          <w:p w14:paraId="163FA76A"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0.047***</w:t>
            </w:r>
          </w:p>
        </w:tc>
        <w:tc>
          <w:tcPr>
            <w:tcW w:w="1461" w:type="dxa"/>
            <w:tcBorders>
              <w:top w:val="nil"/>
              <w:left w:val="nil"/>
              <w:bottom w:val="nil"/>
              <w:right w:val="nil"/>
            </w:tcBorders>
            <w:shd w:val="clear" w:color="auto" w:fill="auto"/>
            <w:noWrap/>
            <w:vAlign w:val="bottom"/>
            <w:hideMark/>
          </w:tcPr>
          <w:p w14:paraId="23064688"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0.014***</w:t>
            </w:r>
          </w:p>
        </w:tc>
        <w:tc>
          <w:tcPr>
            <w:tcW w:w="1461" w:type="dxa"/>
            <w:tcBorders>
              <w:top w:val="nil"/>
              <w:left w:val="nil"/>
              <w:bottom w:val="nil"/>
              <w:right w:val="nil"/>
            </w:tcBorders>
            <w:shd w:val="clear" w:color="auto" w:fill="auto"/>
            <w:noWrap/>
            <w:vAlign w:val="bottom"/>
            <w:hideMark/>
          </w:tcPr>
          <w:p w14:paraId="42CC8BA6"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0.003***</w:t>
            </w:r>
          </w:p>
        </w:tc>
      </w:tr>
      <w:tr w:rsidR="004D4279" w:rsidRPr="004A792A" w14:paraId="62478FD1" w14:textId="77777777" w:rsidTr="004D4279">
        <w:tc>
          <w:tcPr>
            <w:tcW w:w="2977" w:type="dxa"/>
            <w:tcBorders>
              <w:top w:val="nil"/>
              <w:left w:val="nil"/>
              <w:bottom w:val="nil"/>
              <w:right w:val="single" w:sz="4" w:space="0" w:color="auto"/>
            </w:tcBorders>
            <w:shd w:val="clear" w:color="auto" w:fill="auto"/>
            <w:noWrap/>
            <w:vAlign w:val="bottom"/>
            <w:hideMark/>
          </w:tcPr>
          <w:p w14:paraId="3BD48F87"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Married</w:t>
            </w:r>
          </w:p>
        </w:tc>
        <w:tc>
          <w:tcPr>
            <w:tcW w:w="1461" w:type="dxa"/>
            <w:tcBorders>
              <w:top w:val="nil"/>
              <w:left w:val="single" w:sz="4" w:space="0" w:color="auto"/>
              <w:bottom w:val="nil"/>
              <w:right w:val="nil"/>
            </w:tcBorders>
            <w:shd w:val="clear" w:color="auto" w:fill="auto"/>
            <w:noWrap/>
            <w:vAlign w:val="bottom"/>
            <w:hideMark/>
          </w:tcPr>
          <w:p w14:paraId="649301BC"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0.480</w:t>
            </w:r>
          </w:p>
        </w:tc>
        <w:tc>
          <w:tcPr>
            <w:tcW w:w="1461" w:type="dxa"/>
            <w:tcBorders>
              <w:top w:val="nil"/>
              <w:left w:val="nil"/>
              <w:bottom w:val="nil"/>
              <w:right w:val="nil"/>
            </w:tcBorders>
            <w:shd w:val="clear" w:color="auto" w:fill="auto"/>
            <w:noWrap/>
            <w:vAlign w:val="bottom"/>
            <w:hideMark/>
          </w:tcPr>
          <w:p w14:paraId="76B68560"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0.764***</w:t>
            </w:r>
          </w:p>
        </w:tc>
        <w:tc>
          <w:tcPr>
            <w:tcW w:w="1461" w:type="dxa"/>
            <w:tcBorders>
              <w:top w:val="nil"/>
              <w:left w:val="nil"/>
              <w:bottom w:val="nil"/>
              <w:right w:val="nil"/>
            </w:tcBorders>
            <w:shd w:val="clear" w:color="auto" w:fill="auto"/>
            <w:noWrap/>
            <w:vAlign w:val="bottom"/>
            <w:hideMark/>
          </w:tcPr>
          <w:p w14:paraId="5327AC49"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0.870***</w:t>
            </w:r>
          </w:p>
        </w:tc>
        <w:tc>
          <w:tcPr>
            <w:tcW w:w="1461" w:type="dxa"/>
            <w:tcBorders>
              <w:top w:val="nil"/>
              <w:left w:val="nil"/>
              <w:bottom w:val="nil"/>
              <w:right w:val="nil"/>
            </w:tcBorders>
            <w:shd w:val="clear" w:color="auto" w:fill="auto"/>
            <w:noWrap/>
            <w:vAlign w:val="bottom"/>
            <w:hideMark/>
          </w:tcPr>
          <w:p w14:paraId="34094277"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0.839***</w:t>
            </w:r>
          </w:p>
        </w:tc>
      </w:tr>
      <w:tr w:rsidR="004D4279" w:rsidRPr="004A792A" w14:paraId="263A36F4" w14:textId="77777777" w:rsidTr="004D4279">
        <w:tc>
          <w:tcPr>
            <w:tcW w:w="2977" w:type="dxa"/>
            <w:tcBorders>
              <w:top w:val="nil"/>
              <w:left w:val="nil"/>
              <w:bottom w:val="nil"/>
              <w:right w:val="single" w:sz="4" w:space="0" w:color="auto"/>
            </w:tcBorders>
            <w:shd w:val="clear" w:color="auto" w:fill="auto"/>
            <w:noWrap/>
            <w:vAlign w:val="bottom"/>
            <w:hideMark/>
          </w:tcPr>
          <w:p w14:paraId="6E6534CB"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Widowed</w:t>
            </w:r>
          </w:p>
        </w:tc>
        <w:tc>
          <w:tcPr>
            <w:tcW w:w="1461" w:type="dxa"/>
            <w:tcBorders>
              <w:top w:val="nil"/>
              <w:left w:val="single" w:sz="4" w:space="0" w:color="auto"/>
              <w:bottom w:val="nil"/>
              <w:right w:val="nil"/>
            </w:tcBorders>
            <w:shd w:val="clear" w:color="auto" w:fill="auto"/>
            <w:noWrap/>
            <w:vAlign w:val="bottom"/>
            <w:hideMark/>
          </w:tcPr>
          <w:p w14:paraId="3BA730DB"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0.117</w:t>
            </w:r>
          </w:p>
        </w:tc>
        <w:tc>
          <w:tcPr>
            <w:tcW w:w="1461" w:type="dxa"/>
            <w:tcBorders>
              <w:top w:val="nil"/>
              <w:left w:val="nil"/>
              <w:bottom w:val="nil"/>
              <w:right w:val="nil"/>
            </w:tcBorders>
            <w:shd w:val="clear" w:color="auto" w:fill="auto"/>
            <w:noWrap/>
            <w:vAlign w:val="bottom"/>
            <w:hideMark/>
          </w:tcPr>
          <w:p w14:paraId="180A049F"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0.019***</w:t>
            </w:r>
          </w:p>
        </w:tc>
        <w:tc>
          <w:tcPr>
            <w:tcW w:w="1461" w:type="dxa"/>
            <w:tcBorders>
              <w:top w:val="nil"/>
              <w:left w:val="nil"/>
              <w:bottom w:val="nil"/>
              <w:right w:val="nil"/>
            </w:tcBorders>
            <w:shd w:val="clear" w:color="auto" w:fill="auto"/>
            <w:noWrap/>
            <w:vAlign w:val="bottom"/>
            <w:hideMark/>
          </w:tcPr>
          <w:p w14:paraId="5360110A"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0.013***</w:t>
            </w:r>
          </w:p>
        </w:tc>
        <w:tc>
          <w:tcPr>
            <w:tcW w:w="1461" w:type="dxa"/>
            <w:tcBorders>
              <w:top w:val="nil"/>
              <w:left w:val="nil"/>
              <w:bottom w:val="nil"/>
              <w:right w:val="nil"/>
            </w:tcBorders>
            <w:shd w:val="clear" w:color="auto" w:fill="auto"/>
            <w:noWrap/>
            <w:vAlign w:val="bottom"/>
            <w:hideMark/>
          </w:tcPr>
          <w:p w14:paraId="277A9F33"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0.017***</w:t>
            </w:r>
          </w:p>
        </w:tc>
      </w:tr>
      <w:tr w:rsidR="004D4279" w:rsidRPr="004A792A" w14:paraId="463174F5" w14:textId="77777777" w:rsidTr="004D4279">
        <w:tc>
          <w:tcPr>
            <w:tcW w:w="2977" w:type="dxa"/>
            <w:tcBorders>
              <w:top w:val="nil"/>
              <w:left w:val="nil"/>
              <w:bottom w:val="nil"/>
              <w:right w:val="single" w:sz="4" w:space="0" w:color="auto"/>
            </w:tcBorders>
            <w:shd w:val="clear" w:color="auto" w:fill="auto"/>
            <w:noWrap/>
            <w:vAlign w:val="bottom"/>
            <w:hideMark/>
          </w:tcPr>
          <w:p w14:paraId="225AF6CC"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Divorced</w:t>
            </w:r>
          </w:p>
        </w:tc>
        <w:tc>
          <w:tcPr>
            <w:tcW w:w="1461" w:type="dxa"/>
            <w:tcBorders>
              <w:top w:val="nil"/>
              <w:left w:val="single" w:sz="4" w:space="0" w:color="auto"/>
              <w:bottom w:val="nil"/>
              <w:right w:val="nil"/>
            </w:tcBorders>
            <w:shd w:val="clear" w:color="auto" w:fill="auto"/>
            <w:noWrap/>
            <w:vAlign w:val="bottom"/>
            <w:hideMark/>
          </w:tcPr>
          <w:p w14:paraId="16BAC6E1"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0.079</w:t>
            </w:r>
          </w:p>
        </w:tc>
        <w:tc>
          <w:tcPr>
            <w:tcW w:w="1461" w:type="dxa"/>
            <w:tcBorders>
              <w:top w:val="nil"/>
              <w:left w:val="nil"/>
              <w:bottom w:val="nil"/>
              <w:right w:val="nil"/>
            </w:tcBorders>
            <w:shd w:val="clear" w:color="auto" w:fill="auto"/>
            <w:noWrap/>
            <w:vAlign w:val="bottom"/>
            <w:hideMark/>
          </w:tcPr>
          <w:p w14:paraId="166C6641"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0.117***</w:t>
            </w:r>
          </w:p>
        </w:tc>
        <w:tc>
          <w:tcPr>
            <w:tcW w:w="1461" w:type="dxa"/>
            <w:tcBorders>
              <w:top w:val="nil"/>
              <w:left w:val="nil"/>
              <w:bottom w:val="nil"/>
              <w:right w:val="nil"/>
            </w:tcBorders>
            <w:shd w:val="clear" w:color="auto" w:fill="auto"/>
            <w:noWrap/>
            <w:vAlign w:val="bottom"/>
            <w:hideMark/>
          </w:tcPr>
          <w:p w14:paraId="579B8E26"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0.063*</w:t>
            </w:r>
          </w:p>
        </w:tc>
        <w:tc>
          <w:tcPr>
            <w:tcW w:w="1461" w:type="dxa"/>
            <w:tcBorders>
              <w:top w:val="nil"/>
              <w:left w:val="nil"/>
              <w:bottom w:val="nil"/>
              <w:right w:val="nil"/>
            </w:tcBorders>
            <w:shd w:val="clear" w:color="auto" w:fill="auto"/>
            <w:noWrap/>
            <w:vAlign w:val="bottom"/>
            <w:hideMark/>
          </w:tcPr>
          <w:p w14:paraId="05A92D09"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0.060</w:t>
            </w:r>
          </w:p>
        </w:tc>
      </w:tr>
      <w:tr w:rsidR="004D4279" w:rsidRPr="004A792A" w14:paraId="54B85377" w14:textId="77777777" w:rsidTr="004D4279">
        <w:tc>
          <w:tcPr>
            <w:tcW w:w="2977" w:type="dxa"/>
            <w:tcBorders>
              <w:top w:val="nil"/>
              <w:left w:val="nil"/>
              <w:right w:val="single" w:sz="4" w:space="0" w:color="auto"/>
            </w:tcBorders>
            <w:shd w:val="clear" w:color="auto" w:fill="auto"/>
            <w:noWrap/>
            <w:vAlign w:val="bottom"/>
            <w:hideMark/>
          </w:tcPr>
          <w:p w14:paraId="7260A7CD"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Cohabitating</w:t>
            </w:r>
          </w:p>
        </w:tc>
        <w:tc>
          <w:tcPr>
            <w:tcW w:w="1461" w:type="dxa"/>
            <w:tcBorders>
              <w:top w:val="nil"/>
              <w:left w:val="single" w:sz="4" w:space="0" w:color="auto"/>
              <w:right w:val="nil"/>
            </w:tcBorders>
            <w:shd w:val="clear" w:color="auto" w:fill="auto"/>
            <w:noWrap/>
            <w:vAlign w:val="bottom"/>
            <w:hideMark/>
          </w:tcPr>
          <w:p w14:paraId="01126AA6"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0.026</w:t>
            </w:r>
          </w:p>
        </w:tc>
        <w:tc>
          <w:tcPr>
            <w:tcW w:w="1461" w:type="dxa"/>
            <w:tcBorders>
              <w:top w:val="nil"/>
              <w:left w:val="nil"/>
              <w:right w:val="nil"/>
            </w:tcBorders>
            <w:shd w:val="clear" w:color="auto" w:fill="auto"/>
            <w:noWrap/>
            <w:vAlign w:val="bottom"/>
            <w:hideMark/>
          </w:tcPr>
          <w:p w14:paraId="3A92097E"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0.053***</w:t>
            </w:r>
          </w:p>
        </w:tc>
        <w:tc>
          <w:tcPr>
            <w:tcW w:w="1461" w:type="dxa"/>
            <w:tcBorders>
              <w:top w:val="nil"/>
              <w:left w:val="nil"/>
              <w:right w:val="nil"/>
            </w:tcBorders>
            <w:shd w:val="clear" w:color="auto" w:fill="auto"/>
            <w:noWrap/>
            <w:vAlign w:val="bottom"/>
            <w:hideMark/>
          </w:tcPr>
          <w:p w14:paraId="0F83008B"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0.041**</w:t>
            </w:r>
          </w:p>
        </w:tc>
        <w:tc>
          <w:tcPr>
            <w:tcW w:w="1461" w:type="dxa"/>
            <w:tcBorders>
              <w:top w:val="nil"/>
              <w:left w:val="nil"/>
              <w:right w:val="nil"/>
            </w:tcBorders>
            <w:shd w:val="clear" w:color="auto" w:fill="auto"/>
            <w:noWrap/>
            <w:vAlign w:val="bottom"/>
            <w:hideMark/>
          </w:tcPr>
          <w:p w14:paraId="2FB8844D" w14:textId="77777777" w:rsidR="004D4279" w:rsidRPr="004A792A" w:rsidRDefault="004D4279" w:rsidP="0024122F">
            <w:pPr>
              <w:spacing w:before="0"/>
              <w:jc w:val="center"/>
              <w:rPr>
                <w:rFonts w:eastAsia="Times New Roman" w:cstheme="minorHAnsi"/>
                <w:sz w:val="20"/>
                <w:szCs w:val="20"/>
                <w:lang w:val="en-US"/>
              </w:rPr>
            </w:pPr>
            <w:r w:rsidRPr="004A792A">
              <w:rPr>
                <w:rFonts w:eastAsia="Times New Roman" w:cstheme="minorHAnsi"/>
                <w:sz w:val="20"/>
                <w:szCs w:val="20"/>
                <w:lang w:val="en-US"/>
              </w:rPr>
              <w:t>0.081***</w:t>
            </w:r>
          </w:p>
        </w:tc>
      </w:tr>
      <w:tr w:rsidR="004D4279" w:rsidRPr="004A792A" w14:paraId="3589129A" w14:textId="77777777" w:rsidTr="004D4279">
        <w:tc>
          <w:tcPr>
            <w:tcW w:w="2977" w:type="dxa"/>
            <w:tcBorders>
              <w:left w:val="nil"/>
              <w:bottom w:val="nil"/>
              <w:right w:val="single" w:sz="4" w:space="0" w:color="auto"/>
            </w:tcBorders>
            <w:shd w:val="clear" w:color="auto" w:fill="auto"/>
            <w:noWrap/>
            <w:vAlign w:val="bottom"/>
          </w:tcPr>
          <w:p w14:paraId="3E66DFBC" w14:textId="77777777" w:rsidR="004D4279" w:rsidRPr="004A792A" w:rsidRDefault="004D4279" w:rsidP="004D4279">
            <w:pPr>
              <w:spacing w:before="0"/>
              <w:rPr>
                <w:rFonts w:eastAsia="Times New Roman" w:cstheme="minorHAnsi"/>
                <w:i/>
                <w:sz w:val="20"/>
                <w:szCs w:val="20"/>
                <w:lang w:val="en-US"/>
              </w:rPr>
            </w:pPr>
            <w:r w:rsidRPr="004A792A">
              <w:rPr>
                <w:rFonts w:eastAsia="Times New Roman" w:cstheme="minorHAnsi"/>
                <w:i/>
                <w:sz w:val="20"/>
                <w:szCs w:val="20"/>
                <w:lang w:val="en-US"/>
              </w:rPr>
              <w:t>Education</w:t>
            </w:r>
          </w:p>
        </w:tc>
        <w:tc>
          <w:tcPr>
            <w:tcW w:w="1461" w:type="dxa"/>
            <w:tcBorders>
              <w:left w:val="single" w:sz="4" w:space="0" w:color="auto"/>
              <w:bottom w:val="nil"/>
              <w:right w:val="nil"/>
            </w:tcBorders>
            <w:shd w:val="clear" w:color="auto" w:fill="auto"/>
            <w:noWrap/>
            <w:vAlign w:val="bottom"/>
          </w:tcPr>
          <w:p w14:paraId="0BA21188"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638746E6"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57B7E41C"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44B6D7FE" w14:textId="77777777" w:rsidR="004D4279" w:rsidRPr="004A792A" w:rsidRDefault="004D4279" w:rsidP="004D4279">
            <w:pPr>
              <w:spacing w:before="0"/>
              <w:jc w:val="center"/>
              <w:rPr>
                <w:rFonts w:eastAsia="Times New Roman" w:cstheme="minorHAnsi"/>
                <w:sz w:val="20"/>
                <w:szCs w:val="20"/>
                <w:lang w:val="en-US"/>
              </w:rPr>
            </w:pPr>
          </w:p>
        </w:tc>
      </w:tr>
      <w:tr w:rsidR="004D4279" w:rsidRPr="004A792A" w14:paraId="090433E2" w14:textId="77777777" w:rsidTr="004D4279">
        <w:tc>
          <w:tcPr>
            <w:tcW w:w="2977" w:type="dxa"/>
            <w:tcBorders>
              <w:top w:val="nil"/>
              <w:left w:val="nil"/>
              <w:bottom w:val="nil"/>
              <w:right w:val="single" w:sz="4" w:space="0" w:color="auto"/>
            </w:tcBorders>
            <w:shd w:val="clear" w:color="auto" w:fill="auto"/>
            <w:noWrap/>
            <w:vAlign w:val="bottom"/>
            <w:hideMark/>
          </w:tcPr>
          <w:p w14:paraId="669B63ED"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Primary and less</w:t>
            </w:r>
          </w:p>
        </w:tc>
        <w:tc>
          <w:tcPr>
            <w:tcW w:w="1461" w:type="dxa"/>
            <w:tcBorders>
              <w:top w:val="nil"/>
              <w:left w:val="single" w:sz="4" w:space="0" w:color="auto"/>
              <w:bottom w:val="nil"/>
              <w:right w:val="nil"/>
            </w:tcBorders>
            <w:shd w:val="clear" w:color="auto" w:fill="auto"/>
            <w:noWrap/>
            <w:vAlign w:val="bottom"/>
            <w:hideMark/>
          </w:tcPr>
          <w:p w14:paraId="72556DF6"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0.029</w:t>
            </w:r>
          </w:p>
        </w:tc>
        <w:tc>
          <w:tcPr>
            <w:tcW w:w="1461" w:type="dxa"/>
            <w:tcBorders>
              <w:top w:val="nil"/>
              <w:left w:val="nil"/>
              <w:bottom w:val="nil"/>
              <w:right w:val="nil"/>
            </w:tcBorders>
            <w:shd w:val="clear" w:color="auto" w:fill="auto"/>
            <w:noWrap/>
            <w:vAlign w:val="bottom"/>
            <w:hideMark/>
          </w:tcPr>
          <w:p w14:paraId="526861AA"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0.004***</w:t>
            </w:r>
          </w:p>
        </w:tc>
        <w:tc>
          <w:tcPr>
            <w:tcW w:w="1461" w:type="dxa"/>
            <w:tcBorders>
              <w:top w:val="nil"/>
              <w:left w:val="nil"/>
              <w:bottom w:val="nil"/>
              <w:right w:val="nil"/>
            </w:tcBorders>
            <w:shd w:val="clear" w:color="auto" w:fill="auto"/>
            <w:noWrap/>
            <w:vAlign w:val="bottom"/>
            <w:hideMark/>
          </w:tcPr>
          <w:p w14:paraId="097794CC"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0.005***</w:t>
            </w:r>
          </w:p>
        </w:tc>
        <w:tc>
          <w:tcPr>
            <w:tcW w:w="1461" w:type="dxa"/>
            <w:tcBorders>
              <w:top w:val="nil"/>
              <w:left w:val="nil"/>
              <w:bottom w:val="nil"/>
              <w:right w:val="nil"/>
            </w:tcBorders>
            <w:shd w:val="clear" w:color="auto" w:fill="auto"/>
            <w:noWrap/>
            <w:vAlign w:val="bottom"/>
            <w:hideMark/>
          </w:tcPr>
          <w:p w14:paraId="4B940803"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0.002***</w:t>
            </w:r>
          </w:p>
        </w:tc>
      </w:tr>
      <w:tr w:rsidR="004D4279" w:rsidRPr="004A792A" w14:paraId="03FAFF7B" w14:textId="77777777" w:rsidTr="004D4279">
        <w:tc>
          <w:tcPr>
            <w:tcW w:w="2977" w:type="dxa"/>
            <w:tcBorders>
              <w:top w:val="nil"/>
              <w:left w:val="nil"/>
              <w:bottom w:val="nil"/>
              <w:right w:val="single" w:sz="4" w:space="0" w:color="auto"/>
            </w:tcBorders>
            <w:shd w:val="clear" w:color="auto" w:fill="auto"/>
            <w:noWrap/>
            <w:vAlign w:val="bottom"/>
            <w:hideMark/>
          </w:tcPr>
          <w:p w14:paraId="014721F3"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Lower secondary</w:t>
            </w:r>
          </w:p>
        </w:tc>
        <w:tc>
          <w:tcPr>
            <w:tcW w:w="1461" w:type="dxa"/>
            <w:tcBorders>
              <w:top w:val="nil"/>
              <w:left w:val="single" w:sz="4" w:space="0" w:color="auto"/>
              <w:bottom w:val="nil"/>
              <w:right w:val="nil"/>
            </w:tcBorders>
            <w:shd w:val="clear" w:color="auto" w:fill="auto"/>
            <w:noWrap/>
            <w:vAlign w:val="bottom"/>
            <w:hideMark/>
          </w:tcPr>
          <w:p w14:paraId="20EE0746"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0.215</w:t>
            </w:r>
          </w:p>
        </w:tc>
        <w:tc>
          <w:tcPr>
            <w:tcW w:w="1461" w:type="dxa"/>
            <w:tcBorders>
              <w:top w:val="nil"/>
              <w:left w:val="nil"/>
              <w:bottom w:val="nil"/>
              <w:right w:val="nil"/>
            </w:tcBorders>
            <w:shd w:val="clear" w:color="auto" w:fill="auto"/>
            <w:noWrap/>
            <w:vAlign w:val="bottom"/>
            <w:hideMark/>
          </w:tcPr>
          <w:p w14:paraId="6699D169"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0.234</w:t>
            </w:r>
          </w:p>
        </w:tc>
        <w:tc>
          <w:tcPr>
            <w:tcW w:w="1461" w:type="dxa"/>
            <w:tcBorders>
              <w:top w:val="nil"/>
              <w:left w:val="nil"/>
              <w:bottom w:val="nil"/>
              <w:right w:val="nil"/>
            </w:tcBorders>
            <w:shd w:val="clear" w:color="auto" w:fill="auto"/>
            <w:noWrap/>
            <w:vAlign w:val="bottom"/>
            <w:hideMark/>
          </w:tcPr>
          <w:p w14:paraId="36038B57"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0.296***</w:t>
            </w:r>
          </w:p>
        </w:tc>
        <w:tc>
          <w:tcPr>
            <w:tcW w:w="1461" w:type="dxa"/>
            <w:tcBorders>
              <w:top w:val="nil"/>
              <w:left w:val="nil"/>
              <w:bottom w:val="nil"/>
              <w:right w:val="nil"/>
            </w:tcBorders>
            <w:shd w:val="clear" w:color="auto" w:fill="auto"/>
            <w:noWrap/>
            <w:vAlign w:val="bottom"/>
            <w:hideMark/>
          </w:tcPr>
          <w:p w14:paraId="410550D6"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0.477***</w:t>
            </w:r>
          </w:p>
        </w:tc>
      </w:tr>
      <w:tr w:rsidR="004D4279" w:rsidRPr="004A792A" w14:paraId="6C5EC8D4" w14:textId="77777777" w:rsidTr="004D4279">
        <w:tc>
          <w:tcPr>
            <w:tcW w:w="2977" w:type="dxa"/>
            <w:tcBorders>
              <w:top w:val="nil"/>
              <w:left w:val="nil"/>
              <w:right w:val="single" w:sz="4" w:space="0" w:color="auto"/>
            </w:tcBorders>
            <w:shd w:val="clear" w:color="auto" w:fill="auto"/>
            <w:noWrap/>
            <w:vAlign w:val="bottom"/>
            <w:hideMark/>
          </w:tcPr>
          <w:p w14:paraId="4F27CE13"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 xml:space="preserve">Upper secondary general </w:t>
            </w:r>
          </w:p>
        </w:tc>
        <w:tc>
          <w:tcPr>
            <w:tcW w:w="1461" w:type="dxa"/>
            <w:tcBorders>
              <w:top w:val="nil"/>
              <w:left w:val="single" w:sz="4" w:space="0" w:color="auto"/>
              <w:right w:val="nil"/>
            </w:tcBorders>
            <w:shd w:val="clear" w:color="auto" w:fill="auto"/>
            <w:noWrap/>
            <w:vAlign w:val="bottom"/>
            <w:hideMark/>
          </w:tcPr>
          <w:p w14:paraId="4519982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0.260</w:t>
            </w:r>
          </w:p>
        </w:tc>
        <w:tc>
          <w:tcPr>
            <w:tcW w:w="1461" w:type="dxa"/>
            <w:tcBorders>
              <w:top w:val="nil"/>
              <w:left w:val="nil"/>
              <w:right w:val="nil"/>
            </w:tcBorders>
            <w:shd w:val="clear" w:color="auto" w:fill="auto"/>
            <w:noWrap/>
            <w:vAlign w:val="bottom"/>
            <w:hideMark/>
          </w:tcPr>
          <w:p w14:paraId="01EFD80F"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0.205***</w:t>
            </w:r>
          </w:p>
        </w:tc>
        <w:tc>
          <w:tcPr>
            <w:tcW w:w="1461" w:type="dxa"/>
            <w:tcBorders>
              <w:top w:val="nil"/>
              <w:left w:val="nil"/>
              <w:right w:val="nil"/>
            </w:tcBorders>
            <w:shd w:val="clear" w:color="auto" w:fill="auto"/>
            <w:noWrap/>
            <w:vAlign w:val="bottom"/>
            <w:hideMark/>
          </w:tcPr>
          <w:p w14:paraId="69406587"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0.198***</w:t>
            </w:r>
          </w:p>
        </w:tc>
        <w:tc>
          <w:tcPr>
            <w:tcW w:w="1461" w:type="dxa"/>
            <w:tcBorders>
              <w:top w:val="nil"/>
              <w:left w:val="nil"/>
              <w:right w:val="nil"/>
            </w:tcBorders>
            <w:shd w:val="clear" w:color="auto" w:fill="auto"/>
            <w:noWrap/>
            <w:vAlign w:val="bottom"/>
            <w:hideMark/>
          </w:tcPr>
          <w:p w14:paraId="6683E115"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0.186***</w:t>
            </w:r>
          </w:p>
        </w:tc>
      </w:tr>
      <w:tr w:rsidR="004D4279" w:rsidRPr="004A792A" w14:paraId="1F8DA0D2" w14:textId="77777777" w:rsidTr="004D4279">
        <w:tc>
          <w:tcPr>
            <w:tcW w:w="2977" w:type="dxa"/>
            <w:tcBorders>
              <w:top w:val="nil"/>
              <w:left w:val="nil"/>
              <w:bottom w:val="nil"/>
              <w:right w:val="single" w:sz="4" w:space="0" w:color="auto"/>
            </w:tcBorders>
            <w:shd w:val="clear" w:color="auto" w:fill="auto"/>
            <w:noWrap/>
            <w:vAlign w:val="bottom"/>
            <w:hideMark/>
          </w:tcPr>
          <w:p w14:paraId="0B4B63EE"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 xml:space="preserve">Upper secondary vocational </w:t>
            </w:r>
          </w:p>
        </w:tc>
        <w:tc>
          <w:tcPr>
            <w:tcW w:w="1461" w:type="dxa"/>
            <w:tcBorders>
              <w:top w:val="nil"/>
              <w:left w:val="single" w:sz="4" w:space="0" w:color="auto"/>
              <w:bottom w:val="nil"/>
              <w:right w:val="nil"/>
            </w:tcBorders>
            <w:shd w:val="clear" w:color="auto" w:fill="auto"/>
            <w:noWrap/>
            <w:vAlign w:val="bottom"/>
            <w:hideMark/>
          </w:tcPr>
          <w:p w14:paraId="66455F20"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0.149</w:t>
            </w:r>
          </w:p>
        </w:tc>
        <w:tc>
          <w:tcPr>
            <w:tcW w:w="1461" w:type="dxa"/>
            <w:tcBorders>
              <w:top w:val="nil"/>
              <w:left w:val="nil"/>
              <w:bottom w:val="nil"/>
              <w:right w:val="nil"/>
            </w:tcBorders>
            <w:shd w:val="clear" w:color="auto" w:fill="auto"/>
            <w:noWrap/>
            <w:vAlign w:val="bottom"/>
            <w:hideMark/>
          </w:tcPr>
          <w:p w14:paraId="0E5F3B46"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0.139</w:t>
            </w:r>
          </w:p>
        </w:tc>
        <w:tc>
          <w:tcPr>
            <w:tcW w:w="1461" w:type="dxa"/>
            <w:tcBorders>
              <w:top w:val="nil"/>
              <w:left w:val="nil"/>
              <w:bottom w:val="nil"/>
              <w:right w:val="nil"/>
            </w:tcBorders>
            <w:shd w:val="clear" w:color="auto" w:fill="auto"/>
            <w:noWrap/>
            <w:vAlign w:val="bottom"/>
            <w:hideMark/>
          </w:tcPr>
          <w:p w14:paraId="7671AE70"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0.159</w:t>
            </w:r>
          </w:p>
        </w:tc>
        <w:tc>
          <w:tcPr>
            <w:tcW w:w="1461" w:type="dxa"/>
            <w:tcBorders>
              <w:top w:val="nil"/>
              <w:left w:val="nil"/>
              <w:bottom w:val="nil"/>
              <w:right w:val="nil"/>
            </w:tcBorders>
            <w:shd w:val="clear" w:color="auto" w:fill="auto"/>
            <w:noWrap/>
            <w:vAlign w:val="bottom"/>
            <w:hideMark/>
          </w:tcPr>
          <w:p w14:paraId="023DFFDE"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0.161</w:t>
            </w:r>
          </w:p>
        </w:tc>
      </w:tr>
      <w:tr w:rsidR="004D4279" w:rsidRPr="004A792A" w14:paraId="63624021" w14:textId="77777777" w:rsidTr="004D4279">
        <w:tc>
          <w:tcPr>
            <w:tcW w:w="2977" w:type="dxa"/>
            <w:tcBorders>
              <w:top w:val="nil"/>
              <w:left w:val="nil"/>
              <w:bottom w:val="nil"/>
              <w:right w:val="single" w:sz="4" w:space="0" w:color="auto"/>
            </w:tcBorders>
            <w:shd w:val="clear" w:color="auto" w:fill="auto"/>
            <w:noWrap/>
            <w:vAlign w:val="bottom"/>
            <w:hideMark/>
          </w:tcPr>
          <w:p w14:paraId="175F6279"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Post-secondary (college)</w:t>
            </w:r>
          </w:p>
        </w:tc>
        <w:tc>
          <w:tcPr>
            <w:tcW w:w="1461" w:type="dxa"/>
            <w:tcBorders>
              <w:top w:val="nil"/>
              <w:left w:val="single" w:sz="4" w:space="0" w:color="auto"/>
              <w:bottom w:val="nil"/>
              <w:right w:val="nil"/>
            </w:tcBorders>
            <w:shd w:val="clear" w:color="auto" w:fill="auto"/>
            <w:noWrap/>
            <w:vAlign w:val="bottom"/>
            <w:hideMark/>
          </w:tcPr>
          <w:p w14:paraId="41517FB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0.170</w:t>
            </w:r>
          </w:p>
        </w:tc>
        <w:tc>
          <w:tcPr>
            <w:tcW w:w="1461" w:type="dxa"/>
            <w:tcBorders>
              <w:top w:val="nil"/>
              <w:left w:val="nil"/>
              <w:bottom w:val="nil"/>
              <w:right w:val="nil"/>
            </w:tcBorders>
            <w:shd w:val="clear" w:color="auto" w:fill="auto"/>
            <w:noWrap/>
            <w:vAlign w:val="bottom"/>
            <w:hideMark/>
          </w:tcPr>
          <w:p w14:paraId="6E9C8AEE"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0.128***</w:t>
            </w:r>
          </w:p>
        </w:tc>
        <w:tc>
          <w:tcPr>
            <w:tcW w:w="1461" w:type="dxa"/>
            <w:tcBorders>
              <w:top w:val="nil"/>
              <w:left w:val="nil"/>
              <w:bottom w:val="nil"/>
              <w:right w:val="nil"/>
            </w:tcBorders>
            <w:shd w:val="clear" w:color="auto" w:fill="auto"/>
            <w:noWrap/>
            <w:vAlign w:val="bottom"/>
            <w:hideMark/>
          </w:tcPr>
          <w:p w14:paraId="068AC04E"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0.097***</w:t>
            </w:r>
          </w:p>
        </w:tc>
        <w:tc>
          <w:tcPr>
            <w:tcW w:w="1461" w:type="dxa"/>
            <w:tcBorders>
              <w:top w:val="nil"/>
              <w:left w:val="nil"/>
              <w:bottom w:val="nil"/>
              <w:right w:val="nil"/>
            </w:tcBorders>
            <w:shd w:val="clear" w:color="auto" w:fill="auto"/>
            <w:noWrap/>
            <w:vAlign w:val="bottom"/>
            <w:hideMark/>
          </w:tcPr>
          <w:p w14:paraId="14001CEC"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0.068***</w:t>
            </w:r>
          </w:p>
        </w:tc>
      </w:tr>
      <w:tr w:rsidR="004D4279" w:rsidRPr="004A792A" w14:paraId="35A4A970" w14:textId="77777777" w:rsidTr="004D4279">
        <w:tc>
          <w:tcPr>
            <w:tcW w:w="2977" w:type="dxa"/>
            <w:tcBorders>
              <w:top w:val="nil"/>
              <w:left w:val="nil"/>
              <w:right w:val="single" w:sz="4" w:space="0" w:color="auto"/>
            </w:tcBorders>
            <w:shd w:val="clear" w:color="auto" w:fill="auto"/>
            <w:noWrap/>
            <w:vAlign w:val="bottom"/>
            <w:hideMark/>
          </w:tcPr>
          <w:p w14:paraId="4B432D3F"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Tertiary (university)</w:t>
            </w:r>
          </w:p>
        </w:tc>
        <w:tc>
          <w:tcPr>
            <w:tcW w:w="1461" w:type="dxa"/>
            <w:tcBorders>
              <w:top w:val="nil"/>
              <w:left w:val="single" w:sz="4" w:space="0" w:color="auto"/>
              <w:right w:val="nil"/>
            </w:tcBorders>
            <w:shd w:val="clear" w:color="auto" w:fill="auto"/>
            <w:noWrap/>
            <w:vAlign w:val="bottom"/>
            <w:hideMark/>
          </w:tcPr>
          <w:p w14:paraId="6B2B9C0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0.177</w:t>
            </w:r>
          </w:p>
        </w:tc>
        <w:tc>
          <w:tcPr>
            <w:tcW w:w="1461" w:type="dxa"/>
            <w:tcBorders>
              <w:top w:val="nil"/>
              <w:left w:val="nil"/>
              <w:right w:val="nil"/>
            </w:tcBorders>
            <w:shd w:val="clear" w:color="auto" w:fill="auto"/>
            <w:noWrap/>
            <w:vAlign w:val="bottom"/>
            <w:hideMark/>
          </w:tcPr>
          <w:p w14:paraId="030CD59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0.290***</w:t>
            </w:r>
          </w:p>
        </w:tc>
        <w:tc>
          <w:tcPr>
            <w:tcW w:w="1461" w:type="dxa"/>
            <w:tcBorders>
              <w:top w:val="nil"/>
              <w:left w:val="nil"/>
              <w:right w:val="nil"/>
            </w:tcBorders>
            <w:shd w:val="clear" w:color="auto" w:fill="auto"/>
            <w:noWrap/>
            <w:vAlign w:val="bottom"/>
            <w:hideMark/>
          </w:tcPr>
          <w:p w14:paraId="1E69D140"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0.245***</w:t>
            </w:r>
          </w:p>
        </w:tc>
        <w:tc>
          <w:tcPr>
            <w:tcW w:w="1461" w:type="dxa"/>
            <w:tcBorders>
              <w:top w:val="nil"/>
              <w:left w:val="nil"/>
              <w:right w:val="nil"/>
            </w:tcBorders>
            <w:shd w:val="clear" w:color="auto" w:fill="auto"/>
            <w:noWrap/>
            <w:vAlign w:val="bottom"/>
            <w:hideMark/>
          </w:tcPr>
          <w:p w14:paraId="5C8D5938"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0.106***</w:t>
            </w:r>
          </w:p>
        </w:tc>
      </w:tr>
      <w:tr w:rsidR="004D4279" w:rsidRPr="004A792A" w14:paraId="56F985B5" w14:textId="77777777" w:rsidTr="004D4279">
        <w:tc>
          <w:tcPr>
            <w:tcW w:w="2977" w:type="dxa"/>
            <w:tcBorders>
              <w:left w:val="nil"/>
              <w:bottom w:val="nil"/>
              <w:right w:val="single" w:sz="4" w:space="0" w:color="auto"/>
            </w:tcBorders>
            <w:shd w:val="clear" w:color="auto" w:fill="auto"/>
            <w:noWrap/>
            <w:vAlign w:val="bottom"/>
          </w:tcPr>
          <w:p w14:paraId="0904FD57" w14:textId="77777777" w:rsidR="004D4279" w:rsidRPr="004A792A" w:rsidRDefault="007E0FCF" w:rsidP="004D4279">
            <w:pPr>
              <w:spacing w:before="0"/>
              <w:rPr>
                <w:rFonts w:eastAsia="Times New Roman" w:cstheme="minorHAnsi"/>
                <w:i/>
                <w:sz w:val="20"/>
                <w:szCs w:val="20"/>
                <w:lang w:val="en-US"/>
              </w:rPr>
            </w:pPr>
            <w:r w:rsidRPr="004A792A">
              <w:rPr>
                <w:rFonts w:eastAsia="Times New Roman" w:cstheme="minorHAnsi"/>
                <w:i/>
                <w:sz w:val="20"/>
                <w:szCs w:val="20"/>
                <w:lang w:val="en-US"/>
              </w:rPr>
              <w:t>Place of residence</w:t>
            </w:r>
          </w:p>
        </w:tc>
        <w:tc>
          <w:tcPr>
            <w:tcW w:w="1461" w:type="dxa"/>
            <w:tcBorders>
              <w:left w:val="single" w:sz="4" w:space="0" w:color="auto"/>
              <w:bottom w:val="nil"/>
              <w:right w:val="nil"/>
            </w:tcBorders>
            <w:shd w:val="clear" w:color="auto" w:fill="auto"/>
            <w:noWrap/>
            <w:vAlign w:val="bottom"/>
          </w:tcPr>
          <w:p w14:paraId="1F77A94E"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4CA6DFBD"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38E23DA9"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left w:val="nil"/>
              <w:bottom w:val="nil"/>
              <w:right w:val="nil"/>
            </w:tcBorders>
            <w:shd w:val="clear" w:color="auto" w:fill="auto"/>
            <w:noWrap/>
            <w:vAlign w:val="bottom"/>
          </w:tcPr>
          <w:p w14:paraId="5A645ABA" w14:textId="77777777" w:rsidR="004D4279" w:rsidRPr="004A792A" w:rsidRDefault="004D4279" w:rsidP="004D4279">
            <w:pPr>
              <w:spacing w:before="0"/>
              <w:jc w:val="center"/>
              <w:rPr>
                <w:rFonts w:eastAsia="Times New Roman" w:cstheme="minorHAnsi"/>
                <w:sz w:val="20"/>
                <w:szCs w:val="20"/>
                <w:lang w:val="en-US"/>
              </w:rPr>
            </w:pPr>
          </w:p>
        </w:tc>
      </w:tr>
      <w:tr w:rsidR="004D4279" w:rsidRPr="004A792A" w14:paraId="0C744BB8" w14:textId="77777777" w:rsidTr="004D4279">
        <w:tc>
          <w:tcPr>
            <w:tcW w:w="2977" w:type="dxa"/>
            <w:tcBorders>
              <w:top w:val="nil"/>
              <w:left w:val="nil"/>
              <w:bottom w:val="nil"/>
              <w:right w:val="single" w:sz="4" w:space="0" w:color="auto"/>
            </w:tcBorders>
            <w:shd w:val="clear" w:color="auto" w:fill="auto"/>
            <w:noWrap/>
            <w:vAlign w:val="bottom"/>
            <w:hideMark/>
          </w:tcPr>
          <w:p w14:paraId="3D8B5F6C"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Urban</w:t>
            </w:r>
          </w:p>
        </w:tc>
        <w:tc>
          <w:tcPr>
            <w:tcW w:w="1461" w:type="dxa"/>
            <w:tcBorders>
              <w:top w:val="nil"/>
              <w:left w:val="single" w:sz="4" w:space="0" w:color="auto"/>
              <w:bottom w:val="nil"/>
              <w:right w:val="nil"/>
            </w:tcBorders>
            <w:shd w:val="clear" w:color="auto" w:fill="auto"/>
            <w:noWrap/>
            <w:vAlign w:val="bottom"/>
            <w:hideMark/>
          </w:tcPr>
          <w:p w14:paraId="26D896F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0.459</w:t>
            </w:r>
          </w:p>
        </w:tc>
        <w:tc>
          <w:tcPr>
            <w:tcW w:w="1461" w:type="dxa"/>
            <w:tcBorders>
              <w:top w:val="nil"/>
              <w:left w:val="nil"/>
              <w:bottom w:val="nil"/>
              <w:right w:val="nil"/>
            </w:tcBorders>
            <w:shd w:val="clear" w:color="auto" w:fill="auto"/>
            <w:noWrap/>
            <w:vAlign w:val="bottom"/>
            <w:hideMark/>
          </w:tcPr>
          <w:p w14:paraId="5E2353D2"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0.506***</w:t>
            </w:r>
          </w:p>
        </w:tc>
        <w:tc>
          <w:tcPr>
            <w:tcW w:w="1461" w:type="dxa"/>
            <w:tcBorders>
              <w:top w:val="nil"/>
              <w:left w:val="nil"/>
              <w:bottom w:val="nil"/>
              <w:right w:val="nil"/>
            </w:tcBorders>
            <w:shd w:val="clear" w:color="auto" w:fill="auto"/>
            <w:noWrap/>
            <w:vAlign w:val="bottom"/>
            <w:hideMark/>
          </w:tcPr>
          <w:p w14:paraId="0C5388F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0.401***</w:t>
            </w:r>
          </w:p>
        </w:tc>
        <w:tc>
          <w:tcPr>
            <w:tcW w:w="1461" w:type="dxa"/>
            <w:tcBorders>
              <w:top w:val="nil"/>
              <w:left w:val="nil"/>
              <w:bottom w:val="nil"/>
              <w:right w:val="nil"/>
            </w:tcBorders>
            <w:shd w:val="clear" w:color="auto" w:fill="auto"/>
            <w:noWrap/>
            <w:vAlign w:val="bottom"/>
            <w:hideMark/>
          </w:tcPr>
          <w:p w14:paraId="7BB93D5E"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0.236***</w:t>
            </w:r>
          </w:p>
        </w:tc>
      </w:tr>
      <w:tr w:rsidR="004D4279" w:rsidRPr="004A792A" w14:paraId="4CC83185" w14:textId="77777777" w:rsidTr="004D4279">
        <w:tc>
          <w:tcPr>
            <w:tcW w:w="2977" w:type="dxa"/>
            <w:tcBorders>
              <w:top w:val="nil"/>
              <w:left w:val="nil"/>
              <w:right w:val="single" w:sz="4" w:space="0" w:color="auto"/>
            </w:tcBorders>
            <w:shd w:val="clear" w:color="auto" w:fill="auto"/>
            <w:noWrap/>
            <w:vAlign w:val="bottom"/>
          </w:tcPr>
          <w:p w14:paraId="64897C07"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Rural</w:t>
            </w:r>
          </w:p>
        </w:tc>
        <w:tc>
          <w:tcPr>
            <w:tcW w:w="1461" w:type="dxa"/>
            <w:tcBorders>
              <w:top w:val="nil"/>
              <w:left w:val="single" w:sz="4" w:space="0" w:color="auto"/>
              <w:right w:val="nil"/>
            </w:tcBorders>
            <w:shd w:val="clear" w:color="auto" w:fill="auto"/>
            <w:noWrap/>
            <w:vAlign w:val="bottom"/>
          </w:tcPr>
          <w:p w14:paraId="0967FC80" w14:textId="77777777" w:rsidR="004D4279" w:rsidRPr="004A792A" w:rsidRDefault="004D4279" w:rsidP="004D4279">
            <w:pPr>
              <w:spacing w:before="0"/>
              <w:jc w:val="center"/>
              <w:rPr>
                <w:rFonts w:eastAsia="Times New Roman" w:cstheme="minorHAnsi"/>
                <w:sz w:val="20"/>
                <w:szCs w:val="20"/>
                <w:lang w:val="en-US"/>
              </w:rPr>
            </w:pPr>
            <w:r w:rsidRPr="004A792A">
              <w:rPr>
                <w:rFonts w:cstheme="minorHAnsi"/>
                <w:sz w:val="20"/>
                <w:szCs w:val="20"/>
                <w:lang w:val="en-US"/>
              </w:rPr>
              <w:t>0.541</w:t>
            </w:r>
          </w:p>
        </w:tc>
        <w:tc>
          <w:tcPr>
            <w:tcW w:w="1461" w:type="dxa"/>
            <w:tcBorders>
              <w:top w:val="nil"/>
              <w:left w:val="nil"/>
              <w:right w:val="nil"/>
            </w:tcBorders>
            <w:shd w:val="clear" w:color="auto" w:fill="auto"/>
            <w:noWrap/>
            <w:vAlign w:val="bottom"/>
          </w:tcPr>
          <w:p w14:paraId="754E79D0" w14:textId="77777777" w:rsidR="004D4279" w:rsidRPr="004A792A" w:rsidRDefault="004D4279" w:rsidP="004D4279">
            <w:pPr>
              <w:spacing w:before="0"/>
              <w:jc w:val="center"/>
              <w:rPr>
                <w:rFonts w:eastAsia="Times New Roman" w:cstheme="minorHAnsi"/>
                <w:sz w:val="20"/>
                <w:szCs w:val="20"/>
                <w:lang w:val="en-US"/>
              </w:rPr>
            </w:pPr>
            <w:r w:rsidRPr="004A792A">
              <w:rPr>
                <w:rFonts w:cstheme="minorHAnsi"/>
                <w:sz w:val="20"/>
                <w:szCs w:val="20"/>
                <w:lang w:val="en-US"/>
              </w:rPr>
              <w:t>0.494</w:t>
            </w:r>
            <w:r w:rsidRPr="004A792A">
              <w:rPr>
                <w:rFonts w:eastAsia="Times New Roman" w:cstheme="minorHAnsi"/>
                <w:sz w:val="20"/>
                <w:szCs w:val="20"/>
                <w:lang w:val="en-US"/>
              </w:rPr>
              <w:t>***</w:t>
            </w:r>
          </w:p>
        </w:tc>
        <w:tc>
          <w:tcPr>
            <w:tcW w:w="1461" w:type="dxa"/>
            <w:tcBorders>
              <w:top w:val="nil"/>
              <w:left w:val="nil"/>
              <w:right w:val="nil"/>
            </w:tcBorders>
            <w:shd w:val="clear" w:color="auto" w:fill="auto"/>
            <w:noWrap/>
            <w:vAlign w:val="bottom"/>
          </w:tcPr>
          <w:p w14:paraId="5EA40D0F" w14:textId="77777777" w:rsidR="004D4279" w:rsidRPr="004A792A" w:rsidRDefault="004D4279" w:rsidP="004D4279">
            <w:pPr>
              <w:spacing w:before="0"/>
              <w:jc w:val="center"/>
              <w:rPr>
                <w:rFonts w:eastAsia="Times New Roman" w:cstheme="minorHAnsi"/>
                <w:sz w:val="20"/>
                <w:szCs w:val="20"/>
                <w:lang w:val="en-US"/>
              </w:rPr>
            </w:pPr>
            <w:r w:rsidRPr="004A792A">
              <w:rPr>
                <w:rFonts w:cstheme="minorHAnsi"/>
                <w:sz w:val="20"/>
                <w:szCs w:val="20"/>
                <w:lang w:val="en-US"/>
              </w:rPr>
              <w:t>0.599</w:t>
            </w:r>
            <w:r w:rsidRPr="004A792A">
              <w:rPr>
                <w:rFonts w:eastAsia="Times New Roman" w:cstheme="minorHAnsi"/>
                <w:sz w:val="20"/>
                <w:szCs w:val="20"/>
                <w:lang w:val="en-US"/>
              </w:rPr>
              <w:t>***</w:t>
            </w:r>
          </w:p>
        </w:tc>
        <w:tc>
          <w:tcPr>
            <w:tcW w:w="1461" w:type="dxa"/>
            <w:tcBorders>
              <w:top w:val="nil"/>
              <w:left w:val="nil"/>
              <w:right w:val="nil"/>
            </w:tcBorders>
            <w:shd w:val="clear" w:color="auto" w:fill="auto"/>
            <w:noWrap/>
            <w:vAlign w:val="bottom"/>
          </w:tcPr>
          <w:p w14:paraId="5695D2E3" w14:textId="77777777" w:rsidR="004D4279" w:rsidRPr="004A792A" w:rsidRDefault="004D4279" w:rsidP="004D4279">
            <w:pPr>
              <w:spacing w:before="0"/>
              <w:jc w:val="center"/>
              <w:rPr>
                <w:rFonts w:eastAsia="Times New Roman" w:cstheme="minorHAnsi"/>
                <w:sz w:val="20"/>
                <w:szCs w:val="20"/>
                <w:lang w:val="en-US"/>
              </w:rPr>
            </w:pPr>
            <w:r w:rsidRPr="004A792A">
              <w:rPr>
                <w:rFonts w:cstheme="minorHAnsi"/>
                <w:sz w:val="20"/>
                <w:szCs w:val="20"/>
                <w:lang w:val="en-US"/>
              </w:rPr>
              <w:t>0.764</w:t>
            </w:r>
            <w:r w:rsidRPr="004A792A">
              <w:rPr>
                <w:rFonts w:eastAsia="Times New Roman" w:cstheme="minorHAnsi"/>
                <w:sz w:val="20"/>
                <w:szCs w:val="20"/>
                <w:lang w:val="en-US"/>
              </w:rPr>
              <w:t>***</w:t>
            </w:r>
          </w:p>
        </w:tc>
      </w:tr>
      <w:tr w:rsidR="004D4279" w:rsidRPr="004A792A" w14:paraId="75E314C0" w14:textId="77777777" w:rsidTr="004D4279">
        <w:tc>
          <w:tcPr>
            <w:tcW w:w="2977" w:type="dxa"/>
            <w:tcBorders>
              <w:left w:val="nil"/>
              <w:bottom w:val="nil"/>
              <w:right w:val="single" w:sz="4" w:space="0" w:color="auto"/>
            </w:tcBorders>
            <w:shd w:val="clear" w:color="auto" w:fill="auto"/>
            <w:noWrap/>
            <w:vAlign w:val="bottom"/>
          </w:tcPr>
          <w:p w14:paraId="37209A1A" w14:textId="77777777" w:rsidR="004D4279" w:rsidRPr="004A792A" w:rsidRDefault="004D4279" w:rsidP="004D4279">
            <w:pPr>
              <w:spacing w:before="0"/>
              <w:rPr>
                <w:rFonts w:eastAsia="Times New Roman" w:cstheme="minorHAnsi"/>
                <w:i/>
                <w:sz w:val="20"/>
                <w:szCs w:val="20"/>
                <w:lang w:val="en-US"/>
              </w:rPr>
            </w:pPr>
            <w:r w:rsidRPr="004A792A">
              <w:rPr>
                <w:rFonts w:eastAsia="Times New Roman" w:cstheme="minorHAnsi"/>
                <w:i/>
                <w:sz w:val="20"/>
                <w:szCs w:val="20"/>
                <w:lang w:val="en-US"/>
              </w:rPr>
              <w:t>Region</w:t>
            </w:r>
          </w:p>
        </w:tc>
        <w:tc>
          <w:tcPr>
            <w:tcW w:w="1461" w:type="dxa"/>
            <w:tcBorders>
              <w:left w:val="single" w:sz="4" w:space="0" w:color="auto"/>
              <w:bottom w:val="nil"/>
              <w:right w:val="nil"/>
            </w:tcBorders>
            <w:shd w:val="clear" w:color="auto" w:fill="auto"/>
            <w:noWrap/>
            <w:vAlign w:val="bottom"/>
          </w:tcPr>
          <w:p w14:paraId="78C4A8AA" w14:textId="77777777" w:rsidR="004D4279" w:rsidRPr="004A792A" w:rsidRDefault="004D4279" w:rsidP="004D4279">
            <w:pPr>
              <w:spacing w:before="0"/>
              <w:jc w:val="center"/>
              <w:rPr>
                <w:rFonts w:cstheme="minorHAnsi"/>
                <w:sz w:val="20"/>
                <w:szCs w:val="20"/>
                <w:lang w:val="en-US"/>
              </w:rPr>
            </w:pPr>
          </w:p>
        </w:tc>
        <w:tc>
          <w:tcPr>
            <w:tcW w:w="1461" w:type="dxa"/>
            <w:tcBorders>
              <w:left w:val="nil"/>
              <w:bottom w:val="nil"/>
              <w:right w:val="nil"/>
            </w:tcBorders>
            <w:shd w:val="clear" w:color="auto" w:fill="auto"/>
            <w:noWrap/>
            <w:vAlign w:val="bottom"/>
          </w:tcPr>
          <w:p w14:paraId="2B877E11" w14:textId="77777777" w:rsidR="004D4279" w:rsidRPr="004A792A" w:rsidRDefault="004D4279" w:rsidP="004D4279">
            <w:pPr>
              <w:spacing w:before="0"/>
              <w:jc w:val="center"/>
              <w:rPr>
                <w:rFonts w:cstheme="minorHAnsi"/>
                <w:sz w:val="20"/>
                <w:szCs w:val="20"/>
                <w:lang w:val="en-US"/>
              </w:rPr>
            </w:pPr>
          </w:p>
        </w:tc>
        <w:tc>
          <w:tcPr>
            <w:tcW w:w="1461" w:type="dxa"/>
            <w:tcBorders>
              <w:left w:val="nil"/>
              <w:bottom w:val="nil"/>
              <w:right w:val="nil"/>
            </w:tcBorders>
            <w:shd w:val="clear" w:color="auto" w:fill="auto"/>
            <w:noWrap/>
            <w:vAlign w:val="bottom"/>
          </w:tcPr>
          <w:p w14:paraId="07FC12D8" w14:textId="77777777" w:rsidR="004D4279" w:rsidRPr="004A792A" w:rsidRDefault="004D4279" w:rsidP="004D4279">
            <w:pPr>
              <w:spacing w:before="0"/>
              <w:jc w:val="center"/>
              <w:rPr>
                <w:rFonts w:cstheme="minorHAnsi"/>
                <w:sz w:val="20"/>
                <w:szCs w:val="20"/>
                <w:lang w:val="en-US"/>
              </w:rPr>
            </w:pPr>
          </w:p>
        </w:tc>
        <w:tc>
          <w:tcPr>
            <w:tcW w:w="1461" w:type="dxa"/>
            <w:tcBorders>
              <w:left w:val="nil"/>
              <w:bottom w:val="nil"/>
              <w:right w:val="nil"/>
            </w:tcBorders>
            <w:shd w:val="clear" w:color="auto" w:fill="auto"/>
            <w:noWrap/>
            <w:vAlign w:val="bottom"/>
          </w:tcPr>
          <w:p w14:paraId="6C6B9293" w14:textId="77777777" w:rsidR="004D4279" w:rsidRPr="004A792A" w:rsidRDefault="004D4279" w:rsidP="004D4279">
            <w:pPr>
              <w:spacing w:before="0"/>
              <w:jc w:val="center"/>
              <w:rPr>
                <w:rFonts w:cstheme="minorHAnsi"/>
                <w:sz w:val="20"/>
                <w:szCs w:val="20"/>
                <w:lang w:val="en-US"/>
              </w:rPr>
            </w:pPr>
          </w:p>
        </w:tc>
      </w:tr>
      <w:tr w:rsidR="004D4279" w:rsidRPr="004A792A" w14:paraId="57435125" w14:textId="77777777" w:rsidTr="004D4279">
        <w:tc>
          <w:tcPr>
            <w:tcW w:w="2977" w:type="dxa"/>
            <w:tcBorders>
              <w:top w:val="nil"/>
              <w:left w:val="nil"/>
              <w:bottom w:val="nil"/>
              <w:right w:val="single" w:sz="4" w:space="0" w:color="auto"/>
            </w:tcBorders>
            <w:shd w:val="clear" w:color="auto" w:fill="auto"/>
            <w:noWrap/>
            <w:vAlign w:val="bottom"/>
            <w:hideMark/>
          </w:tcPr>
          <w:p w14:paraId="239FF3A0"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North</w:t>
            </w:r>
          </w:p>
        </w:tc>
        <w:tc>
          <w:tcPr>
            <w:tcW w:w="1461" w:type="dxa"/>
            <w:tcBorders>
              <w:top w:val="nil"/>
              <w:left w:val="single" w:sz="4" w:space="0" w:color="auto"/>
              <w:bottom w:val="nil"/>
              <w:right w:val="nil"/>
            </w:tcBorders>
            <w:shd w:val="clear" w:color="auto" w:fill="auto"/>
            <w:noWrap/>
            <w:vAlign w:val="bottom"/>
            <w:hideMark/>
          </w:tcPr>
          <w:p w14:paraId="4A520DE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0.277</w:t>
            </w:r>
          </w:p>
        </w:tc>
        <w:tc>
          <w:tcPr>
            <w:tcW w:w="1461" w:type="dxa"/>
            <w:tcBorders>
              <w:top w:val="nil"/>
              <w:left w:val="nil"/>
              <w:bottom w:val="nil"/>
              <w:right w:val="nil"/>
            </w:tcBorders>
            <w:shd w:val="clear" w:color="auto" w:fill="auto"/>
            <w:noWrap/>
            <w:vAlign w:val="bottom"/>
            <w:hideMark/>
          </w:tcPr>
          <w:p w14:paraId="48ED1DE8"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0.299</w:t>
            </w:r>
          </w:p>
        </w:tc>
        <w:tc>
          <w:tcPr>
            <w:tcW w:w="1461" w:type="dxa"/>
            <w:tcBorders>
              <w:top w:val="nil"/>
              <w:left w:val="nil"/>
              <w:bottom w:val="nil"/>
              <w:right w:val="nil"/>
            </w:tcBorders>
            <w:shd w:val="clear" w:color="auto" w:fill="auto"/>
            <w:noWrap/>
            <w:vAlign w:val="bottom"/>
            <w:hideMark/>
          </w:tcPr>
          <w:p w14:paraId="4BA11AD5"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0.282</w:t>
            </w:r>
          </w:p>
        </w:tc>
        <w:tc>
          <w:tcPr>
            <w:tcW w:w="1461" w:type="dxa"/>
            <w:tcBorders>
              <w:top w:val="nil"/>
              <w:left w:val="nil"/>
              <w:bottom w:val="nil"/>
              <w:right w:val="nil"/>
            </w:tcBorders>
            <w:shd w:val="clear" w:color="auto" w:fill="auto"/>
            <w:noWrap/>
            <w:vAlign w:val="bottom"/>
            <w:hideMark/>
          </w:tcPr>
          <w:p w14:paraId="7E8F3724"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0.272</w:t>
            </w:r>
          </w:p>
        </w:tc>
      </w:tr>
      <w:tr w:rsidR="004D4279" w:rsidRPr="004A792A" w14:paraId="7F1092FB" w14:textId="77777777" w:rsidTr="004D4279">
        <w:tc>
          <w:tcPr>
            <w:tcW w:w="2977" w:type="dxa"/>
            <w:tcBorders>
              <w:top w:val="nil"/>
              <w:left w:val="nil"/>
              <w:bottom w:val="nil"/>
              <w:right w:val="single" w:sz="4" w:space="0" w:color="auto"/>
            </w:tcBorders>
            <w:shd w:val="clear" w:color="auto" w:fill="auto"/>
            <w:noWrap/>
            <w:vAlign w:val="bottom"/>
            <w:hideMark/>
          </w:tcPr>
          <w:p w14:paraId="4C8CD607"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Center</w:t>
            </w:r>
          </w:p>
        </w:tc>
        <w:tc>
          <w:tcPr>
            <w:tcW w:w="1461" w:type="dxa"/>
            <w:tcBorders>
              <w:top w:val="nil"/>
              <w:left w:val="single" w:sz="4" w:space="0" w:color="auto"/>
              <w:bottom w:val="nil"/>
              <w:right w:val="nil"/>
            </w:tcBorders>
            <w:shd w:val="clear" w:color="auto" w:fill="auto"/>
            <w:noWrap/>
            <w:vAlign w:val="bottom"/>
            <w:hideMark/>
          </w:tcPr>
          <w:p w14:paraId="51FB9F5C"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0.287</w:t>
            </w:r>
          </w:p>
        </w:tc>
        <w:tc>
          <w:tcPr>
            <w:tcW w:w="1461" w:type="dxa"/>
            <w:tcBorders>
              <w:top w:val="nil"/>
              <w:left w:val="nil"/>
              <w:bottom w:val="nil"/>
              <w:right w:val="nil"/>
            </w:tcBorders>
            <w:shd w:val="clear" w:color="auto" w:fill="auto"/>
            <w:noWrap/>
            <w:vAlign w:val="bottom"/>
            <w:hideMark/>
          </w:tcPr>
          <w:p w14:paraId="3D1D7DF0"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0.269</w:t>
            </w:r>
          </w:p>
        </w:tc>
        <w:tc>
          <w:tcPr>
            <w:tcW w:w="1461" w:type="dxa"/>
            <w:tcBorders>
              <w:top w:val="nil"/>
              <w:left w:val="nil"/>
              <w:bottom w:val="nil"/>
              <w:right w:val="nil"/>
            </w:tcBorders>
            <w:shd w:val="clear" w:color="auto" w:fill="auto"/>
            <w:noWrap/>
            <w:vAlign w:val="bottom"/>
            <w:hideMark/>
          </w:tcPr>
          <w:p w14:paraId="2F754125"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0.309</w:t>
            </w:r>
          </w:p>
        </w:tc>
        <w:tc>
          <w:tcPr>
            <w:tcW w:w="1461" w:type="dxa"/>
            <w:tcBorders>
              <w:top w:val="nil"/>
              <w:left w:val="nil"/>
              <w:bottom w:val="nil"/>
              <w:right w:val="nil"/>
            </w:tcBorders>
            <w:shd w:val="clear" w:color="auto" w:fill="auto"/>
            <w:noWrap/>
            <w:vAlign w:val="bottom"/>
            <w:hideMark/>
          </w:tcPr>
          <w:p w14:paraId="405103EE"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0.335</w:t>
            </w:r>
          </w:p>
        </w:tc>
      </w:tr>
      <w:tr w:rsidR="004D4279" w:rsidRPr="004A792A" w14:paraId="22D2FCA5" w14:textId="77777777" w:rsidTr="004D4279">
        <w:tc>
          <w:tcPr>
            <w:tcW w:w="2977" w:type="dxa"/>
            <w:tcBorders>
              <w:top w:val="nil"/>
              <w:left w:val="nil"/>
              <w:bottom w:val="nil"/>
              <w:right w:val="single" w:sz="4" w:space="0" w:color="auto"/>
            </w:tcBorders>
            <w:shd w:val="clear" w:color="auto" w:fill="auto"/>
            <w:noWrap/>
            <w:vAlign w:val="bottom"/>
            <w:hideMark/>
          </w:tcPr>
          <w:p w14:paraId="39E39900"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South</w:t>
            </w:r>
          </w:p>
        </w:tc>
        <w:tc>
          <w:tcPr>
            <w:tcW w:w="1461" w:type="dxa"/>
            <w:tcBorders>
              <w:top w:val="nil"/>
              <w:left w:val="single" w:sz="4" w:space="0" w:color="auto"/>
              <w:bottom w:val="nil"/>
              <w:right w:val="nil"/>
            </w:tcBorders>
            <w:shd w:val="clear" w:color="auto" w:fill="auto"/>
            <w:noWrap/>
            <w:vAlign w:val="bottom"/>
            <w:hideMark/>
          </w:tcPr>
          <w:p w14:paraId="6B716B8A"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0.197</w:t>
            </w:r>
          </w:p>
        </w:tc>
        <w:tc>
          <w:tcPr>
            <w:tcW w:w="1461" w:type="dxa"/>
            <w:tcBorders>
              <w:top w:val="nil"/>
              <w:left w:val="nil"/>
              <w:bottom w:val="nil"/>
              <w:right w:val="nil"/>
            </w:tcBorders>
            <w:shd w:val="clear" w:color="auto" w:fill="auto"/>
            <w:noWrap/>
            <w:vAlign w:val="bottom"/>
            <w:hideMark/>
          </w:tcPr>
          <w:p w14:paraId="79378577"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0.170**</w:t>
            </w:r>
          </w:p>
        </w:tc>
        <w:tc>
          <w:tcPr>
            <w:tcW w:w="1461" w:type="dxa"/>
            <w:tcBorders>
              <w:top w:val="nil"/>
              <w:left w:val="nil"/>
              <w:bottom w:val="nil"/>
              <w:right w:val="nil"/>
            </w:tcBorders>
            <w:shd w:val="clear" w:color="auto" w:fill="auto"/>
            <w:noWrap/>
            <w:vAlign w:val="bottom"/>
            <w:hideMark/>
          </w:tcPr>
          <w:p w14:paraId="62081BA4"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0.199</w:t>
            </w:r>
          </w:p>
        </w:tc>
        <w:tc>
          <w:tcPr>
            <w:tcW w:w="1461" w:type="dxa"/>
            <w:tcBorders>
              <w:top w:val="nil"/>
              <w:left w:val="nil"/>
              <w:bottom w:val="nil"/>
              <w:right w:val="nil"/>
            </w:tcBorders>
            <w:shd w:val="clear" w:color="auto" w:fill="auto"/>
            <w:noWrap/>
            <w:vAlign w:val="bottom"/>
            <w:hideMark/>
          </w:tcPr>
          <w:p w14:paraId="6C1954B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0.257*</w:t>
            </w:r>
          </w:p>
        </w:tc>
      </w:tr>
      <w:tr w:rsidR="004D4279" w:rsidRPr="004A792A" w14:paraId="6ACA8814" w14:textId="77777777" w:rsidTr="004D4279">
        <w:tc>
          <w:tcPr>
            <w:tcW w:w="2977" w:type="dxa"/>
            <w:tcBorders>
              <w:top w:val="nil"/>
              <w:left w:val="nil"/>
              <w:bottom w:val="nil"/>
              <w:right w:val="single" w:sz="4" w:space="0" w:color="auto"/>
            </w:tcBorders>
            <w:shd w:val="clear" w:color="auto" w:fill="auto"/>
            <w:noWrap/>
            <w:vAlign w:val="bottom"/>
            <w:hideMark/>
          </w:tcPr>
          <w:p w14:paraId="1333009D"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Chisinau</w:t>
            </w:r>
          </w:p>
        </w:tc>
        <w:tc>
          <w:tcPr>
            <w:tcW w:w="1461" w:type="dxa"/>
            <w:tcBorders>
              <w:top w:val="nil"/>
              <w:left w:val="single" w:sz="4" w:space="0" w:color="auto"/>
              <w:bottom w:val="nil"/>
              <w:right w:val="nil"/>
            </w:tcBorders>
            <w:shd w:val="clear" w:color="auto" w:fill="auto"/>
            <w:noWrap/>
            <w:vAlign w:val="bottom"/>
            <w:hideMark/>
          </w:tcPr>
          <w:p w14:paraId="26AB432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0.239</w:t>
            </w:r>
          </w:p>
        </w:tc>
        <w:tc>
          <w:tcPr>
            <w:tcW w:w="1461" w:type="dxa"/>
            <w:tcBorders>
              <w:top w:val="nil"/>
              <w:left w:val="nil"/>
              <w:bottom w:val="nil"/>
              <w:right w:val="nil"/>
            </w:tcBorders>
            <w:shd w:val="clear" w:color="auto" w:fill="auto"/>
            <w:noWrap/>
            <w:vAlign w:val="bottom"/>
            <w:hideMark/>
          </w:tcPr>
          <w:p w14:paraId="133B1664"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0.262</w:t>
            </w:r>
          </w:p>
        </w:tc>
        <w:tc>
          <w:tcPr>
            <w:tcW w:w="1461" w:type="dxa"/>
            <w:tcBorders>
              <w:top w:val="nil"/>
              <w:left w:val="nil"/>
              <w:bottom w:val="nil"/>
              <w:right w:val="nil"/>
            </w:tcBorders>
            <w:shd w:val="clear" w:color="auto" w:fill="auto"/>
            <w:noWrap/>
            <w:vAlign w:val="bottom"/>
            <w:hideMark/>
          </w:tcPr>
          <w:p w14:paraId="5CD6C627"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0.210</w:t>
            </w:r>
          </w:p>
        </w:tc>
        <w:tc>
          <w:tcPr>
            <w:tcW w:w="1461" w:type="dxa"/>
            <w:tcBorders>
              <w:top w:val="nil"/>
              <w:left w:val="nil"/>
              <w:bottom w:val="nil"/>
              <w:right w:val="nil"/>
            </w:tcBorders>
            <w:shd w:val="clear" w:color="auto" w:fill="auto"/>
            <w:noWrap/>
            <w:vAlign w:val="bottom"/>
            <w:hideMark/>
          </w:tcPr>
          <w:p w14:paraId="367CBF7A"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0.136**</w:t>
            </w:r>
          </w:p>
        </w:tc>
      </w:tr>
      <w:tr w:rsidR="004D4279" w:rsidRPr="004A792A" w14:paraId="4A2EC6D8" w14:textId="77777777" w:rsidTr="004D4279">
        <w:tc>
          <w:tcPr>
            <w:tcW w:w="2977" w:type="dxa"/>
            <w:tcBorders>
              <w:top w:val="nil"/>
              <w:left w:val="nil"/>
              <w:bottom w:val="nil"/>
              <w:right w:val="single" w:sz="4" w:space="0" w:color="auto"/>
            </w:tcBorders>
            <w:shd w:val="clear" w:color="auto" w:fill="auto"/>
            <w:noWrap/>
            <w:vAlign w:val="bottom"/>
          </w:tcPr>
          <w:p w14:paraId="76D36285" w14:textId="77777777" w:rsidR="004D4279" w:rsidRPr="004A792A" w:rsidRDefault="004D4279" w:rsidP="004D4279">
            <w:pPr>
              <w:spacing w:before="0"/>
              <w:rPr>
                <w:rFonts w:eastAsia="Times New Roman" w:cstheme="minorHAnsi"/>
                <w:i/>
                <w:sz w:val="20"/>
                <w:szCs w:val="20"/>
                <w:lang w:val="en-US"/>
              </w:rPr>
            </w:pPr>
            <w:r w:rsidRPr="004A792A">
              <w:rPr>
                <w:rFonts w:eastAsia="Times New Roman" w:cstheme="minorHAnsi"/>
                <w:i/>
                <w:sz w:val="20"/>
                <w:szCs w:val="20"/>
                <w:lang w:val="en-US"/>
              </w:rPr>
              <w:t>Labor force status</w:t>
            </w:r>
          </w:p>
        </w:tc>
        <w:tc>
          <w:tcPr>
            <w:tcW w:w="1461" w:type="dxa"/>
            <w:tcBorders>
              <w:top w:val="nil"/>
              <w:left w:val="single" w:sz="4" w:space="0" w:color="auto"/>
              <w:bottom w:val="nil"/>
              <w:right w:val="nil"/>
            </w:tcBorders>
            <w:shd w:val="clear" w:color="auto" w:fill="auto"/>
            <w:noWrap/>
            <w:vAlign w:val="bottom"/>
          </w:tcPr>
          <w:p w14:paraId="267780E1"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top w:val="nil"/>
              <w:left w:val="nil"/>
              <w:bottom w:val="nil"/>
              <w:right w:val="nil"/>
            </w:tcBorders>
            <w:shd w:val="clear" w:color="auto" w:fill="auto"/>
            <w:noWrap/>
            <w:vAlign w:val="bottom"/>
          </w:tcPr>
          <w:p w14:paraId="5197F541"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top w:val="nil"/>
              <w:left w:val="nil"/>
              <w:bottom w:val="nil"/>
              <w:right w:val="nil"/>
            </w:tcBorders>
            <w:shd w:val="clear" w:color="auto" w:fill="auto"/>
            <w:noWrap/>
            <w:vAlign w:val="bottom"/>
          </w:tcPr>
          <w:p w14:paraId="4DA89D52" w14:textId="77777777" w:rsidR="004D4279" w:rsidRPr="004A792A" w:rsidRDefault="004D4279" w:rsidP="004D4279">
            <w:pPr>
              <w:spacing w:before="0"/>
              <w:jc w:val="center"/>
              <w:rPr>
                <w:rFonts w:eastAsia="Times New Roman" w:cstheme="minorHAnsi"/>
                <w:sz w:val="20"/>
                <w:szCs w:val="20"/>
                <w:lang w:val="en-US"/>
              </w:rPr>
            </w:pPr>
          </w:p>
        </w:tc>
        <w:tc>
          <w:tcPr>
            <w:tcW w:w="1461" w:type="dxa"/>
            <w:tcBorders>
              <w:top w:val="nil"/>
              <w:left w:val="nil"/>
              <w:bottom w:val="nil"/>
              <w:right w:val="nil"/>
            </w:tcBorders>
            <w:shd w:val="clear" w:color="auto" w:fill="auto"/>
            <w:noWrap/>
            <w:vAlign w:val="bottom"/>
          </w:tcPr>
          <w:p w14:paraId="58A84368" w14:textId="77777777" w:rsidR="004D4279" w:rsidRPr="004A792A" w:rsidRDefault="004D4279" w:rsidP="004D4279">
            <w:pPr>
              <w:spacing w:before="0"/>
              <w:jc w:val="center"/>
              <w:rPr>
                <w:rFonts w:eastAsia="Times New Roman" w:cstheme="minorHAnsi"/>
                <w:sz w:val="20"/>
                <w:szCs w:val="20"/>
                <w:lang w:val="en-US"/>
              </w:rPr>
            </w:pPr>
          </w:p>
        </w:tc>
      </w:tr>
      <w:tr w:rsidR="004D4279" w:rsidRPr="004A792A" w14:paraId="419EDE3D" w14:textId="77777777" w:rsidTr="004D4279">
        <w:tc>
          <w:tcPr>
            <w:tcW w:w="2977" w:type="dxa"/>
            <w:tcBorders>
              <w:top w:val="nil"/>
              <w:left w:val="nil"/>
              <w:bottom w:val="nil"/>
              <w:right w:val="single" w:sz="4" w:space="0" w:color="auto"/>
            </w:tcBorders>
            <w:shd w:val="clear" w:color="auto" w:fill="auto"/>
            <w:noWrap/>
            <w:vAlign w:val="bottom"/>
            <w:hideMark/>
          </w:tcPr>
          <w:p w14:paraId="7F8F330B"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Inactive</w:t>
            </w:r>
          </w:p>
        </w:tc>
        <w:tc>
          <w:tcPr>
            <w:tcW w:w="1461" w:type="dxa"/>
            <w:tcBorders>
              <w:top w:val="nil"/>
              <w:left w:val="single" w:sz="4" w:space="0" w:color="auto"/>
              <w:bottom w:val="nil"/>
              <w:right w:val="nil"/>
            </w:tcBorders>
            <w:shd w:val="clear" w:color="auto" w:fill="auto"/>
            <w:noWrap/>
            <w:vAlign w:val="bottom"/>
            <w:hideMark/>
          </w:tcPr>
          <w:p w14:paraId="33A62063"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0.564</w:t>
            </w:r>
          </w:p>
        </w:tc>
        <w:tc>
          <w:tcPr>
            <w:tcW w:w="1461" w:type="dxa"/>
            <w:tcBorders>
              <w:top w:val="nil"/>
              <w:left w:val="nil"/>
              <w:bottom w:val="nil"/>
              <w:right w:val="nil"/>
            </w:tcBorders>
            <w:shd w:val="clear" w:color="auto" w:fill="auto"/>
            <w:noWrap/>
            <w:vAlign w:val="bottom"/>
            <w:hideMark/>
          </w:tcPr>
          <w:p w14:paraId="0735455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0.471***</w:t>
            </w:r>
          </w:p>
        </w:tc>
        <w:tc>
          <w:tcPr>
            <w:tcW w:w="1461" w:type="dxa"/>
            <w:tcBorders>
              <w:top w:val="nil"/>
              <w:left w:val="nil"/>
              <w:bottom w:val="nil"/>
              <w:right w:val="nil"/>
            </w:tcBorders>
            <w:shd w:val="clear" w:color="auto" w:fill="auto"/>
            <w:noWrap/>
            <w:vAlign w:val="bottom"/>
            <w:hideMark/>
          </w:tcPr>
          <w:p w14:paraId="21B0F59E"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0.528*</w:t>
            </w:r>
          </w:p>
        </w:tc>
        <w:tc>
          <w:tcPr>
            <w:tcW w:w="1461" w:type="dxa"/>
            <w:tcBorders>
              <w:top w:val="nil"/>
              <w:left w:val="nil"/>
              <w:bottom w:val="nil"/>
              <w:right w:val="nil"/>
            </w:tcBorders>
            <w:shd w:val="clear" w:color="auto" w:fill="auto"/>
            <w:noWrap/>
            <w:vAlign w:val="bottom"/>
            <w:hideMark/>
          </w:tcPr>
          <w:p w14:paraId="1CCB62E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0.639**</w:t>
            </w:r>
          </w:p>
        </w:tc>
      </w:tr>
      <w:tr w:rsidR="004D4279" w:rsidRPr="004A792A" w14:paraId="64AEC9B4" w14:textId="77777777" w:rsidTr="004D4279">
        <w:tc>
          <w:tcPr>
            <w:tcW w:w="2977" w:type="dxa"/>
            <w:tcBorders>
              <w:top w:val="nil"/>
              <w:left w:val="nil"/>
              <w:right w:val="single" w:sz="4" w:space="0" w:color="auto"/>
            </w:tcBorders>
            <w:shd w:val="clear" w:color="auto" w:fill="auto"/>
            <w:noWrap/>
            <w:vAlign w:val="bottom"/>
            <w:hideMark/>
          </w:tcPr>
          <w:p w14:paraId="06C09039"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Employed</w:t>
            </w:r>
          </w:p>
        </w:tc>
        <w:tc>
          <w:tcPr>
            <w:tcW w:w="1461" w:type="dxa"/>
            <w:tcBorders>
              <w:top w:val="nil"/>
              <w:left w:val="single" w:sz="4" w:space="0" w:color="auto"/>
              <w:right w:val="nil"/>
            </w:tcBorders>
            <w:shd w:val="clear" w:color="auto" w:fill="auto"/>
            <w:noWrap/>
            <w:vAlign w:val="bottom"/>
            <w:hideMark/>
          </w:tcPr>
          <w:p w14:paraId="246987D1"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0.422</w:t>
            </w:r>
          </w:p>
        </w:tc>
        <w:tc>
          <w:tcPr>
            <w:tcW w:w="1461" w:type="dxa"/>
            <w:tcBorders>
              <w:top w:val="nil"/>
              <w:left w:val="nil"/>
              <w:right w:val="nil"/>
            </w:tcBorders>
            <w:shd w:val="clear" w:color="auto" w:fill="auto"/>
            <w:noWrap/>
            <w:vAlign w:val="bottom"/>
            <w:hideMark/>
          </w:tcPr>
          <w:p w14:paraId="7F8C1DBC"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0.518***</w:t>
            </w:r>
          </w:p>
        </w:tc>
        <w:tc>
          <w:tcPr>
            <w:tcW w:w="1461" w:type="dxa"/>
            <w:tcBorders>
              <w:top w:val="nil"/>
              <w:left w:val="nil"/>
              <w:right w:val="nil"/>
            </w:tcBorders>
            <w:shd w:val="clear" w:color="auto" w:fill="auto"/>
            <w:noWrap/>
            <w:vAlign w:val="bottom"/>
            <w:hideMark/>
          </w:tcPr>
          <w:p w14:paraId="3D5DBA12"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0.459*</w:t>
            </w:r>
          </w:p>
        </w:tc>
        <w:tc>
          <w:tcPr>
            <w:tcW w:w="1461" w:type="dxa"/>
            <w:tcBorders>
              <w:top w:val="nil"/>
              <w:left w:val="nil"/>
              <w:right w:val="nil"/>
            </w:tcBorders>
            <w:shd w:val="clear" w:color="auto" w:fill="auto"/>
            <w:noWrap/>
            <w:vAlign w:val="bottom"/>
            <w:hideMark/>
          </w:tcPr>
          <w:p w14:paraId="4FB81948"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0.353**</w:t>
            </w:r>
          </w:p>
        </w:tc>
      </w:tr>
      <w:tr w:rsidR="004D4279" w:rsidRPr="004A792A" w14:paraId="6D0715A1" w14:textId="77777777" w:rsidTr="00C94DA7">
        <w:tc>
          <w:tcPr>
            <w:tcW w:w="2977" w:type="dxa"/>
            <w:tcBorders>
              <w:top w:val="nil"/>
              <w:left w:val="nil"/>
              <w:bottom w:val="single" w:sz="4" w:space="0" w:color="auto"/>
              <w:right w:val="single" w:sz="4" w:space="0" w:color="auto"/>
            </w:tcBorders>
            <w:shd w:val="clear" w:color="auto" w:fill="auto"/>
            <w:noWrap/>
            <w:vAlign w:val="bottom"/>
            <w:hideMark/>
          </w:tcPr>
          <w:p w14:paraId="207CE379" w14:textId="77777777" w:rsidR="004D4279" w:rsidRPr="004A792A" w:rsidRDefault="004D4279" w:rsidP="004D4279">
            <w:pPr>
              <w:spacing w:before="0"/>
              <w:ind w:firstLine="318"/>
              <w:rPr>
                <w:rFonts w:eastAsia="Times New Roman" w:cstheme="minorHAnsi"/>
                <w:sz w:val="20"/>
                <w:szCs w:val="20"/>
                <w:lang w:val="en-US"/>
              </w:rPr>
            </w:pPr>
            <w:r w:rsidRPr="004A792A">
              <w:rPr>
                <w:rFonts w:eastAsia="Times New Roman" w:cstheme="minorHAnsi"/>
                <w:sz w:val="20"/>
                <w:szCs w:val="20"/>
                <w:lang w:val="en-US"/>
              </w:rPr>
              <w:t>Unemployed</w:t>
            </w:r>
          </w:p>
        </w:tc>
        <w:tc>
          <w:tcPr>
            <w:tcW w:w="1461" w:type="dxa"/>
            <w:tcBorders>
              <w:top w:val="nil"/>
              <w:left w:val="single" w:sz="4" w:space="0" w:color="auto"/>
              <w:bottom w:val="single" w:sz="4" w:space="0" w:color="auto"/>
              <w:right w:val="nil"/>
            </w:tcBorders>
            <w:shd w:val="clear" w:color="auto" w:fill="auto"/>
            <w:noWrap/>
            <w:vAlign w:val="bottom"/>
            <w:hideMark/>
          </w:tcPr>
          <w:p w14:paraId="722F4DB4"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0.015</w:t>
            </w:r>
          </w:p>
        </w:tc>
        <w:tc>
          <w:tcPr>
            <w:tcW w:w="1461" w:type="dxa"/>
            <w:tcBorders>
              <w:top w:val="nil"/>
              <w:left w:val="nil"/>
              <w:bottom w:val="single" w:sz="4" w:space="0" w:color="auto"/>
              <w:right w:val="nil"/>
            </w:tcBorders>
            <w:shd w:val="clear" w:color="auto" w:fill="auto"/>
            <w:noWrap/>
            <w:vAlign w:val="bottom"/>
            <w:hideMark/>
          </w:tcPr>
          <w:p w14:paraId="1BC4EDC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0.011</w:t>
            </w:r>
          </w:p>
        </w:tc>
        <w:tc>
          <w:tcPr>
            <w:tcW w:w="1461" w:type="dxa"/>
            <w:tcBorders>
              <w:top w:val="nil"/>
              <w:left w:val="nil"/>
              <w:bottom w:val="single" w:sz="4" w:space="0" w:color="auto"/>
              <w:right w:val="nil"/>
            </w:tcBorders>
            <w:shd w:val="clear" w:color="auto" w:fill="auto"/>
            <w:noWrap/>
            <w:vAlign w:val="bottom"/>
            <w:hideMark/>
          </w:tcPr>
          <w:p w14:paraId="6CE38B3D"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0.013</w:t>
            </w:r>
          </w:p>
        </w:tc>
        <w:tc>
          <w:tcPr>
            <w:tcW w:w="1461" w:type="dxa"/>
            <w:tcBorders>
              <w:top w:val="nil"/>
              <w:left w:val="nil"/>
              <w:bottom w:val="single" w:sz="4" w:space="0" w:color="auto"/>
              <w:right w:val="nil"/>
            </w:tcBorders>
            <w:shd w:val="clear" w:color="auto" w:fill="auto"/>
            <w:noWrap/>
            <w:vAlign w:val="bottom"/>
            <w:hideMark/>
          </w:tcPr>
          <w:p w14:paraId="7061A515" w14:textId="77777777" w:rsidR="004D4279" w:rsidRPr="004A792A" w:rsidRDefault="004D4279" w:rsidP="004D4279">
            <w:pPr>
              <w:spacing w:before="0"/>
              <w:jc w:val="center"/>
              <w:rPr>
                <w:rFonts w:eastAsia="Times New Roman" w:cstheme="minorHAnsi"/>
                <w:sz w:val="20"/>
                <w:szCs w:val="20"/>
                <w:lang w:val="en-US"/>
              </w:rPr>
            </w:pPr>
            <w:r w:rsidRPr="004A792A">
              <w:rPr>
                <w:rFonts w:eastAsia="Times New Roman" w:cstheme="minorHAnsi"/>
                <w:sz w:val="20"/>
                <w:szCs w:val="20"/>
                <w:lang w:val="en-US"/>
              </w:rPr>
              <w:t>0.008</w:t>
            </w:r>
          </w:p>
        </w:tc>
      </w:tr>
      <w:tr w:rsidR="002B002D" w:rsidRPr="004A792A" w14:paraId="79C9E094" w14:textId="77777777" w:rsidTr="00FA38DC">
        <w:tc>
          <w:tcPr>
            <w:tcW w:w="2977" w:type="dxa"/>
            <w:tcBorders>
              <w:top w:val="single" w:sz="4" w:space="0" w:color="auto"/>
              <w:left w:val="nil"/>
              <w:bottom w:val="nil"/>
              <w:right w:val="single" w:sz="4" w:space="0" w:color="auto"/>
            </w:tcBorders>
            <w:shd w:val="clear" w:color="auto" w:fill="auto"/>
            <w:noWrap/>
            <w:vAlign w:val="bottom"/>
          </w:tcPr>
          <w:p w14:paraId="1C3BADA2" w14:textId="7C436DA5" w:rsidR="002B002D" w:rsidRPr="004A792A" w:rsidRDefault="002B002D" w:rsidP="002B002D">
            <w:pPr>
              <w:spacing w:before="0"/>
              <w:rPr>
                <w:rFonts w:eastAsia="Times New Roman" w:cstheme="minorHAnsi"/>
                <w:sz w:val="20"/>
                <w:szCs w:val="20"/>
                <w:lang w:val="en-US"/>
              </w:rPr>
            </w:pPr>
            <w:r>
              <w:rPr>
                <w:rFonts w:eastAsia="Times New Roman" w:cstheme="minorHAnsi"/>
                <w:sz w:val="20"/>
                <w:szCs w:val="20"/>
                <w:lang w:val="en-US"/>
              </w:rPr>
              <w:t xml:space="preserve">N in the </w:t>
            </w:r>
            <w:proofErr w:type="spellStart"/>
            <w:r>
              <w:rPr>
                <w:rFonts w:eastAsia="Times New Roman" w:cstheme="minorHAnsi"/>
                <w:sz w:val="20"/>
                <w:szCs w:val="20"/>
                <w:lang w:val="en-US"/>
              </w:rPr>
              <w:t>unweighted</w:t>
            </w:r>
            <w:proofErr w:type="spellEnd"/>
            <w:r>
              <w:rPr>
                <w:rFonts w:eastAsia="Times New Roman" w:cstheme="minorHAnsi"/>
                <w:sz w:val="20"/>
                <w:szCs w:val="20"/>
                <w:lang w:val="en-US"/>
              </w:rPr>
              <w:t xml:space="preserve"> sample</w:t>
            </w:r>
          </w:p>
        </w:tc>
        <w:tc>
          <w:tcPr>
            <w:tcW w:w="1461" w:type="dxa"/>
            <w:tcBorders>
              <w:top w:val="single" w:sz="4" w:space="0" w:color="auto"/>
              <w:left w:val="single" w:sz="4" w:space="0" w:color="auto"/>
              <w:bottom w:val="nil"/>
              <w:right w:val="nil"/>
            </w:tcBorders>
            <w:shd w:val="clear" w:color="auto" w:fill="auto"/>
            <w:noWrap/>
          </w:tcPr>
          <w:p w14:paraId="3880ED2E" w14:textId="52456718" w:rsidR="002B002D" w:rsidRPr="002B002D" w:rsidRDefault="002B002D" w:rsidP="002B002D">
            <w:pPr>
              <w:spacing w:before="0"/>
              <w:jc w:val="center"/>
              <w:rPr>
                <w:rFonts w:eastAsia="Times New Roman" w:cstheme="minorHAnsi"/>
                <w:sz w:val="20"/>
                <w:szCs w:val="20"/>
                <w:lang w:val="en-US"/>
              </w:rPr>
            </w:pPr>
            <w:r w:rsidRPr="002B002D">
              <w:rPr>
                <w:sz w:val="20"/>
                <w:szCs w:val="20"/>
              </w:rPr>
              <w:t>14,144</w:t>
            </w:r>
          </w:p>
        </w:tc>
        <w:tc>
          <w:tcPr>
            <w:tcW w:w="1461" w:type="dxa"/>
            <w:tcBorders>
              <w:top w:val="single" w:sz="4" w:space="0" w:color="auto"/>
              <w:left w:val="nil"/>
              <w:bottom w:val="nil"/>
              <w:right w:val="nil"/>
            </w:tcBorders>
            <w:shd w:val="clear" w:color="auto" w:fill="auto"/>
            <w:noWrap/>
          </w:tcPr>
          <w:p w14:paraId="4517C292" w14:textId="4B90F7EF" w:rsidR="002B002D" w:rsidRPr="002B002D" w:rsidRDefault="002B002D" w:rsidP="002B002D">
            <w:pPr>
              <w:spacing w:before="0"/>
              <w:jc w:val="center"/>
              <w:rPr>
                <w:rFonts w:eastAsia="Times New Roman" w:cstheme="minorHAnsi"/>
                <w:sz w:val="20"/>
                <w:szCs w:val="20"/>
                <w:lang w:val="en-US"/>
              </w:rPr>
            </w:pPr>
            <w:r w:rsidRPr="002B002D">
              <w:rPr>
                <w:sz w:val="20"/>
                <w:szCs w:val="20"/>
              </w:rPr>
              <w:t>3,030</w:t>
            </w:r>
          </w:p>
        </w:tc>
        <w:tc>
          <w:tcPr>
            <w:tcW w:w="1461" w:type="dxa"/>
            <w:tcBorders>
              <w:top w:val="single" w:sz="4" w:space="0" w:color="auto"/>
              <w:left w:val="nil"/>
              <w:bottom w:val="nil"/>
              <w:right w:val="nil"/>
            </w:tcBorders>
            <w:shd w:val="clear" w:color="auto" w:fill="auto"/>
            <w:noWrap/>
          </w:tcPr>
          <w:p w14:paraId="3B90321B" w14:textId="13845B1A" w:rsidR="002B002D" w:rsidRPr="002B002D" w:rsidRDefault="002B002D" w:rsidP="002B002D">
            <w:pPr>
              <w:spacing w:before="0"/>
              <w:jc w:val="center"/>
              <w:rPr>
                <w:rFonts w:eastAsia="Times New Roman" w:cstheme="minorHAnsi"/>
                <w:sz w:val="20"/>
                <w:szCs w:val="20"/>
                <w:lang w:val="en-US"/>
              </w:rPr>
            </w:pPr>
            <w:r w:rsidRPr="002B002D">
              <w:rPr>
                <w:sz w:val="20"/>
                <w:szCs w:val="20"/>
              </w:rPr>
              <w:t>1,852</w:t>
            </w:r>
          </w:p>
        </w:tc>
        <w:tc>
          <w:tcPr>
            <w:tcW w:w="1461" w:type="dxa"/>
            <w:tcBorders>
              <w:top w:val="single" w:sz="4" w:space="0" w:color="auto"/>
              <w:left w:val="nil"/>
              <w:bottom w:val="nil"/>
              <w:right w:val="nil"/>
            </w:tcBorders>
            <w:shd w:val="clear" w:color="auto" w:fill="auto"/>
            <w:noWrap/>
          </w:tcPr>
          <w:p w14:paraId="25DF1232" w14:textId="57A7AEAA" w:rsidR="002B002D" w:rsidRPr="002B002D" w:rsidRDefault="002B002D" w:rsidP="002B002D">
            <w:pPr>
              <w:spacing w:before="0"/>
              <w:jc w:val="center"/>
              <w:rPr>
                <w:rFonts w:eastAsia="Times New Roman" w:cstheme="minorHAnsi"/>
                <w:sz w:val="20"/>
                <w:szCs w:val="20"/>
                <w:lang w:val="en-US"/>
              </w:rPr>
            </w:pPr>
            <w:r w:rsidRPr="002B002D">
              <w:rPr>
                <w:sz w:val="20"/>
                <w:szCs w:val="20"/>
              </w:rPr>
              <w:t xml:space="preserve">455 </w:t>
            </w:r>
          </w:p>
        </w:tc>
      </w:tr>
      <w:tr w:rsidR="00C94DA7" w:rsidRPr="004A792A" w14:paraId="5789DDCA" w14:textId="77777777" w:rsidTr="004D4279">
        <w:tc>
          <w:tcPr>
            <w:tcW w:w="2977" w:type="dxa"/>
            <w:tcBorders>
              <w:top w:val="nil"/>
              <w:left w:val="nil"/>
              <w:bottom w:val="single" w:sz="4" w:space="0" w:color="auto"/>
              <w:right w:val="single" w:sz="4" w:space="0" w:color="auto"/>
            </w:tcBorders>
            <w:shd w:val="clear" w:color="auto" w:fill="auto"/>
            <w:noWrap/>
            <w:vAlign w:val="bottom"/>
          </w:tcPr>
          <w:p w14:paraId="0F535290" w14:textId="26587BA3" w:rsidR="00C94DA7" w:rsidRPr="004A792A" w:rsidRDefault="00C94DA7" w:rsidP="00C94DA7">
            <w:pPr>
              <w:spacing w:before="0"/>
              <w:rPr>
                <w:rFonts w:eastAsia="Times New Roman" w:cstheme="minorHAnsi"/>
                <w:sz w:val="20"/>
                <w:szCs w:val="20"/>
                <w:lang w:val="en-US"/>
              </w:rPr>
            </w:pPr>
            <w:r>
              <w:rPr>
                <w:rFonts w:eastAsia="Times New Roman" w:cstheme="minorHAnsi"/>
                <w:sz w:val="20"/>
                <w:szCs w:val="20"/>
                <w:lang w:val="en-US"/>
              </w:rPr>
              <w:t>Share of all women (15-64 years) in the weighted sample</w:t>
            </w:r>
            <w:r w:rsidR="002B002D">
              <w:rPr>
                <w:rFonts w:eastAsia="Times New Roman" w:cstheme="minorHAnsi"/>
                <w:sz w:val="20"/>
                <w:szCs w:val="20"/>
                <w:lang w:val="en-US"/>
              </w:rPr>
              <w:t xml:space="preserve"> (%)</w:t>
            </w:r>
          </w:p>
        </w:tc>
        <w:tc>
          <w:tcPr>
            <w:tcW w:w="1461" w:type="dxa"/>
            <w:tcBorders>
              <w:top w:val="nil"/>
              <w:left w:val="single" w:sz="4" w:space="0" w:color="auto"/>
              <w:bottom w:val="single" w:sz="4" w:space="0" w:color="auto"/>
              <w:right w:val="nil"/>
            </w:tcBorders>
            <w:shd w:val="clear" w:color="auto" w:fill="auto"/>
            <w:noWrap/>
            <w:vAlign w:val="bottom"/>
          </w:tcPr>
          <w:p w14:paraId="0A931444" w14:textId="5C36333C" w:rsidR="00C94DA7" w:rsidRPr="004A792A" w:rsidRDefault="002B002D" w:rsidP="004D4279">
            <w:pPr>
              <w:spacing w:before="0"/>
              <w:jc w:val="center"/>
              <w:rPr>
                <w:rFonts w:eastAsia="Times New Roman" w:cstheme="minorHAnsi"/>
                <w:sz w:val="20"/>
                <w:szCs w:val="20"/>
                <w:lang w:val="en-US"/>
              </w:rPr>
            </w:pPr>
            <w:r>
              <w:rPr>
                <w:rFonts w:eastAsia="Times New Roman" w:cstheme="minorHAnsi"/>
                <w:sz w:val="20"/>
                <w:szCs w:val="20"/>
                <w:lang w:val="en-US"/>
              </w:rPr>
              <w:t>65.2</w:t>
            </w:r>
          </w:p>
        </w:tc>
        <w:tc>
          <w:tcPr>
            <w:tcW w:w="1461" w:type="dxa"/>
            <w:tcBorders>
              <w:top w:val="nil"/>
              <w:left w:val="nil"/>
              <w:bottom w:val="single" w:sz="4" w:space="0" w:color="auto"/>
              <w:right w:val="nil"/>
            </w:tcBorders>
            <w:shd w:val="clear" w:color="auto" w:fill="auto"/>
            <w:noWrap/>
            <w:vAlign w:val="bottom"/>
          </w:tcPr>
          <w:p w14:paraId="477D1FC9" w14:textId="2B8BDE4E" w:rsidR="00C94DA7" w:rsidRPr="004A792A" w:rsidRDefault="002B002D" w:rsidP="004D4279">
            <w:pPr>
              <w:spacing w:before="0"/>
              <w:jc w:val="center"/>
              <w:rPr>
                <w:rFonts w:eastAsia="Times New Roman" w:cstheme="minorHAnsi"/>
                <w:sz w:val="20"/>
                <w:szCs w:val="20"/>
                <w:lang w:val="en-US"/>
              </w:rPr>
            </w:pPr>
            <w:r>
              <w:rPr>
                <w:rFonts w:eastAsia="Times New Roman" w:cstheme="minorHAnsi"/>
                <w:sz w:val="20"/>
                <w:szCs w:val="20"/>
                <w:lang w:val="en-US"/>
              </w:rPr>
              <w:t>19.7</w:t>
            </w:r>
          </w:p>
        </w:tc>
        <w:tc>
          <w:tcPr>
            <w:tcW w:w="1461" w:type="dxa"/>
            <w:tcBorders>
              <w:top w:val="nil"/>
              <w:left w:val="nil"/>
              <w:bottom w:val="single" w:sz="4" w:space="0" w:color="auto"/>
              <w:right w:val="nil"/>
            </w:tcBorders>
            <w:shd w:val="clear" w:color="auto" w:fill="auto"/>
            <w:noWrap/>
            <w:vAlign w:val="bottom"/>
          </w:tcPr>
          <w:p w14:paraId="26394CDF" w14:textId="2FDC11C1" w:rsidR="00C94DA7" w:rsidRPr="004A792A" w:rsidRDefault="002B002D" w:rsidP="004D4279">
            <w:pPr>
              <w:spacing w:before="0"/>
              <w:jc w:val="center"/>
              <w:rPr>
                <w:rFonts w:eastAsia="Times New Roman" w:cstheme="minorHAnsi"/>
                <w:sz w:val="20"/>
                <w:szCs w:val="20"/>
                <w:lang w:val="en-US"/>
              </w:rPr>
            </w:pPr>
            <w:r>
              <w:rPr>
                <w:rFonts w:eastAsia="Times New Roman" w:cstheme="minorHAnsi"/>
                <w:sz w:val="20"/>
                <w:szCs w:val="20"/>
                <w:lang w:val="en-US"/>
              </w:rPr>
              <w:t>12.4</w:t>
            </w:r>
          </w:p>
        </w:tc>
        <w:tc>
          <w:tcPr>
            <w:tcW w:w="1461" w:type="dxa"/>
            <w:tcBorders>
              <w:top w:val="nil"/>
              <w:left w:val="nil"/>
              <w:bottom w:val="single" w:sz="4" w:space="0" w:color="auto"/>
              <w:right w:val="nil"/>
            </w:tcBorders>
            <w:shd w:val="clear" w:color="auto" w:fill="auto"/>
            <w:noWrap/>
            <w:vAlign w:val="bottom"/>
          </w:tcPr>
          <w:p w14:paraId="7F46BB3C" w14:textId="28A1F487" w:rsidR="00C94DA7" w:rsidRPr="004A792A" w:rsidRDefault="002B002D" w:rsidP="004D4279">
            <w:pPr>
              <w:spacing w:before="0"/>
              <w:jc w:val="center"/>
              <w:rPr>
                <w:rFonts w:eastAsia="Times New Roman" w:cstheme="minorHAnsi"/>
                <w:sz w:val="20"/>
                <w:szCs w:val="20"/>
                <w:lang w:val="en-US"/>
              </w:rPr>
            </w:pPr>
            <w:r>
              <w:rPr>
                <w:rFonts w:eastAsia="Times New Roman" w:cstheme="minorHAnsi"/>
                <w:sz w:val="20"/>
                <w:szCs w:val="20"/>
                <w:lang w:val="en-US"/>
              </w:rPr>
              <w:t>2.7</w:t>
            </w:r>
          </w:p>
        </w:tc>
      </w:tr>
    </w:tbl>
    <w:p w14:paraId="43D5BD32" w14:textId="77777777" w:rsidR="000836FD" w:rsidRPr="004A792A" w:rsidRDefault="003661EE" w:rsidP="000836FD">
      <w:pPr>
        <w:rPr>
          <w:lang w:val="en-US"/>
        </w:rPr>
      </w:pPr>
      <w:r w:rsidRPr="004A792A">
        <w:rPr>
          <w:i/>
          <w:sz w:val="20"/>
          <w:szCs w:val="20"/>
          <w:lang w:val="en-US"/>
        </w:rPr>
        <w:t xml:space="preserve">Note: Means of variables after the </w:t>
      </w:r>
      <w:proofErr w:type="spellStart"/>
      <w:r w:rsidRPr="004A792A">
        <w:rPr>
          <w:i/>
          <w:sz w:val="20"/>
          <w:szCs w:val="20"/>
          <w:lang w:val="en-US"/>
        </w:rPr>
        <w:t>svy</w:t>
      </w:r>
      <w:proofErr w:type="spellEnd"/>
      <w:r w:rsidRPr="004A792A">
        <w:rPr>
          <w:i/>
          <w:sz w:val="20"/>
          <w:szCs w:val="20"/>
          <w:lang w:val="en-US"/>
        </w:rPr>
        <w:t xml:space="preserve"> command (with sample weights) and are shown in the Table. *** (**/*) denotes statistically significant difference between women with 1, 2, 3 and more children compared to women with no children under 15 years at 1% (5%/10%).</w:t>
      </w:r>
    </w:p>
    <w:p w14:paraId="79C7FCCE" w14:textId="77777777" w:rsidR="000836FD" w:rsidRPr="004A792A" w:rsidRDefault="000836FD" w:rsidP="000836FD">
      <w:pPr>
        <w:rPr>
          <w:lang w:val="en-US"/>
        </w:rPr>
      </w:pPr>
    </w:p>
    <w:p w14:paraId="083A5C48" w14:textId="77777777" w:rsidR="000836FD" w:rsidRPr="004A792A" w:rsidRDefault="000836FD" w:rsidP="000836FD">
      <w:pPr>
        <w:rPr>
          <w:lang w:val="en-US"/>
        </w:rPr>
        <w:sectPr w:rsidR="000836FD" w:rsidRPr="004A792A" w:rsidSect="000836FD">
          <w:pgSz w:w="11909" w:h="16834" w:code="9"/>
          <w:pgMar w:top="1440" w:right="1440" w:bottom="1440" w:left="1440" w:header="720" w:footer="720" w:gutter="0"/>
          <w:cols w:space="720"/>
          <w:docGrid w:linePitch="360"/>
        </w:sectPr>
      </w:pPr>
    </w:p>
    <w:p w14:paraId="41F2E9EF" w14:textId="28CB645E" w:rsidR="00C62A9B" w:rsidRPr="004A792A" w:rsidRDefault="00474FA5" w:rsidP="00E72ECE">
      <w:pPr>
        <w:pStyle w:val="ad"/>
        <w:jc w:val="left"/>
        <w:rPr>
          <w:lang w:val="en-US"/>
        </w:rPr>
      </w:pPr>
      <w:bookmarkStart w:id="159" w:name="_Ref519339532"/>
      <w:bookmarkStart w:id="160" w:name="_Toc533185138"/>
      <w:r>
        <w:lastRenderedPageBreak/>
        <w:t>Table A-</w:t>
      </w:r>
      <w:r>
        <w:fldChar w:fldCharType="begin"/>
      </w:r>
      <w:r>
        <w:instrText xml:space="preserve"> SEQ Table_A- \* ARABIC </w:instrText>
      </w:r>
      <w:r>
        <w:fldChar w:fldCharType="separate"/>
      </w:r>
      <w:r>
        <w:rPr>
          <w:noProof/>
        </w:rPr>
        <w:t>9</w:t>
      </w:r>
      <w:r>
        <w:fldChar w:fldCharType="end"/>
      </w:r>
      <w:r w:rsidRPr="004E1089">
        <w:t xml:space="preserve">: </w:t>
      </w:r>
      <w:bookmarkEnd w:id="156"/>
      <w:bookmarkEnd w:id="159"/>
      <w:r w:rsidR="00C62A9B" w:rsidRPr="004A792A">
        <w:rPr>
          <w:lang w:val="en-US"/>
        </w:rPr>
        <w:t>Labor force participation and employment rates of women and men (15-64 years) by the number of children under 7 and 15 years (%), 2016</w:t>
      </w:r>
      <w:bookmarkEnd w:id="160"/>
    </w:p>
    <w:tbl>
      <w:tblPr>
        <w:tblW w:w="14454" w:type="dxa"/>
        <w:tblLayout w:type="fixed"/>
        <w:tblLook w:val="04A0" w:firstRow="1" w:lastRow="0" w:firstColumn="1" w:lastColumn="0" w:noHBand="0" w:noVBand="1"/>
      </w:tblPr>
      <w:tblGrid>
        <w:gridCol w:w="2552"/>
        <w:gridCol w:w="1190"/>
        <w:gridCol w:w="1190"/>
        <w:gridCol w:w="1190"/>
        <w:gridCol w:w="1190"/>
        <w:gridCol w:w="1191"/>
        <w:gridCol w:w="1190"/>
        <w:gridCol w:w="1190"/>
        <w:gridCol w:w="1190"/>
        <w:gridCol w:w="1190"/>
        <w:gridCol w:w="1191"/>
      </w:tblGrid>
      <w:tr w:rsidR="00C62A9B" w:rsidRPr="004A792A" w14:paraId="5E86439B" w14:textId="77777777" w:rsidTr="00A93441">
        <w:tc>
          <w:tcPr>
            <w:tcW w:w="2552" w:type="dxa"/>
            <w:tcBorders>
              <w:top w:val="single" w:sz="4" w:space="0" w:color="auto"/>
              <w:right w:val="single" w:sz="4" w:space="0" w:color="auto"/>
            </w:tcBorders>
            <w:shd w:val="clear" w:color="auto" w:fill="auto"/>
            <w:noWrap/>
            <w:vAlign w:val="bottom"/>
            <w:hideMark/>
          </w:tcPr>
          <w:p w14:paraId="1F053D02" w14:textId="77777777" w:rsidR="00C62A9B" w:rsidRPr="004A792A" w:rsidRDefault="00C62A9B" w:rsidP="00A93441">
            <w:pPr>
              <w:spacing w:before="0"/>
              <w:rPr>
                <w:rFonts w:eastAsia="Times New Roman" w:cstheme="minorHAnsi"/>
                <w:sz w:val="20"/>
                <w:szCs w:val="20"/>
                <w:lang w:val="en-US"/>
              </w:rPr>
            </w:pPr>
          </w:p>
        </w:tc>
        <w:tc>
          <w:tcPr>
            <w:tcW w:w="4760" w:type="dxa"/>
            <w:gridSpan w:val="4"/>
            <w:tcBorders>
              <w:top w:val="single" w:sz="4" w:space="0" w:color="auto"/>
              <w:left w:val="single" w:sz="4" w:space="0" w:color="auto"/>
              <w:right w:val="single" w:sz="4" w:space="0" w:color="auto"/>
            </w:tcBorders>
            <w:shd w:val="clear" w:color="auto" w:fill="auto"/>
            <w:hideMark/>
          </w:tcPr>
          <w:p w14:paraId="27023EA2"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Women</w:t>
            </w:r>
          </w:p>
        </w:tc>
        <w:tc>
          <w:tcPr>
            <w:tcW w:w="4761" w:type="dxa"/>
            <w:gridSpan w:val="4"/>
            <w:tcBorders>
              <w:top w:val="single" w:sz="4" w:space="0" w:color="auto"/>
              <w:left w:val="single" w:sz="4" w:space="0" w:color="auto"/>
              <w:right w:val="single" w:sz="4" w:space="0" w:color="auto"/>
            </w:tcBorders>
            <w:shd w:val="clear" w:color="auto" w:fill="auto"/>
            <w:hideMark/>
          </w:tcPr>
          <w:p w14:paraId="1C299C94"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b/>
                <w:bCs/>
                <w:color w:val="000000"/>
                <w:sz w:val="20"/>
                <w:szCs w:val="20"/>
                <w:lang w:val="en-US"/>
              </w:rPr>
              <w:t>Men</w:t>
            </w:r>
          </w:p>
        </w:tc>
        <w:tc>
          <w:tcPr>
            <w:tcW w:w="2381" w:type="dxa"/>
            <w:gridSpan w:val="2"/>
            <w:tcBorders>
              <w:top w:val="single" w:sz="4" w:space="0" w:color="auto"/>
              <w:left w:val="single" w:sz="4" w:space="0" w:color="auto"/>
            </w:tcBorders>
            <w:shd w:val="clear" w:color="auto" w:fill="auto"/>
            <w:hideMark/>
          </w:tcPr>
          <w:p w14:paraId="03689770"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b/>
                <w:color w:val="000000"/>
                <w:sz w:val="20"/>
                <w:szCs w:val="20"/>
                <w:lang w:val="en-US"/>
              </w:rPr>
              <w:t>Gender gap</w:t>
            </w:r>
          </w:p>
        </w:tc>
      </w:tr>
      <w:tr w:rsidR="00C62A9B" w:rsidRPr="004A792A" w14:paraId="57E0086C" w14:textId="77777777" w:rsidTr="00A93441">
        <w:tc>
          <w:tcPr>
            <w:tcW w:w="2552" w:type="dxa"/>
            <w:tcBorders>
              <w:right w:val="single" w:sz="4" w:space="0" w:color="auto"/>
            </w:tcBorders>
            <w:shd w:val="clear" w:color="auto" w:fill="auto"/>
            <w:noWrap/>
            <w:vAlign w:val="bottom"/>
          </w:tcPr>
          <w:p w14:paraId="5FDC79AF" w14:textId="77777777" w:rsidR="00C62A9B" w:rsidRPr="004A792A" w:rsidRDefault="00C62A9B" w:rsidP="00A93441">
            <w:pPr>
              <w:spacing w:before="0"/>
              <w:rPr>
                <w:rFonts w:eastAsia="Times New Roman" w:cstheme="minorHAnsi"/>
                <w:sz w:val="20"/>
                <w:szCs w:val="20"/>
                <w:lang w:val="en-US"/>
              </w:rPr>
            </w:pPr>
          </w:p>
        </w:tc>
        <w:tc>
          <w:tcPr>
            <w:tcW w:w="2380" w:type="dxa"/>
            <w:gridSpan w:val="2"/>
            <w:tcBorders>
              <w:left w:val="single" w:sz="4" w:space="0" w:color="auto"/>
            </w:tcBorders>
            <w:shd w:val="clear" w:color="auto" w:fill="auto"/>
          </w:tcPr>
          <w:p w14:paraId="28350964"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Including international migrants (NBS approach)</w:t>
            </w:r>
          </w:p>
        </w:tc>
        <w:tc>
          <w:tcPr>
            <w:tcW w:w="2380" w:type="dxa"/>
            <w:gridSpan w:val="2"/>
            <w:tcBorders>
              <w:right w:val="single" w:sz="4" w:space="0" w:color="auto"/>
            </w:tcBorders>
            <w:shd w:val="clear" w:color="auto" w:fill="auto"/>
          </w:tcPr>
          <w:p w14:paraId="15B5FA80"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Excluding international migrants (alternative approach)</w:t>
            </w:r>
          </w:p>
        </w:tc>
        <w:tc>
          <w:tcPr>
            <w:tcW w:w="2381" w:type="dxa"/>
            <w:gridSpan w:val="2"/>
            <w:tcBorders>
              <w:left w:val="single" w:sz="4" w:space="0" w:color="auto"/>
            </w:tcBorders>
            <w:shd w:val="clear" w:color="auto" w:fill="auto"/>
          </w:tcPr>
          <w:p w14:paraId="0157CAAF"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Including international migrants (NBS approach)</w:t>
            </w:r>
          </w:p>
        </w:tc>
        <w:tc>
          <w:tcPr>
            <w:tcW w:w="2380" w:type="dxa"/>
            <w:gridSpan w:val="2"/>
            <w:tcBorders>
              <w:right w:val="single" w:sz="4" w:space="0" w:color="auto"/>
            </w:tcBorders>
            <w:shd w:val="clear" w:color="auto" w:fill="auto"/>
          </w:tcPr>
          <w:p w14:paraId="2007484F"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Excluding international migrants (alternative approach)</w:t>
            </w:r>
          </w:p>
        </w:tc>
        <w:tc>
          <w:tcPr>
            <w:tcW w:w="2381" w:type="dxa"/>
            <w:gridSpan w:val="2"/>
            <w:tcBorders>
              <w:left w:val="single" w:sz="4" w:space="0" w:color="auto"/>
            </w:tcBorders>
            <w:shd w:val="clear" w:color="auto" w:fill="auto"/>
          </w:tcPr>
          <w:p w14:paraId="526DC309"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Excluding international migrants (alternative approach)</w:t>
            </w:r>
          </w:p>
        </w:tc>
      </w:tr>
      <w:tr w:rsidR="00C62A9B" w:rsidRPr="004A792A" w14:paraId="1F1772DB" w14:textId="77777777" w:rsidTr="00A93441">
        <w:tc>
          <w:tcPr>
            <w:tcW w:w="2552" w:type="dxa"/>
            <w:tcBorders>
              <w:bottom w:val="single" w:sz="4" w:space="0" w:color="auto"/>
              <w:right w:val="single" w:sz="4" w:space="0" w:color="auto"/>
            </w:tcBorders>
            <w:shd w:val="clear" w:color="auto" w:fill="auto"/>
            <w:noWrap/>
            <w:vAlign w:val="bottom"/>
            <w:hideMark/>
          </w:tcPr>
          <w:p w14:paraId="48AFF8CA" w14:textId="77777777" w:rsidR="00C62A9B" w:rsidRPr="004A792A" w:rsidRDefault="00C62A9B" w:rsidP="00A93441">
            <w:pPr>
              <w:spacing w:before="0"/>
              <w:rPr>
                <w:rFonts w:eastAsia="Times New Roman" w:cstheme="minorHAnsi"/>
                <w:sz w:val="20"/>
                <w:szCs w:val="20"/>
                <w:lang w:val="en-US"/>
              </w:rPr>
            </w:pPr>
          </w:p>
        </w:tc>
        <w:tc>
          <w:tcPr>
            <w:tcW w:w="1190" w:type="dxa"/>
            <w:tcBorders>
              <w:left w:val="single" w:sz="4" w:space="0" w:color="auto"/>
              <w:bottom w:val="single" w:sz="4" w:space="0" w:color="auto"/>
            </w:tcBorders>
            <w:shd w:val="clear" w:color="auto" w:fill="auto"/>
            <w:hideMark/>
          </w:tcPr>
          <w:p w14:paraId="21E84A41"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LFPR</w:t>
            </w:r>
          </w:p>
        </w:tc>
        <w:tc>
          <w:tcPr>
            <w:tcW w:w="1190" w:type="dxa"/>
            <w:tcBorders>
              <w:bottom w:val="single" w:sz="4" w:space="0" w:color="auto"/>
            </w:tcBorders>
            <w:shd w:val="clear" w:color="auto" w:fill="auto"/>
            <w:hideMark/>
          </w:tcPr>
          <w:p w14:paraId="67757687"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ER</w:t>
            </w:r>
          </w:p>
        </w:tc>
        <w:tc>
          <w:tcPr>
            <w:tcW w:w="1190" w:type="dxa"/>
            <w:tcBorders>
              <w:bottom w:val="single" w:sz="4" w:space="0" w:color="auto"/>
            </w:tcBorders>
            <w:shd w:val="clear" w:color="auto" w:fill="auto"/>
            <w:hideMark/>
          </w:tcPr>
          <w:p w14:paraId="20510DDC"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LFPR</w:t>
            </w:r>
          </w:p>
        </w:tc>
        <w:tc>
          <w:tcPr>
            <w:tcW w:w="1190" w:type="dxa"/>
            <w:tcBorders>
              <w:bottom w:val="single" w:sz="4" w:space="0" w:color="auto"/>
              <w:right w:val="single" w:sz="4" w:space="0" w:color="auto"/>
            </w:tcBorders>
            <w:shd w:val="clear" w:color="auto" w:fill="auto"/>
            <w:hideMark/>
          </w:tcPr>
          <w:p w14:paraId="608D6B37"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ER</w:t>
            </w:r>
          </w:p>
        </w:tc>
        <w:tc>
          <w:tcPr>
            <w:tcW w:w="1191" w:type="dxa"/>
            <w:tcBorders>
              <w:left w:val="single" w:sz="4" w:space="0" w:color="auto"/>
              <w:bottom w:val="single" w:sz="4" w:space="0" w:color="auto"/>
            </w:tcBorders>
            <w:shd w:val="clear" w:color="auto" w:fill="auto"/>
            <w:hideMark/>
          </w:tcPr>
          <w:p w14:paraId="2C5702F6"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LFPR</w:t>
            </w:r>
          </w:p>
        </w:tc>
        <w:tc>
          <w:tcPr>
            <w:tcW w:w="1190" w:type="dxa"/>
            <w:tcBorders>
              <w:bottom w:val="single" w:sz="4" w:space="0" w:color="auto"/>
            </w:tcBorders>
            <w:shd w:val="clear" w:color="auto" w:fill="auto"/>
            <w:hideMark/>
          </w:tcPr>
          <w:p w14:paraId="21195303"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ER</w:t>
            </w:r>
          </w:p>
        </w:tc>
        <w:tc>
          <w:tcPr>
            <w:tcW w:w="1190" w:type="dxa"/>
            <w:tcBorders>
              <w:bottom w:val="single" w:sz="4" w:space="0" w:color="auto"/>
            </w:tcBorders>
            <w:shd w:val="clear" w:color="auto" w:fill="auto"/>
            <w:hideMark/>
          </w:tcPr>
          <w:p w14:paraId="6392640B"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LFPR</w:t>
            </w:r>
          </w:p>
        </w:tc>
        <w:tc>
          <w:tcPr>
            <w:tcW w:w="1190" w:type="dxa"/>
            <w:tcBorders>
              <w:bottom w:val="single" w:sz="4" w:space="0" w:color="auto"/>
              <w:right w:val="single" w:sz="4" w:space="0" w:color="auto"/>
            </w:tcBorders>
            <w:shd w:val="clear" w:color="auto" w:fill="auto"/>
            <w:hideMark/>
          </w:tcPr>
          <w:p w14:paraId="0214DE8E"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ER</w:t>
            </w:r>
          </w:p>
        </w:tc>
        <w:tc>
          <w:tcPr>
            <w:tcW w:w="1190" w:type="dxa"/>
            <w:tcBorders>
              <w:left w:val="single" w:sz="4" w:space="0" w:color="auto"/>
              <w:bottom w:val="single" w:sz="4" w:space="0" w:color="auto"/>
            </w:tcBorders>
            <w:shd w:val="clear" w:color="auto" w:fill="auto"/>
            <w:hideMark/>
          </w:tcPr>
          <w:p w14:paraId="75AA97EB"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LFPR</w:t>
            </w:r>
          </w:p>
        </w:tc>
        <w:tc>
          <w:tcPr>
            <w:tcW w:w="1191" w:type="dxa"/>
            <w:tcBorders>
              <w:bottom w:val="single" w:sz="4" w:space="0" w:color="auto"/>
            </w:tcBorders>
            <w:shd w:val="clear" w:color="auto" w:fill="auto"/>
            <w:hideMark/>
          </w:tcPr>
          <w:p w14:paraId="2C930444"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ER</w:t>
            </w:r>
          </w:p>
        </w:tc>
      </w:tr>
      <w:tr w:rsidR="00C62A9B" w:rsidRPr="004A792A" w14:paraId="0E97EB26" w14:textId="77777777" w:rsidTr="00A93441">
        <w:tc>
          <w:tcPr>
            <w:tcW w:w="2552" w:type="dxa"/>
            <w:tcBorders>
              <w:top w:val="single" w:sz="4" w:space="0" w:color="auto"/>
              <w:right w:val="single" w:sz="4" w:space="0" w:color="auto"/>
            </w:tcBorders>
            <w:shd w:val="clear" w:color="auto" w:fill="auto"/>
            <w:noWrap/>
          </w:tcPr>
          <w:p w14:paraId="619E0057" w14:textId="77777777" w:rsidR="00C62A9B" w:rsidRPr="004A792A" w:rsidRDefault="00C62A9B" w:rsidP="00A93441">
            <w:pPr>
              <w:spacing w:before="0"/>
              <w:rPr>
                <w:rFonts w:eastAsia="Times New Roman" w:cstheme="minorHAnsi"/>
                <w:color w:val="000000"/>
                <w:sz w:val="20"/>
                <w:szCs w:val="20"/>
                <w:lang w:val="en-US"/>
              </w:rPr>
            </w:pPr>
            <w:r w:rsidRPr="004A792A">
              <w:rPr>
                <w:rFonts w:eastAsia="Times New Roman" w:cstheme="minorHAnsi"/>
                <w:b/>
                <w:color w:val="000000"/>
                <w:sz w:val="20"/>
                <w:szCs w:val="20"/>
                <w:lang w:val="en-US"/>
              </w:rPr>
              <w:t>Children under 7 years</w:t>
            </w:r>
          </w:p>
        </w:tc>
        <w:tc>
          <w:tcPr>
            <w:tcW w:w="1190" w:type="dxa"/>
            <w:tcBorders>
              <w:top w:val="single" w:sz="4" w:space="0" w:color="auto"/>
              <w:left w:val="single" w:sz="4" w:space="0" w:color="auto"/>
            </w:tcBorders>
            <w:shd w:val="clear" w:color="auto" w:fill="auto"/>
            <w:noWrap/>
          </w:tcPr>
          <w:p w14:paraId="05800012"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1A8F6CB0"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0B494D9E"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right w:val="single" w:sz="4" w:space="0" w:color="auto"/>
            </w:tcBorders>
            <w:shd w:val="clear" w:color="auto" w:fill="auto"/>
            <w:noWrap/>
          </w:tcPr>
          <w:p w14:paraId="16336A49" w14:textId="77777777" w:rsidR="00C62A9B" w:rsidRPr="004A792A" w:rsidRDefault="00C62A9B" w:rsidP="00A93441">
            <w:pPr>
              <w:spacing w:before="0"/>
              <w:jc w:val="center"/>
              <w:rPr>
                <w:rFonts w:eastAsia="Times New Roman" w:cstheme="minorHAnsi"/>
                <w:color w:val="000000"/>
                <w:sz w:val="20"/>
                <w:szCs w:val="20"/>
                <w:lang w:val="en-US"/>
              </w:rPr>
            </w:pPr>
          </w:p>
        </w:tc>
        <w:tc>
          <w:tcPr>
            <w:tcW w:w="1191" w:type="dxa"/>
            <w:tcBorders>
              <w:top w:val="single" w:sz="4" w:space="0" w:color="auto"/>
              <w:left w:val="single" w:sz="4" w:space="0" w:color="auto"/>
            </w:tcBorders>
            <w:shd w:val="clear" w:color="auto" w:fill="auto"/>
            <w:noWrap/>
          </w:tcPr>
          <w:p w14:paraId="4D813BB9"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71DD13CD"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494D9961"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right w:val="single" w:sz="4" w:space="0" w:color="auto"/>
            </w:tcBorders>
            <w:shd w:val="clear" w:color="auto" w:fill="auto"/>
            <w:noWrap/>
          </w:tcPr>
          <w:p w14:paraId="41020C75"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left w:val="single" w:sz="4" w:space="0" w:color="auto"/>
            </w:tcBorders>
            <w:shd w:val="clear" w:color="auto" w:fill="auto"/>
            <w:noWrap/>
          </w:tcPr>
          <w:p w14:paraId="06A4C5C4" w14:textId="77777777" w:rsidR="00C62A9B" w:rsidRPr="004A792A" w:rsidRDefault="00C62A9B" w:rsidP="00A93441">
            <w:pPr>
              <w:spacing w:before="0"/>
              <w:jc w:val="center"/>
              <w:rPr>
                <w:rFonts w:eastAsia="Times New Roman" w:cstheme="minorHAnsi"/>
                <w:color w:val="000000"/>
                <w:sz w:val="20"/>
                <w:szCs w:val="20"/>
                <w:lang w:val="en-US"/>
              </w:rPr>
            </w:pPr>
          </w:p>
        </w:tc>
        <w:tc>
          <w:tcPr>
            <w:tcW w:w="1191" w:type="dxa"/>
            <w:tcBorders>
              <w:top w:val="single" w:sz="4" w:space="0" w:color="auto"/>
            </w:tcBorders>
            <w:shd w:val="clear" w:color="auto" w:fill="auto"/>
            <w:noWrap/>
          </w:tcPr>
          <w:p w14:paraId="7A439AD6" w14:textId="77777777" w:rsidR="00C62A9B" w:rsidRPr="004A792A" w:rsidRDefault="00C62A9B" w:rsidP="00A93441">
            <w:pPr>
              <w:spacing w:before="0"/>
              <w:jc w:val="center"/>
              <w:rPr>
                <w:rFonts w:eastAsia="Times New Roman" w:cstheme="minorHAnsi"/>
                <w:color w:val="000000"/>
                <w:sz w:val="20"/>
                <w:szCs w:val="20"/>
                <w:lang w:val="en-US"/>
              </w:rPr>
            </w:pPr>
          </w:p>
        </w:tc>
      </w:tr>
      <w:tr w:rsidR="00C62A9B" w:rsidRPr="004A792A" w14:paraId="69020023" w14:textId="77777777" w:rsidTr="00A93441">
        <w:tc>
          <w:tcPr>
            <w:tcW w:w="2552" w:type="dxa"/>
            <w:tcBorders>
              <w:right w:val="single" w:sz="4" w:space="0" w:color="auto"/>
            </w:tcBorders>
            <w:shd w:val="clear" w:color="auto" w:fill="auto"/>
            <w:noWrap/>
            <w:hideMark/>
          </w:tcPr>
          <w:p w14:paraId="7524B764" w14:textId="77777777" w:rsidR="00C62A9B" w:rsidRPr="004A792A" w:rsidRDefault="00C62A9B" w:rsidP="00A93441">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No children under 7 years</w:t>
            </w:r>
          </w:p>
        </w:tc>
        <w:tc>
          <w:tcPr>
            <w:tcW w:w="1190" w:type="dxa"/>
            <w:tcBorders>
              <w:left w:val="single" w:sz="4" w:space="0" w:color="auto"/>
            </w:tcBorders>
            <w:shd w:val="clear" w:color="auto" w:fill="auto"/>
            <w:noWrap/>
            <w:hideMark/>
          </w:tcPr>
          <w:p w14:paraId="1C9C6613"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47.9</w:t>
            </w:r>
          </w:p>
        </w:tc>
        <w:tc>
          <w:tcPr>
            <w:tcW w:w="1190" w:type="dxa"/>
            <w:shd w:val="clear" w:color="auto" w:fill="auto"/>
            <w:noWrap/>
          </w:tcPr>
          <w:p w14:paraId="3704AC5D"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46.4</w:t>
            </w:r>
          </w:p>
        </w:tc>
        <w:tc>
          <w:tcPr>
            <w:tcW w:w="1190" w:type="dxa"/>
            <w:shd w:val="clear" w:color="auto" w:fill="auto"/>
            <w:noWrap/>
            <w:hideMark/>
          </w:tcPr>
          <w:p w14:paraId="49552DDF"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53.3</w:t>
            </w:r>
          </w:p>
        </w:tc>
        <w:tc>
          <w:tcPr>
            <w:tcW w:w="1190" w:type="dxa"/>
            <w:tcBorders>
              <w:right w:val="single" w:sz="4" w:space="0" w:color="auto"/>
            </w:tcBorders>
            <w:shd w:val="clear" w:color="auto" w:fill="auto"/>
            <w:noWrap/>
            <w:hideMark/>
          </w:tcPr>
          <w:p w14:paraId="63CDA5CB"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51.6</w:t>
            </w:r>
          </w:p>
        </w:tc>
        <w:tc>
          <w:tcPr>
            <w:tcW w:w="1191" w:type="dxa"/>
            <w:tcBorders>
              <w:left w:val="single" w:sz="4" w:space="0" w:color="auto"/>
            </w:tcBorders>
            <w:shd w:val="clear" w:color="auto" w:fill="auto"/>
            <w:noWrap/>
            <w:hideMark/>
          </w:tcPr>
          <w:p w14:paraId="635E3828"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46.1</w:t>
            </w:r>
          </w:p>
        </w:tc>
        <w:tc>
          <w:tcPr>
            <w:tcW w:w="1190" w:type="dxa"/>
            <w:shd w:val="clear" w:color="auto" w:fill="auto"/>
            <w:noWrap/>
            <w:hideMark/>
          </w:tcPr>
          <w:p w14:paraId="309D4773"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43.4</w:t>
            </w:r>
          </w:p>
        </w:tc>
        <w:tc>
          <w:tcPr>
            <w:tcW w:w="1190" w:type="dxa"/>
            <w:shd w:val="clear" w:color="auto" w:fill="auto"/>
            <w:noWrap/>
          </w:tcPr>
          <w:p w14:paraId="1CCAD65B"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54.9</w:t>
            </w:r>
          </w:p>
        </w:tc>
        <w:tc>
          <w:tcPr>
            <w:tcW w:w="1190" w:type="dxa"/>
            <w:tcBorders>
              <w:right w:val="single" w:sz="4" w:space="0" w:color="auto"/>
            </w:tcBorders>
            <w:shd w:val="clear" w:color="auto" w:fill="auto"/>
            <w:noWrap/>
            <w:hideMark/>
          </w:tcPr>
          <w:p w14:paraId="2C8E10CA"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51.8</w:t>
            </w:r>
          </w:p>
        </w:tc>
        <w:tc>
          <w:tcPr>
            <w:tcW w:w="1190" w:type="dxa"/>
            <w:tcBorders>
              <w:left w:val="single" w:sz="4" w:space="0" w:color="auto"/>
            </w:tcBorders>
            <w:shd w:val="clear" w:color="auto" w:fill="auto"/>
            <w:noWrap/>
            <w:hideMark/>
          </w:tcPr>
          <w:p w14:paraId="6126E3E8"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1.7</w:t>
            </w:r>
          </w:p>
        </w:tc>
        <w:tc>
          <w:tcPr>
            <w:tcW w:w="1191" w:type="dxa"/>
            <w:shd w:val="clear" w:color="auto" w:fill="auto"/>
            <w:noWrap/>
            <w:hideMark/>
          </w:tcPr>
          <w:p w14:paraId="2C0222E9"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0.2</w:t>
            </w:r>
          </w:p>
        </w:tc>
      </w:tr>
      <w:tr w:rsidR="00C62A9B" w:rsidRPr="004A792A" w14:paraId="45436073" w14:textId="77777777" w:rsidTr="00A93441">
        <w:tc>
          <w:tcPr>
            <w:tcW w:w="2552" w:type="dxa"/>
            <w:tcBorders>
              <w:right w:val="single" w:sz="4" w:space="0" w:color="auto"/>
            </w:tcBorders>
            <w:shd w:val="clear" w:color="auto" w:fill="auto"/>
            <w:noWrap/>
            <w:hideMark/>
          </w:tcPr>
          <w:p w14:paraId="0CCC2119" w14:textId="77777777" w:rsidR="00C62A9B" w:rsidRPr="004A792A" w:rsidRDefault="00C62A9B" w:rsidP="00A93441">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1 child</w:t>
            </w:r>
          </w:p>
        </w:tc>
        <w:tc>
          <w:tcPr>
            <w:tcW w:w="1190" w:type="dxa"/>
            <w:tcBorders>
              <w:left w:val="single" w:sz="4" w:space="0" w:color="auto"/>
            </w:tcBorders>
            <w:shd w:val="clear" w:color="auto" w:fill="auto"/>
            <w:noWrap/>
            <w:hideMark/>
          </w:tcPr>
          <w:p w14:paraId="0E1E8285"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41.8</w:t>
            </w:r>
            <w:r w:rsidR="00F63B27" w:rsidRPr="004A792A">
              <w:rPr>
                <w:rFonts w:eastAsia="Times New Roman" w:cstheme="minorHAnsi"/>
                <w:color w:val="000000"/>
                <w:sz w:val="20"/>
                <w:szCs w:val="20"/>
                <w:lang w:val="en-US"/>
              </w:rPr>
              <w:t>***</w:t>
            </w:r>
          </w:p>
        </w:tc>
        <w:tc>
          <w:tcPr>
            <w:tcW w:w="1190" w:type="dxa"/>
            <w:shd w:val="clear" w:color="auto" w:fill="auto"/>
            <w:noWrap/>
          </w:tcPr>
          <w:p w14:paraId="4381D1E7"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40.8</w:t>
            </w:r>
            <w:r w:rsidR="00F63B27" w:rsidRPr="004A792A">
              <w:rPr>
                <w:rFonts w:eastAsia="Times New Roman" w:cstheme="minorHAnsi"/>
                <w:color w:val="000000"/>
                <w:sz w:val="20"/>
                <w:szCs w:val="20"/>
                <w:lang w:val="en-US"/>
              </w:rPr>
              <w:t>***</w:t>
            </w:r>
          </w:p>
        </w:tc>
        <w:tc>
          <w:tcPr>
            <w:tcW w:w="1190" w:type="dxa"/>
            <w:shd w:val="clear" w:color="auto" w:fill="auto"/>
            <w:noWrap/>
            <w:hideMark/>
          </w:tcPr>
          <w:p w14:paraId="665E5D7D"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43.6</w:t>
            </w:r>
            <w:r w:rsidR="00F63B27" w:rsidRPr="004A792A">
              <w:rPr>
                <w:rFonts w:eastAsia="Times New Roman" w:cstheme="minorHAnsi"/>
                <w:color w:val="000000"/>
                <w:sz w:val="20"/>
                <w:szCs w:val="20"/>
                <w:lang w:val="en-US"/>
              </w:rPr>
              <w:t>***</w:t>
            </w:r>
          </w:p>
        </w:tc>
        <w:tc>
          <w:tcPr>
            <w:tcW w:w="1190" w:type="dxa"/>
            <w:tcBorders>
              <w:right w:val="single" w:sz="4" w:space="0" w:color="auto"/>
            </w:tcBorders>
            <w:shd w:val="clear" w:color="auto" w:fill="auto"/>
            <w:noWrap/>
            <w:hideMark/>
          </w:tcPr>
          <w:p w14:paraId="4D3564B1"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42.6</w:t>
            </w:r>
            <w:r w:rsidR="00F63B27" w:rsidRPr="004A792A">
              <w:rPr>
                <w:rFonts w:eastAsia="Times New Roman" w:cstheme="minorHAnsi"/>
                <w:color w:val="000000"/>
                <w:sz w:val="20"/>
                <w:szCs w:val="20"/>
                <w:lang w:val="en-US"/>
              </w:rPr>
              <w:t>***</w:t>
            </w:r>
          </w:p>
        </w:tc>
        <w:tc>
          <w:tcPr>
            <w:tcW w:w="1191" w:type="dxa"/>
            <w:tcBorders>
              <w:left w:val="single" w:sz="4" w:space="0" w:color="auto"/>
            </w:tcBorders>
            <w:shd w:val="clear" w:color="auto" w:fill="auto"/>
            <w:noWrap/>
            <w:hideMark/>
          </w:tcPr>
          <w:p w14:paraId="1464C3CE"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60.7</w:t>
            </w:r>
            <w:r w:rsidR="00F63B27" w:rsidRPr="004A792A">
              <w:rPr>
                <w:rFonts w:eastAsia="Times New Roman" w:cstheme="minorHAnsi"/>
                <w:color w:val="000000"/>
                <w:sz w:val="20"/>
                <w:szCs w:val="20"/>
                <w:lang w:val="en-US"/>
              </w:rPr>
              <w:t>***</w:t>
            </w:r>
          </w:p>
        </w:tc>
        <w:tc>
          <w:tcPr>
            <w:tcW w:w="1190" w:type="dxa"/>
            <w:shd w:val="clear" w:color="auto" w:fill="auto"/>
            <w:noWrap/>
            <w:hideMark/>
          </w:tcPr>
          <w:p w14:paraId="78B85FB8"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57.6</w:t>
            </w:r>
            <w:r w:rsidR="00F63B27" w:rsidRPr="004A792A">
              <w:rPr>
                <w:rFonts w:eastAsia="Times New Roman" w:cstheme="minorHAnsi"/>
                <w:color w:val="000000"/>
                <w:sz w:val="20"/>
                <w:szCs w:val="20"/>
                <w:lang w:val="en-US"/>
              </w:rPr>
              <w:t>***</w:t>
            </w:r>
          </w:p>
        </w:tc>
        <w:tc>
          <w:tcPr>
            <w:tcW w:w="1190" w:type="dxa"/>
            <w:shd w:val="clear" w:color="auto" w:fill="auto"/>
            <w:noWrap/>
          </w:tcPr>
          <w:p w14:paraId="543D044A"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77.5</w:t>
            </w:r>
            <w:r w:rsidR="00F63B27" w:rsidRPr="004A792A">
              <w:rPr>
                <w:rFonts w:eastAsia="Times New Roman" w:cstheme="minorHAnsi"/>
                <w:color w:val="000000"/>
                <w:sz w:val="20"/>
                <w:szCs w:val="20"/>
                <w:lang w:val="en-US"/>
              </w:rPr>
              <w:t>***</w:t>
            </w:r>
          </w:p>
        </w:tc>
        <w:tc>
          <w:tcPr>
            <w:tcW w:w="1190" w:type="dxa"/>
            <w:tcBorders>
              <w:right w:val="single" w:sz="4" w:space="0" w:color="auto"/>
            </w:tcBorders>
            <w:shd w:val="clear" w:color="auto" w:fill="auto"/>
            <w:noWrap/>
            <w:hideMark/>
          </w:tcPr>
          <w:p w14:paraId="43DA5AD5"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73.5</w:t>
            </w:r>
            <w:r w:rsidR="00F63B27" w:rsidRPr="004A792A">
              <w:rPr>
                <w:rFonts w:eastAsia="Times New Roman" w:cstheme="minorHAnsi"/>
                <w:color w:val="000000"/>
                <w:sz w:val="20"/>
                <w:szCs w:val="20"/>
                <w:lang w:val="en-US"/>
              </w:rPr>
              <w:t>***</w:t>
            </w:r>
          </w:p>
        </w:tc>
        <w:tc>
          <w:tcPr>
            <w:tcW w:w="1190" w:type="dxa"/>
            <w:tcBorders>
              <w:left w:val="single" w:sz="4" w:space="0" w:color="auto"/>
            </w:tcBorders>
            <w:shd w:val="clear" w:color="auto" w:fill="auto"/>
            <w:noWrap/>
            <w:hideMark/>
          </w:tcPr>
          <w:p w14:paraId="2ADB6FF4"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33.9</w:t>
            </w:r>
          </w:p>
        </w:tc>
        <w:tc>
          <w:tcPr>
            <w:tcW w:w="1191" w:type="dxa"/>
            <w:shd w:val="clear" w:color="auto" w:fill="auto"/>
            <w:noWrap/>
            <w:hideMark/>
          </w:tcPr>
          <w:p w14:paraId="3F629D90"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30.9</w:t>
            </w:r>
          </w:p>
        </w:tc>
      </w:tr>
      <w:tr w:rsidR="00C62A9B" w:rsidRPr="004A792A" w14:paraId="47A58493" w14:textId="77777777" w:rsidTr="00A93441">
        <w:tc>
          <w:tcPr>
            <w:tcW w:w="2552" w:type="dxa"/>
            <w:tcBorders>
              <w:bottom w:val="single" w:sz="4" w:space="0" w:color="auto"/>
              <w:right w:val="single" w:sz="4" w:space="0" w:color="auto"/>
            </w:tcBorders>
            <w:shd w:val="clear" w:color="auto" w:fill="auto"/>
            <w:noWrap/>
            <w:hideMark/>
          </w:tcPr>
          <w:p w14:paraId="44D7EC07" w14:textId="77777777" w:rsidR="00C62A9B" w:rsidRPr="004A792A" w:rsidRDefault="00C62A9B" w:rsidP="00A93441">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2 and more children</w:t>
            </w:r>
          </w:p>
        </w:tc>
        <w:tc>
          <w:tcPr>
            <w:tcW w:w="1190" w:type="dxa"/>
            <w:tcBorders>
              <w:left w:val="single" w:sz="4" w:space="0" w:color="auto"/>
              <w:bottom w:val="single" w:sz="4" w:space="0" w:color="auto"/>
            </w:tcBorders>
            <w:shd w:val="clear" w:color="auto" w:fill="auto"/>
            <w:noWrap/>
            <w:hideMark/>
          </w:tcPr>
          <w:p w14:paraId="2A8690A0"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23.6</w:t>
            </w:r>
            <w:r w:rsidR="00F63B27" w:rsidRPr="004A792A">
              <w:rPr>
                <w:rFonts w:eastAsia="Times New Roman" w:cstheme="minorHAnsi"/>
                <w:color w:val="000000"/>
                <w:sz w:val="20"/>
                <w:szCs w:val="20"/>
                <w:lang w:val="en-US"/>
              </w:rPr>
              <w:t>***</w:t>
            </w:r>
          </w:p>
        </w:tc>
        <w:tc>
          <w:tcPr>
            <w:tcW w:w="1190" w:type="dxa"/>
            <w:tcBorders>
              <w:bottom w:val="single" w:sz="4" w:space="0" w:color="auto"/>
            </w:tcBorders>
            <w:shd w:val="clear" w:color="auto" w:fill="auto"/>
            <w:noWrap/>
          </w:tcPr>
          <w:p w14:paraId="076719ED"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cstheme="minorHAnsi"/>
                <w:color w:val="000000"/>
                <w:sz w:val="20"/>
                <w:szCs w:val="20"/>
                <w:lang w:val="en-US"/>
              </w:rPr>
              <w:t>23.1</w:t>
            </w:r>
            <w:r w:rsidR="00F63B27" w:rsidRPr="004A792A">
              <w:rPr>
                <w:rFonts w:eastAsia="Times New Roman" w:cstheme="minorHAnsi"/>
                <w:color w:val="000000"/>
                <w:sz w:val="20"/>
                <w:szCs w:val="20"/>
                <w:lang w:val="en-US"/>
              </w:rPr>
              <w:t>***</w:t>
            </w:r>
          </w:p>
        </w:tc>
        <w:tc>
          <w:tcPr>
            <w:tcW w:w="1190" w:type="dxa"/>
            <w:tcBorders>
              <w:bottom w:val="single" w:sz="4" w:space="0" w:color="auto"/>
            </w:tcBorders>
            <w:shd w:val="clear" w:color="auto" w:fill="auto"/>
            <w:noWrap/>
            <w:hideMark/>
          </w:tcPr>
          <w:p w14:paraId="195A5DBC"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24.2</w:t>
            </w:r>
            <w:r w:rsidR="00F63B27" w:rsidRPr="004A792A">
              <w:rPr>
                <w:rFonts w:eastAsia="Times New Roman" w:cstheme="minorHAnsi"/>
                <w:color w:val="000000"/>
                <w:sz w:val="20"/>
                <w:szCs w:val="20"/>
                <w:lang w:val="en-US"/>
              </w:rPr>
              <w:t>***</w:t>
            </w:r>
          </w:p>
        </w:tc>
        <w:tc>
          <w:tcPr>
            <w:tcW w:w="1190" w:type="dxa"/>
            <w:tcBorders>
              <w:bottom w:val="single" w:sz="4" w:space="0" w:color="auto"/>
              <w:right w:val="single" w:sz="4" w:space="0" w:color="auto"/>
            </w:tcBorders>
            <w:shd w:val="clear" w:color="auto" w:fill="auto"/>
            <w:noWrap/>
            <w:hideMark/>
          </w:tcPr>
          <w:p w14:paraId="3ACAB776"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23.7</w:t>
            </w:r>
            <w:r w:rsidR="00F63B27" w:rsidRPr="004A792A">
              <w:rPr>
                <w:rFonts w:eastAsia="Times New Roman" w:cstheme="minorHAnsi"/>
                <w:color w:val="000000"/>
                <w:sz w:val="20"/>
                <w:szCs w:val="20"/>
                <w:lang w:val="en-US"/>
              </w:rPr>
              <w:t>***</w:t>
            </w:r>
          </w:p>
        </w:tc>
        <w:tc>
          <w:tcPr>
            <w:tcW w:w="1191" w:type="dxa"/>
            <w:tcBorders>
              <w:left w:val="single" w:sz="4" w:space="0" w:color="auto"/>
              <w:bottom w:val="single" w:sz="4" w:space="0" w:color="auto"/>
            </w:tcBorders>
            <w:shd w:val="clear" w:color="auto" w:fill="auto"/>
            <w:noWrap/>
            <w:hideMark/>
          </w:tcPr>
          <w:p w14:paraId="0DECEC42"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59.3</w:t>
            </w:r>
            <w:r w:rsidR="00F63B27" w:rsidRPr="004A792A">
              <w:rPr>
                <w:rFonts w:eastAsia="Times New Roman" w:cstheme="minorHAnsi"/>
                <w:color w:val="000000"/>
                <w:sz w:val="20"/>
                <w:szCs w:val="20"/>
                <w:lang w:val="en-US"/>
              </w:rPr>
              <w:t>***</w:t>
            </w:r>
          </w:p>
        </w:tc>
        <w:tc>
          <w:tcPr>
            <w:tcW w:w="1190" w:type="dxa"/>
            <w:tcBorders>
              <w:bottom w:val="single" w:sz="4" w:space="0" w:color="auto"/>
            </w:tcBorders>
            <w:shd w:val="clear" w:color="auto" w:fill="auto"/>
            <w:noWrap/>
            <w:hideMark/>
          </w:tcPr>
          <w:p w14:paraId="553050E7"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56.1</w:t>
            </w:r>
            <w:r w:rsidR="00F63B27" w:rsidRPr="004A792A">
              <w:rPr>
                <w:rFonts w:eastAsia="Times New Roman" w:cstheme="minorHAnsi"/>
                <w:color w:val="000000"/>
                <w:sz w:val="20"/>
                <w:szCs w:val="20"/>
                <w:lang w:val="en-US"/>
              </w:rPr>
              <w:t>***</w:t>
            </w:r>
          </w:p>
        </w:tc>
        <w:tc>
          <w:tcPr>
            <w:tcW w:w="1190" w:type="dxa"/>
            <w:tcBorders>
              <w:bottom w:val="single" w:sz="4" w:space="0" w:color="auto"/>
            </w:tcBorders>
            <w:shd w:val="clear" w:color="auto" w:fill="auto"/>
            <w:noWrap/>
          </w:tcPr>
          <w:p w14:paraId="399C9F36"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cstheme="minorHAnsi"/>
                <w:color w:val="000000"/>
                <w:sz w:val="20"/>
                <w:szCs w:val="20"/>
                <w:lang w:val="en-US"/>
              </w:rPr>
              <w:t>77.8</w:t>
            </w:r>
            <w:r w:rsidR="00F63B27" w:rsidRPr="004A792A">
              <w:rPr>
                <w:rFonts w:eastAsia="Times New Roman" w:cstheme="minorHAnsi"/>
                <w:color w:val="000000"/>
                <w:sz w:val="20"/>
                <w:szCs w:val="20"/>
                <w:lang w:val="en-US"/>
              </w:rPr>
              <w:t>***</w:t>
            </w:r>
          </w:p>
        </w:tc>
        <w:tc>
          <w:tcPr>
            <w:tcW w:w="1190" w:type="dxa"/>
            <w:tcBorders>
              <w:bottom w:val="single" w:sz="4" w:space="0" w:color="auto"/>
              <w:right w:val="single" w:sz="4" w:space="0" w:color="auto"/>
            </w:tcBorders>
            <w:shd w:val="clear" w:color="auto" w:fill="auto"/>
            <w:noWrap/>
            <w:hideMark/>
          </w:tcPr>
          <w:p w14:paraId="4894A6AB"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73.6</w:t>
            </w:r>
            <w:r w:rsidR="00F63B27" w:rsidRPr="004A792A">
              <w:rPr>
                <w:rFonts w:eastAsia="Times New Roman" w:cstheme="minorHAnsi"/>
                <w:color w:val="000000"/>
                <w:sz w:val="20"/>
                <w:szCs w:val="20"/>
                <w:lang w:val="en-US"/>
              </w:rPr>
              <w:t>***</w:t>
            </w:r>
          </w:p>
        </w:tc>
        <w:tc>
          <w:tcPr>
            <w:tcW w:w="1190" w:type="dxa"/>
            <w:tcBorders>
              <w:left w:val="single" w:sz="4" w:space="0" w:color="auto"/>
              <w:bottom w:val="single" w:sz="4" w:space="0" w:color="auto"/>
            </w:tcBorders>
            <w:shd w:val="clear" w:color="auto" w:fill="auto"/>
            <w:noWrap/>
            <w:hideMark/>
          </w:tcPr>
          <w:p w14:paraId="09CAD5FA"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53.5</w:t>
            </w:r>
          </w:p>
        </w:tc>
        <w:tc>
          <w:tcPr>
            <w:tcW w:w="1191" w:type="dxa"/>
            <w:tcBorders>
              <w:bottom w:val="single" w:sz="4" w:space="0" w:color="auto"/>
            </w:tcBorders>
            <w:shd w:val="clear" w:color="auto" w:fill="auto"/>
            <w:noWrap/>
            <w:hideMark/>
          </w:tcPr>
          <w:p w14:paraId="457F81DB" w14:textId="77777777" w:rsidR="00C62A9B" w:rsidRPr="004A792A" w:rsidRDefault="00C62A9B" w:rsidP="00A93441">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49.9</w:t>
            </w:r>
          </w:p>
        </w:tc>
      </w:tr>
      <w:tr w:rsidR="00C62A9B" w:rsidRPr="004A792A" w14:paraId="539D063A" w14:textId="77777777" w:rsidTr="00A93441">
        <w:tc>
          <w:tcPr>
            <w:tcW w:w="2552" w:type="dxa"/>
            <w:tcBorders>
              <w:top w:val="single" w:sz="4" w:space="0" w:color="auto"/>
              <w:right w:val="single" w:sz="4" w:space="0" w:color="auto"/>
            </w:tcBorders>
            <w:shd w:val="clear" w:color="auto" w:fill="auto"/>
            <w:noWrap/>
          </w:tcPr>
          <w:p w14:paraId="33DBE953" w14:textId="77777777" w:rsidR="00C62A9B" w:rsidRPr="004A792A" w:rsidRDefault="00C62A9B" w:rsidP="00A93441">
            <w:pPr>
              <w:spacing w:before="0"/>
              <w:rPr>
                <w:rFonts w:eastAsia="Times New Roman" w:cstheme="minorHAnsi"/>
                <w:color w:val="000000"/>
                <w:sz w:val="20"/>
                <w:szCs w:val="20"/>
                <w:lang w:val="en-US"/>
              </w:rPr>
            </w:pPr>
            <w:r w:rsidRPr="004A792A">
              <w:rPr>
                <w:rFonts w:eastAsia="Times New Roman" w:cstheme="minorHAnsi"/>
                <w:b/>
                <w:color w:val="000000"/>
                <w:sz w:val="20"/>
                <w:szCs w:val="20"/>
                <w:lang w:val="en-US"/>
              </w:rPr>
              <w:t>Children under 15 years</w:t>
            </w:r>
          </w:p>
        </w:tc>
        <w:tc>
          <w:tcPr>
            <w:tcW w:w="1190" w:type="dxa"/>
            <w:tcBorders>
              <w:top w:val="single" w:sz="4" w:space="0" w:color="auto"/>
              <w:left w:val="single" w:sz="4" w:space="0" w:color="auto"/>
            </w:tcBorders>
            <w:shd w:val="clear" w:color="auto" w:fill="auto"/>
            <w:noWrap/>
          </w:tcPr>
          <w:p w14:paraId="1692DA8A"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1AD69B41"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360ECC27"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right w:val="single" w:sz="4" w:space="0" w:color="auto"/>
            </w:tcBorders>
            <w:shd w:val="clear" w:color="auto" w:fill="auto"/>
            <w:noWrap/>
          </w:tcPr>
          <w:p w14:paraId="70BACF34" w14:textId="77777777" w:rsidR="00C62A9B" w:rsidRPr="004A792A" w:rsidRDefault="00C62A9B" w:rsidP="00A93441">
            <w:pPr>
              <w:spacing w:before="0"/>
              <w:jc w:val="center"/>
              <w:rPr>
                <w:rFonts w:eastAsia="Times New Roman" w:cstheme="minorHAnsi"/>
                <w:color w:val="000000"/>
                <w:sz w:val="20"/>
                <w:szCs w:val="20"/>
                <w:lang w:val="en-US"/>
              </w:rPr>
            </w:pPr>
          </w:p>
        </w:tc>
        <w:tc>
          <w:tcPr>
            <w:tcW w:w="1191" w:type="dxa"/>
            <w:tcBorders>
              <w:top w:val="single" w:sz="4" w:space="0" w:color="auto"/>
              <w:left w:val="single" w:sz="4" w:space="0" w:color="auto"/>
            </w:tcBorders>
            <w:shd w:val="clear" w:color="auto" w:fill="auto"/>
            <w:noWrap/>
          </w:tcPr>
          <w:p w14:paraId="49ABF254"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647C64D8"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tcBorders>
            <w:shd w:val="clear" w:color="auto" w:fill="auto"/>
            <w:noWrap/>
          </w:tcPr>
          <w:p w14:paraId="133594A1"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right w:val="single" w:sz="4" w:space="0" w:color="auto"/>
            </w:tcBorders>
            <w:shd w:val="clear" w:color="auto" w:fill="auto"/>
            <w:noWrap/>
          </w:tcPr>
          <w:p w14:paraId="09939605" w14:textId="77777777" w:rsidR="00C62A9B" w:rsidRPr="004A792A" w:rsidRDefault="00C62A9B" w:rsidP="00A93441">
            <w:pPr>
              <w:spacing w:before="0"/>
              <w:jc w:val="center"/>
              <w:rPr>
                <w:rFonts w:eastAsia="Times New Roman" w:cstheme="minorHAnsi"/>
                <w:color w:val="000000"/>
                <w:sz w:val="20"/>
                <w:szCs w:val="20"/>
                <w:lang w:val="en-US"/>
              </w:rPr>
            </w:pPr>
          </w:p>
        </w:tc>
        <w:tc>
          <w:tcPr>
            <w:tcW w:w="1190" w:type="dxa"/>
            <w:tcBorders>
              <w:top w:val="single" w:sz="4" w:space="0" w:color="auto"/>
              <w:left w:val="single" w:sz="4" w:space="0" w:color="auto"/>
            </w:tcBorders>
            <w:shd w:val="clear" w:color="auto" w:fill="auto"/>
            <w:noWrap/>
          </w:tcPr>
          <w:p w14:paraId="7DEEF3C3" w14:textId="77777777" w:rsidR="00C62A9B" w:rsidRPr="004A792A" w:rsidRDefault="00C62A9B" w:rsidP="00A93441">
            <w:pPr>
              <w:spacing w:before="0"/>
              <w:jc w:val="center"/>
              <w:rPr>
                <w:rFonts w:eastAsia="Times New Roman" w:cstheme="minorHAnsi"/>
                <w:color w:val="000000"/>
                <w:sz w:val="20"/>
                <w:szCs w:val="20"/>
                <w:lang w:val="en-US"/>
              </w:rPr>
            </w:pPr>
          </w:p>
        </w:tc>
        <w:tc>
          <w:tcPr>
            <w:tcW w:w="1191" w:type="dxa"/>
            <w:tcBorders>
              <w:top w:val="single" w:sz="4" w:space="0" w:color="auto"/>
            </w:tcBorders>
            <w:shd w:val="clear" w:color="auto" w:fill="auto"/>
            <w:noWrap/>
          </w:tcPr>
          <w:p w14:paraId="530A77A6" w14:textId="77777777" w:rsidR="00C62A9B" w:rsidRPr="004A792A" w:rsidRDefault="00C62A9B" w:rsidP="00A93441">
            <w:pPr>
              <w:spacing w:before="0"/>
              <w:jc w:val="center"/>
              <w:rPr>
                <w:rFonts w:eastAsia="Times New Roman" w:cstheme="minorHAnsi"/>
                <w:color w:val="000000"/>
                <w:sz w:val="20"/>
                <w:szCs w:val="20"/>
                <w:lang w:val="en-US"/>
              </w:rPr>
            </w:pPr>
          </w:p>
        </w:tc>
      </w:tr>
      <w:tr w:rsidR="00B10C6C" w:rsidRPr="004A792A" w14:paraId="08C80FE9" w14:textId="77777777" w:rsidTr="00FB3081">
        <w:tc>
          <w:tcPr>
            <w:tcW w:w="2552" w:type="dxa"/>
            <w:tcBorders>
              <w:right w:val="single" w:sz="4" w:space="0" w:color="auto"/>
            </w:tcBorders>
            <w:shd w:val="clear" w:color="auto" w:fill="auto"/>
            <w:noWrap/>
            <w:hideMark/>
          </w:tcPr>
          <w:p w14:paraId="4A04C0A0" w14:textId="77777777" w:rsidR="00B10C6C" w:rsidRPr="004A792A" w:rsidRDefault="00B10C6C" w:rsidP="00B10C6C">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No children under 15 years</w:t>
            </w:r>
          </w:p>
        </w:tc>
        <w:tc>
          <w:tcPr>
            <w:tcW w:w="1190" w:type="dxa"/>
            <w:tcBorders>
              <w:left w:val="single" w:sz="4" w:space="0" w:color="auto"/>
            </w:tcBorders>
            <w:shd w:val="clear" w:color="auto" w:fill="auto"/>
            <w:noWrap/>
            <w:hideMark/>
          </w:tcPr>
          <w:p w14:paraId="335EA6FF"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43.6</w:t>
            </w:r>
          </w:p>
        </w:tc>
        <w:tc>
          <w:tcPr>
            <w:tcW w:w="1190" w:type="dxa"/>
            <w:shd w:val="clear" w:color="auto" w:fill="auto"/>
            <w:noWrap/>
          </w:tcPr>
          <w:p w14:paraId="51395B8E"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42.2</w:t>
            </w:r>
          </w:p>
        </w:tc>
        <w:tc>
          <w:tcPr>
            <w:tcW w:w="1190" w:type="dxa"/>
            <w:shd w:val="clear" w:color="auto" w:fill="auto"/>
            <w:noWrap/>
            <w:hideMark/>
          </w:tcPr>
          <w:p w14:paraId="207A250A"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48.7</w:t>
            </w:r>
          </w:p>
        </w:tc>
        <w:tc>
          <w:tcPr>
            <w:tcW w:w="1190" w:type="dxa"/>
            <w:tcBorders>
              <w:right w:val="single" w:sz="4" w:space="0" w:color="auto"/>
            </w:tcBorders>
            <w:shd w:val="clear" w:color="auto" w:fill="auto"/>
            <w:noWrap/>
            <w:hideMark/>
          </w:tcPr>
          <w:p w14:paraId="08EBAAEE"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47.1</w:t>
            </w:r>
          </w:p>
        </w:tc>
        <w:tc>
          <w:tcPr>
            <w:tcW w:w="1191" w:type="dxa"/>
            <w:tcBorders>
              <w:left w:val="single" w:sz="4" w:space="0" w:color="auto"/>
            </w:tcBorders>
            <w:shd w:val="clear" w:color="auto" w:fill="auto"/>
            <w:noWrap/>
            <w:hideMark/>
          </w:tcPr>
          <w:p w14:paraId="54092C13"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43.7</w:t>
            </w:r>
          </w:p>
        </w:tc>
        <w:tc>
          <w:tcPr>
            <w:tcW w:w="1190" w:type="dxa"/>
            <w:shd w:val="clear" w:color="auto" w:fill="auto"/>
            <w:noWrap/>
            <w:vAlign w:val="bottom"/>
            <w:hideMark/>
          </w:tcPr>
          <w:p w14:paraId="7EECB6E8"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41.0</w:t>
            </w:r>
          </w:p>
        </w:tc>
        <w:tc>
          <w:tcPr>
            <w:tcW w:w="1190" w:type="dxa"/>
            <w:shd w:val="clear" w:color="auto" w:fill="auto"/>
            <w:noWrap/>
            <w:vAlign w:val="bottom"/>
          </w:tcPr>
          <w:p w14:paraId="5A31D299"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51.9</w:t>
            </w:r>
          </w:p>
        </w:tc>
        <w:tc>
          <w:tcPr>
            <w:tcW w:w="1190" w:type="dxa"/>
            <w:tcBorders>
              <w:right w:val="single" w:sz="4" w:space="0" w:color="auto"/>
            </w:tcBorders>
            <w:shd w:val="clear" w:color="auto" w:fill="auto"/>
            <w:noWrap/>
            <w:hideMark/>
          </w:tcPr>
          <w:p w14:paraId="44691C36"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48.7</w:t>
            </w:r>
          </w:p>
        </w:tc>
        <w:tc>
          <w:tcPr>
            <w:tcW w:w="1190" w:type="dxa"/>
            <w:tcBorders>
              <w:left w:val="single" w:sz="4" w:space="0" w:color="auto"/>
            </w:tcBorders>
            <w:shd w:val="clear" w:color="auto" w:fill="auto"/>
            <w:noWrap/>
            <w:hideMark/>
          </w:tcPr>
          <w:p w14:paraId="0F6C1B49"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3.2</w:t>
            </w:r>
          </w:p>
        </w:tc>
        <w:tc>
          <w:tcPr>
            <w:tcW w:w="1191" w:type="dxa"/>
            <w:shd w:val="clear" w:color="auto" w:fill="auto"/>
            <w:noWrap/>
            <w:hideMark/>
          </w:tcPr>
          <w:p w14:paraId="415F86ED"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1.6</w:t>
            </w:r>
          </w:p>
        </w:tc>
      </w:tr>
      <w:tr w:rsidR="00B10C6C" w:rsidRPr="004A792A" w14:paraId="6EC59A0A" w14:textId="77777777" w:rsidTr="00FB3081">
        <w:tc>
          <w:tcPr>
            <w:tcW w:w="2552" w:type="dxa"/>
            <w:tcBorders>
              <w:right w:val="single" w:sz="4" w:space="0" w:color="auto"/>
            </w:tcBorders>
            <w:shd w:val="clear" w:color="auto" w:fill="auto"/>
            <w:noWrap/>
            <w:hideMark/>
          </w:tcPr>
          <w:p w14:paraId="7E172100" w14:textId="77777777" w:rsidR="00B10C6C" w:rsidRPr="004A792A" w:rsidRDefault="00B10C6C" w:rsidP="00B10C6C">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1 child</w:t>
            </w:r>
          </w:p>
        </w:tc>
        <w:tc>
          <w:tcPr>
            <w:tcW w:w="1190" w:type="dxa"/>
            <w:tcBorders>
              <w:left w:val="single" w:sz="4" w:space="0" w:color="auto"/>
            </w:tcBorders>
            <w:shd w:val="clear" w:color="auto" w:fill="auto"/>
            <w:noWrap/>
            <w:hideMark/>
          </w:tcPr>
          <w:p w14:paraId="585A0884"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52.9***</w:t>
            </w:r>
          </w:p>
        </w:tc>
        <w:tc>
          <w:tcPr>
            <w:tcW w:w="1190" w:type="dxa"/>
            <w:shd w:val="clear" w:color="auto" w:fill="auto"/>
            <w:noWrap/>
          </w:tcPr>
          <w:p w14:paraId="11059230"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cstheme="minorHAnsi"/>
                <w:color w:val="000000"/>
                <w:sz w:val="20"/>
                <w:szCs w:val="20"/>
                <w:lang w:val="en-US"/>
              </w:rPr>
              <w:t>51.8</w:t>
            </w:r>
            <w:r w:rsidRPr="004A792A">
              <w:rPr>
                <w:rFonts w:eastAsia="Times New Roman" w:cstheme="minorHAnsi"/>
                <w:color w:val="000000"/>
                <w:sz w:val="20"/>
                <w:szCs w:val="20"/>
                <w:lang w:val="en-US"/>
              </w:rPr>
              <w:t>***</w:t>
            </w:r>
          </w:p>
        </w:tc>
        <w:tc>
          <w:tcPr>
            <w:tcW w:w="1190" w:type="dxa"/>
            <w:shd w:val="clear" w:color="auto" w:fill="auto"/>
            <w:noWrap/>
            <w:hideMark/>
          </w:tcPr>
          <w:p w14:paraId="1DC5F3F0"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56.8***</w:t>
            </w:r>
          </w:p>
        </w:tc>
        <w:tc>
          <w:tcPr>
            <w:tcW w:w="1190" w:type="dxa"/>
            <w:tcBorders>
              <w:right w:val="single" w:sz="4" w:space="0" w:color="auto"/>
            </w:tcBorders>
            <w:shd w:val="clear" w:color="auto" w:fill="auto"/>
            <w:noWrap/>
            <w:hideMark/>
          </w:tcPr>
          <w:p w14:paraId="4E2BF004"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55.6***</w:t>
            </w:r>
          </w:p>
        </w:tc>
        <w:tc>
          <w:tcPr>
            <w:tcW w:w="1191" w:type="dxa"/>
            <w:tcBorders>
              <w:left w:val="single" w:sz="4" w:space="0" w:color="auto"/>
            </w:tcBorders>
            <w:shd w:val="clear" w:color="auto" w:fill="auto"/>
            <w:noWrap/>
            <w:hideMark/>
          </w:tcPr>
          <w:p w14:paraId="06A39B47"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63.3***</w:t>
            </w:r>
          </w:p>
        </w:tc>
        <w:tc>
          <w:tcPr>
            <w:tcW w:w="1190" w:type="dxa"/>
            <w:shd w:val="clear" w:color="auto" w:fill="auto"/>
            <w:noWrap/>
            <w:vAlign w:val="bottom"/>
            <w:hideMark/>
          </w:tcPr>
          <w:p w14:paraId="4D88B3C1"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60.4***</w:t>
            </w:r>
          </w:p>
        </w:tc>
        <w:tc>
          <w:tcPr>
            <w:tcW w:w="1190" w:type="dxa"/>
            <w:shd w:val="clear" w:color="auto" w:fill="auto"/>
            <w:noWrap/>
            <w:vAlign w:val="bottom"/>
          </w:tcPr>
          <w:p w14:paraId="1064DF76"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78.6***</w:t>
            </w:r>
          </w:p>
        </w:tc>
        <w:tc>
          <w:tcPr>
            <w:tcW w:w="1190" w:type="dxa"/>
            <w:tcBorders>
              <w:right w:val="single" w:sz="4" w:space="0" w:color="auto"/>
            </w:tcBorders>
            <w:shd w:val="clear" w:color="auto" w:fill="auto"/>
            <w:noWrap/>
            <w:hideMark/>
          </w:tcPr>
          <w:p w14:paraId="08DD7E5F"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75.1***</w:t>
            </w:r>
          </w:p>
        </w:tc>
        <w:tc>
          <w:tcPr>
            <w:tcW w:w="1190" w:type="dxa"/>
            <w:tcBorders>
              <w:left w:val="single" w:sz="4" w:space="0" w:color="auto"/>
            </w:tcBorders>
            <w:shd w:val="clear" w:color="auto" w:fill="auto"/>
            <w:noWrap/>
            <w:hideMark/>
          </w:tcPr>
          <w:p w14:paraId="3445C772"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21.8</w:t>
            </w:r>
          </w:p>
        </w:tc>
        <w:tc>
          <w:tcPr>
            <w:tcW w:w="1191" w:type="dxa"/>
            <w:shd w:val="clear" w:color="auto" w:fill="auto"/>
            <w:noWrap/>
            <w:hideMark/>
          </w:tcPr>
          <w:p w14:paraId="74013E72"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19.5</w:t>
            </w:r>
          </w:p>
        </w:tc>
      </w:tr>
      <w:tr w:rsidR="00B10C6C" w:rsidRPr="004A792A" w14:paraId="6C5C527A" w14:textId="77777777" w:rsidTr="00FB3081">
        <w:tc>
          <w:tcPr>
            <w:tcW w:w="2552" w:type="dxa"/>
            <w:tcBorders>
              <w:right w:val="single" w:sz="4" w:space="0" w:color="auto"/>
            </w:tcBorders>
            <w:shd w:val="clear" w:color="auto" w:fill="auto"/>
            <w:noWrap/>
            <w:hideMark/>
          </w:tcPr>
          <w:p w14:paraId="2DB370F0" w14:textId="77777777" w:rsidR="00B10C6C" w:rsidRPr="004A792A" w:rsidRDefault="00B10C6C" w:rsidP="00B10C6C">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2 children</w:t>
            </w:r>
          </w:p>
        </w:tc>
        <w:tc>
          <w:tcPr>
            <w:tcW w:w="1190" w:type="dxa"/>
            <w:tcBorders>
              <w:left w:val="single" w:sz="4" w:space="0" w:color="auto"/>
            </w:tcBorders>
            <w:shd w:val="clear" w:color="auto" w:fill="auto"/>
            <w:noWrap/>
            <w:hideMark/>
          </w:tcPr>
          <w:p w14:paraId="5800720A"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47.2*</w:t>
            </w:r>
          </w:p>
        </w:tc>
        <w:tc>
          <w:tcPr>
            <w:tcW w:w="1190" w:type="dxa"/>
            <w:shd w:val="clear" w:color="auto" w:fill="auto"/>
            <w:noWrap/>
          </w:tcPr>
          <w:p w14:paraId="2423D515"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45.9</w:t>
            </w:r>
          </w:p>
        </w:tc>
        <w:tc>
          <w:tcPr>
            <w:tcW w:w="1190" w:type="dxa"/>
            <w:shd w:val="clear" w:color="auto" w:fill="auto"/>
            <w:noWrap/>
            <w:hideMark/>
          </w:tcPr>
          <w:p w14:paraId="0DB24C3E"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49.3*</w:t>
            </w:r>
          </w:p>
        </w:tc>
        <w:tc>
          <w:tcPr>
            <w:tcW w:w="1190" w:type="dxa"/>
            <w:tcBorders>
              <w:right w:val="single" w:sz="4" w:space="0" w:color="auto"/>
            </w:tcBorders>
            <w:shd w:val="clear" w:color="auto" w:fill="auto"/>
            <w:noWrap/>
            <w:hideMark/>
          </w:tcPr>
          <w:p w14:paraId="0C239030"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47.9</w:t>
            </w:r>
          </w:p>
        </w:tc>
        <w:tc>
          <w:tcPr>
            <w:tcW w:w="1191" w:type="dxa"/>
            <w:tcBorders>
              <w:left w:val="single" w:sz="4" w:space="0" w:color="auto"/>
            </w:tcBorders>
            <w:shd w:val="clear" w:color="auto" w:fill="auto"/>
            <w:noWrap/>
            <w:hideMark/>
          </w:tcPr>
          <w:p w14:paraId="4B5F349D"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58.4***</w:t>
            </w:r>
          </w:p>
        </w:tc>
        <w:tc>
          <w:tcPr>
            <w:tcW w:w="1190" w:type="dxa"/>
            <w:shd w:val="clear" w:color="auto" w:fill="auto"/>
            <w:noWrap/>
            <w:vAlign w:val="bottom"/>
            <w:hideMark/>
          </w:tcPr>
          <w:p w14:paraId="1E724733"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55.3***</w:t>
            </w:r>
          </w:p>
        </w:tc>
        <w:tc>
          <w:tcPr>
            <w:tcW w:w="1190" w:type="dxa"/>
            <w:shd w:val="clear" w:color="auto" w:fill="auto"/>
            <w:noWrap/>
            <w:vAlign w:val="bottom"/>
          </w:tcPr>
          <w:p w14:paraId="2122330A"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75.8***</w:t>
            </w:r>
          </w:p>
        </w:tc>
        <w:tc>
          <w:tcPr>
            <w:tcW w:w="1190" w:type="dxa"/>
            <w:tcBorders>
              <w:right w:val="single" w:sz="4" w:space="0" w:color="auto"/>
            </w:tcBorders>
            <w:shd w:val="clear" w:color="auto" w:fill="auto"/>
            <w:noWrap/>
            <w:hideMark/>
          </w:tcPr>
          <w:p w14:paraId="380CD35C"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71.7***</w:t>
            </w:r>
          </w:p>
        </w:tc>
        <w:tc>
          <w:tcPr>
            <w:tcW w:w="1190" w:type="dxa"/>
            <w:tcBorders>
              <w:left w:val="single" w:sz="4" w:space="0" w:color="auto"/>
            </w:tcBorders>
            <w:shd w:val="clear" w:color="auto" w:fill="auto"/>
            <w:noWrap/>
            <w:hideMark/>
          </w:tcPr>
          <w:p w14:paraId="5F154A42"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26.5</w:t>
            </w:r>
          </w:p>
        </w:tc>
        <w:tc>
          <w:tcPr>
            <w:tcW w:w="1191" w:type="dxa"/>
            <w:shd w:val="clear" w:color="auto" w:fill="auto"/>
            <w:noWrap/>
            <w:hideMark/>
          </w:tcPr>
          <w:p w14:paraId="4ECEBE03"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23.9</w:t>
            </w:r>
          </w:p>
        </w:tc>
      </w:tr>
      <w:tr w:rsidR="00B10C6C" w:rsidRPr="004A792A" w14:paraId="1E6585F6" w14:textId="77777777" w:rsidTr="00FB3081">
        <w:tc>
          <w:tcPr>
            <w:tcW w:w="2552" w:type="dxa"/>
            <w:tcBorders>
              <w:bottom w:val="single" w:sz="4" w:space="0" w:color="auto"/>
              <w:right w:val="single" w:sz="4" w:space="0" w:color="auto"/>
            </w:tcBorders>
            <w:shd w:val="clear" w:color="auto" w:fill="auto"/>
            <w:noWrap/>
            <w:hideMark/>
          </w:tcPr>
          <w:p w14:paraId="2CD506E9" w14:textId="77777777" w:rsidR="00B10C6C" w:rsidRPr="004A792A" w:rsidRDefault="00B10C6C" w:rsidP="00B10C6C">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3 and more children</w:t>
            </w:r>
          </w:p>
        </w:tc>
        <w:tc>
          <w:tcPr>
            <w:tcW w:w="1190" w:type="dxa"/>
            <w:tcBorders>
              <w:left w:val="single" w:sz="4" w:space="0" w:color="auto"/>
              <w:bottom w:val="single" w:sz="4" w:space="0" w:color="auto"/>
            </w:tcBorders>
            <w:shd w:val="clear" w:color="auto" w:fill="auto"/>
            <w:noWrap/>
            <w:hideMark/>
          </w:tcPr>
          <w:p w14:paraId="0376E467"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36.1**</w:t>
            </w:r>
          </w:p>
        </w:tc>
        <w:tc>
          <w:tcPr>
            <w:tcW w:w="1190" w:type="dxa"/>
            <w:tcBorders>
              <w:bottom w:val="single" w:sz="4" w:space="0" w:color="auto"/>
            </w:tcBorders>
            <w:shd w:val="clear" w:color="auto" w:fill="auto"/>
            <w:noWrap/>
          </w:tcPr>
          <w:p w14:paraId="0324E909"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cstheme="minorHAnsi"/>
                <w:color w:val="000000"/>
                <w:sz w:val="20"/>
                <w:szCs w:val="20"/>
                <w:lang w:val="en-US"/>
              </w:rPr>
              <w:t>35.3</w:t>
            </w:r>
            <w:r w:rsidRPr="004A792A">
              <w:rPr>
                <w:rFonts w:eastAsia="Times New Roman" w:cstheme="minorHAnsi"/>
                <w:color w:val="000000"/>
                <w:sz w:val="20"/>
                <w:szCs w:val="20"/>
                <w:lang w:val="en-US"/>
              </w:rPr>
              <w:t>***</w:t>
            </w:r>
          </w:p>
        </w:tc>
        <w:tc>
          <w:tcPr>
            <w:tcW w:w="1190" w:type="dxa"/>
            <w:tcBorders>
              <w:bottom w:val="single" w:sz="4" w:space="0" w:color="auto"/>
            </w:tcBorders>
            <w:shd w:val="clear" w:color="auto" w:fill="auto"/>
            <w:noWrap/>
            <w:hideMark/>
          </w:tcPr>
          <w:p w14:paraId="3A0CB8CA"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37.0**</w:t>
            </w:r>
          </w:p>
        </w:tc>
        <w:tc>
          <w:tcPr>
            <w:tcW w:w="1190" w:type="dxa"/>
            <w:tcBorders>
              <w:bottom w:val="single" w:sz="4" w:space="0" w:color="auto"/>
              <w:right w:val="single" w:sz="4" w:space="0" w:color="auto"/>
            </w:tcBorders>
            <w:shd w:val="clear" w:color="auto" w:fill="auto"/>
            <w:noWrap/>
            <w:hideMark/>
          </w:tcPr>
          <w:p w14:paraId="1519F1E8"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36.2***</w:t>
            </w:r>
          </w:p>
        </w:tc>
        <w:tc>
          <w:tcPr>
            <w:tcW w:w="1191" w:type="dxa"/>
            <w:tcBorders>
              <w:left w:val="single" w:sz="4" w:space="0" w:color="auto"/>
              <w:bottom w:val="single" w:sz="4" w:space="0" w:color="auto"/>
            </w:tcBorders>
            <w:shd w:val="clear" w:color="auto" w:fill="auto"/>
            <w:noWrap/>
            <w:hideMark/>
          </w:tcPr>
          <w:p w14:paraId="1F621791"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62.8**</w:t>
            </w:r>
          </w:p>
        </w:tc>
        <w:tc>
          <w:tcPr>
            <w:tcW w:w="1190" w:type="dxa"/>
            <w:tcBorders>
              <w:bottom w:val="single" w:sz="4" w:space="0" w:color="auto"/>
            </w:tcBorders>
            <w:shd w:val="clear" w:color="auto" w:fill="auto"/>
            <w:noWrap/>
            <w:vAlign w:val="bottom"/>
            <w:hideMark/>
          </w:tcPr>
          <w:p w14:paraId="112ED7B1"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58.6***</w:t>
            </w:r>
          </w:p>
        </w:tc>
        <w:tc>
          <w:tcPr>
            <w:tcW w:w="1190" w:type="dxa"/>
            <w:tcBorders>
              <w:bottom w:val="single" w:sz="4" w:space="0" w:color="auto"/>
            </w:tcBorders>
            <w:shd w:val="clear" w:color="auto" w:fill="auto"/>
            <w:noWrap/>
            <w:vAlign w:val="bottom"/>
            <w:hideMark/>
          </w:tcPr>
          <w:p w14:paraId="4D1555C0"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78.0**</w:t>
            </w:r>
          </w:p>
        </w:tc>
        <w:tc>
          <w:tcPr>
            <w:tcW w:w="1190" w:type="dxa"/>
            <w:tcBorders>
              <w:bottom w:val="single" w:sz="4" w:space="0" w:color="auto"/>
              <w:right w:val="single" w:sz="4" w:space="0" w:color="auto"/>
            </w:tcBorders>
            <w:shd w:val="clear" w:color="auto" w:fill="auto"/>
            <w:noWrap/>
            <w:hideMark/>
          </w:tcPr>
          <w:p w14:paraId="46878649"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72.7***</w:t>
            </w:r>
          </w:p>
        </w:tc>
        <w:tc>
          <w:tcPr>
            <w:tcW w:w="1190" w:type="dxa"/>
            <w:tcBorders>
              <w:left w:val="single" w:sz="4" w:space="0" w:color="auto"/>
              <w:bottom w:val="single" w:sz="4" w:space="0" w:color="auto"/>
            </w:tcBorders>
            <w:shd w:val="clear" w:color="auto" w:fill="auto"/>
            <w:noWrap/>
            <w:hideMark/>
          </w:tcPr>
          <w:p w14:paraId="583768B3"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41.0</w:t>
            </w:r>
          </w:p>
        </w:tc>
        <w:tc>
          <w:tcPr>
            <w:tcW w:w="1191" w:type="dxa"/>
            <w:tcBorders>
              <w:bottom w:val="single" w:sz="4" w:space="0" w:color="auto"/>
            </w:tcBorders>
            <w:shd w:val="clear" w:color="auto" w:fill="auto"/>
            <w:noWrap/>
            <w:hideMark/>
          </w:tcPr>
          <w:p w14:paraId="60B86E1F"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36.5</w:t>
            </w:r>
          </w:p>
        </w:tc>
      </w:tr>
      <w:tr w:rsidR="00B10C6C" w:rsidRPr="004A792A" w14:paraId="6C9903EE" w14:textId="77777777" w:rsidTr="00FB3081">
        <w:tc>
          <w:tcPr>
            <w:tcW w:w="2552" w:type="dxa"/>
            <w:tcBorders>
              <w:top w:val="single" w:sz="4" w:space="0" w:color="auto"/>
              <w:bottom w:val="single" w:sz="4" w:space="0" w:color="auto"/>
              <w:right w:val="single" w:sz="4" w:space="0" w:color="auto"/>
            </w:tcBorders>
            <w:shd w:val="clear" w:color="auto" w:fill="auto"/>
            <w:noWrap/>
            <w:hideMark/>
          </w:tcPr>
          <w:p w14:paraId="37D0FB05" w14:textId="77777777" w:rsidR="00B10C6C" w:rsidRPr="004A792A" w:rsidRDefault="00B10C6C" w:rsidP="00B10C6C">
            <w:pPr>
              <w:spacing w:before="0"/>
              <w:rPr>
                <w:rFonts w:eastAsia="Times New Roman" w:cstheme="minorHAnsi"/>
                <w:b/>
                <w:color w:val="000000"/>
                <w:sz w:val="20"/>
                <w:szCs w:val="20"/>
                <w:lang w:val="en-US"/>
              </w:rPr>
            </w:pPr>
            <w:r w:rsidRPr="004A792A">
              <w:rPr>
                <w:rFonts w:eastAsia="Times New Roman" w:cstheme="minorHAnsi"/>
                <w:b/>
                <w:color w:val="000000"/>
                <w:sz w:val="20"/>
                <w:szCs w:val="20"/>
                <w:lang w:val="en-US"/>
              </w:rPr>
              <w:t>Total</w:t>
            </w:r>
          </w:p>
        </w:tc>
        <w:tc>
          <w:tcPr>
            <w:tcW w:w="1190" w:type="dxa"/>
            <w:tcBorders>
              <w:top w:val="single" w:sz="4" w:space="0" w:color="auto"/>
              <w:left w:val="single" w:sz="4" w:space="0" w:color="auto"/>
              <w:bottom w:val="single" w:sz="4" w:space="0" w:color="auto"/>
            </w:tcBorders>
            <w:shd w:val="clear" w:color="auto" w:fill="auto"/>
            <w:noWrap/>
            <w:hideMark/>
          </w:tcPr>
          <w:p w14:paraId="673AC1AF"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45.7</w:t>
            </w:r>
          </w:p>
        </w:tc>
        <w:tc>
          <w:tcPr>
            <w:tcW w:w="1190" w:type="dxa"/>
            <w:tcBorders>
              <w:top w:val="single" w:sz="4" w:space="0" w:color="auto"/>
              <w:bottom w:val="single" w:sz="4" w:space="0" w:color="auto"/>
            </w:tcBorders>
            <w:shd w:val="clear" w:color="auto" w:fill="auto"/>
            <w:noWrap/>
          </w:tcPr>
          <w:p w14:paraId="542552BB"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cstheme="minorHAnsi"/>
                <w:color w:val="000000"/>
                <w:sz w:val="20"/>
                <w:szCs w:val="20"/>
                <w:lang w:val="en-US"/>
              </w:rPr>
              <w:t>44.3</w:t>
            </w:r>
          </w:p>
        </w:tc>
        <w:tc>
          <w:tcPr>
            <w:tcW w:w="1190" w:type="dxa"/>
            <w:tcBorders>
              <w:top w:val="single" w:sz="4" w:space="0" w:color="auto"/>
              <w:bottom w:val="single" w:sz="4" w:space="0" w:color="auto"/>
            </w:tcBorders>
            <w:shd w:val="clear" w:color="auto" w:fill="auto"/>
            <w:noWrap/>
            <w:hideMark/>
          </w:tcPr>
          <w:p w14:paraId="36E3A8F3"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50.1</w:t>
            </w:r>
          </w:p>
        </w:tc>
        <w:tc>
          <w:tcPr>
            <w:tcW w:w="1190" w:type="dxa"/>
            <w:tcBorders>
              <w:top w:val="single" w:sz="4" w:space="0" w:color="auto"/>
              <w:bottom w:val="single" w:sz="4" w:space="0" w:color="auto"/>
              <w:right w:val="single" w:sz="4" w:space="0" w:color="auto"/>
            </w:tcBorders>
            <w:shd w:val="clear" w:color="auto" w:fill="auto"/>
            <w:noWrap/>
            <w:hideMark/>
          </w:tcPr>
          <w:p w14:paraId="56D54406"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48.6</w:t>
            </w:r>
          </w:p>
        </w:tc>
        <w:tc>
          <w:tcPr>
            <w:tcW w:w="1191" w:type="dxa"/>
            <w:tcBorders>
              <w:top w:val="single" w:sz="4" w:space="0" w:color="auto"/>
              <w:left w:val="single" w:sz="4" w:space="0" w:color="auto"/>
              <w:bottom w:val="single" w:sz="4" w:space="0" w:color="auto"/>
            </w:tcBorders>
            <w:shd w:val="clear" w:color="auto" w:fill="auto"/>
            <w:noWrap/>
            <w:hideMark/>
          </w:tcPr>
          <w:p w14:paraId="4E9F7A89"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48.8</w:t>
            </w:r>
          </w:p>
        </w:tc>
        <w:tc>
          <w:tcPr>
            <w:tcW w:w="1190" w:type="dxa"/>
            <w:tcBorders>
              <w:top w:val="single" w:sz="4" w:space="0" w:color="auto"/>
              <w:bottom w:val="single" w:sz="4" w:space="0" w:color="auto"/>
            </w:tcBorders>
            <w:shd w:val="clear" w:color="auto" w:fill="auto"/>
            <w:noWrap/>
            <w:vAlign w:val="bottom"/>
            <w:hideMark/>
          </w:tcPr>
          <w:p w14:paraId="572CCA3C"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46.0</w:t>
            </w:r>
          </w:p>
        </w:tc>
        <w:tc>
          <w:tcPr>
            <w:tcW w:w="1190" w:type="dxa"/>
            <w:tcBorders>
              <w:top w:val="single" w:sz="4" w:space="0" w:color="auto"/>
              <w:bottom w:val="single" w:sz="4" w:space="0" w:color="auto"/>
            </w:tcBorders>
            <w:shd w:val="clear" w:color="auto" w:fill="auto"/>
            <w:noWrap/>
            <w:vAlign w:val="bottom"/>
            <w:hideMark/>
          </w:tcPr>
          <w:p w14:paraId="6C575249"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59.0</w:t>
            </w:r>
          </w:p>
        </w:tc>
        <w:tc>
          <w:tcPr>
            <w:tcW w:w="1190" w:type="dxa"/>
            <w:tcBorders>
              <w:top w:val="single" w:sz="4" w:space="0" w:color="auto"/>
              <w:bottom w:val="single" w:sz="4" w:space="0" w:color="auto"/>
              <w:right w:val="single" w:sz="4" w:space="0" w:color="auto"/>
            </w:tcBorders>
            <w:shd w:val="clear" w:color="auto" w:fill="auto"/>
            <w:noWrap/>
            <w:hideMark/>
          </w:tcPr>
          <w:p w14:paraId="6CFCA956"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55.7</w:t>
            </w:r>
          </w:p>
        </w:tc>
        <w:tc>
          <w:tcPr>
            <w:tcW w:w="1190" w:type="dxa"/>
            <w:tcBorders>
              <w:top w:val="single" w:sz="4" w:space="0" w:color="auto"/>
              <w:left w:val="single" w:sz="4" w:space="0" w:color="auto"/>
              <w:bottom w:val="single" w:sz="4" w:space="0" w:color="auto"/>
            </w:tcBorders>
            <w:shd w:val="clear" w:color="auto" w:fill="auto"/>
            <w:noWrap/>
            <w:hideMark/>
          </w:tcPr>
          <w:p w14:paraId="33F93AF5"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9.0</w:t>
            </w:r>
          </w:p>
        </w:tc>
        <w:tc>
          <w:tcPr>
            <w:tcW w:w="1191" w:type="dxa"/>
            <w:tcBorders>
              <w:top w:val="single" w:sz="4" w:space="0" w:color="auto"/>
              <w:bottom w:val="single" w:sz="4" w:space="0" w:color="auto"/>
            </w:tcBorders>
            <w:shd w:val="clear" w:color="auto" w:fill="auto"/>
            <w:noWrap/>
            <w:hideMark/>
          </w:tcPr>
          <w:p w14:paraId="7B57A670" w14:textId="77777777" w:rsidR="00B10C6C" w:rsidRPr="004A792A" w:rsidRDefault="00B10C6C" w:rsidP="00B10C6C">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7.1</w:t>
            </w:r>
          </w:p>
        </w:tc>
      </w:tr>
    </w:tbl>
    <w:p w14:paraId="4538BB5F" w14:textId="77777777" w:rsidR="00C62A9B" w:rsidRPr="004A792A" w:rsidRDefault="00405E16" w:rsidP="00C62A9B">
      <w:pPr>
        <w:rPr>
          <w:i/>
          <w:sz w:val="20"/>
          <w:szCs w:val="20"/>
          <w:lang w:val="en-US"/>
        </w:rPr>
      </w:pPr>
      <w:r w:rsidRPr="004A792A">
        <w:rPr>
          <w:i/>
          <w:sz w:val="20"/>
          <w:szCs w:val="20"/>
          <w:lang w:val="en-US"/>
        </w:rPr>
        <w:t>Note: *** (**/*) denotes statistically significant difference between men/women with 1, 2, 3 and more children compared to those with no children under 7 or 15 years</w:t>
      </w:r>
      <w:r w:rsidR="00035632" w:rsidRPr="004A792A">
        <w:rPr>
          <w:i/>
          <w:sz w:val="20"/>
          <w:szCs w:val="20"/>
          <w:lang w:val="en-US"/>
        </w:rPr>
        <w:t xml:space="preserve"> at 1%</w:t>
      </w:r>
      <w:r w:rsidR="008B5B45" w:rsidRPr="004A792A">
        <w:rPr>
          <w:i/>
          <w:sz w:val="20"/>
          <w:szCs w:val="20"/>
          <w:lang w:val="en-US"/>
        </w:rPr>
        <w:t xml:space="preserve"> (5%/10%)</w:t>
      </w:r>
      <w:r w:rsidRPr="004A792A">
        <w:rPr>
          <w:i/>
          <w:sz w:val="20"/>
          <w:szCs w:val="20"/>
          <w:lang w:val="en-US"/>
        </w:rPr>
        <w:t>.</w:t>
      </w:r>
    </w:p>
    <w:p w14:paraId="2C78F35F" w14:textId="77777777" w:rsidR="00405E16" w:rsidRPr="004A792A" w:rsidRDefault="00405E16" w:rsidP="00C62A9B">
      <w:pPr>
        <w:rPr>
          <w:i/>
          <w:sz w:val="20"/>
          <w:szCs w:val="20"/>
          <w:lang w:val="en-US"/>
        </w:rPr>
      </w:pPr>
    </w:p>
    <w:p w14:paraId="371D3E68" w14:textId="77777777" w:rsidR="00A44723" w:rsidRPr="004A792A" w:rsidRDefault="00A44723" w:rsidP="00E270FB">
      <w:pPr>
        <w:rPr>
          <w:lang w:val="en-US"/>
        </w:rPr>
      </w:pPr>
    </w:p>
    <w:p w14:paraId="77EFECC7" w14:textId="77777777" w:rsidR="00B812D3" w:rsidRPr="004A792A" w:rsidRDefault="00B812D3" w:rsidP="00E270FB">
      <w:pPr>
        <w:rPr>
          <w:lang w:val="en-US"/>
        </w:rPr>
        <w:sectPr w:rsidR="00B812D3" w:rsidRPr="004A792A" w:rsidSect="00593F44">
          <w:pgSz w:w="16834" w:h="11909" w:orient="landscape" w:code="9"/>
          <w:pgMar w:top="1440" w:right="1440" w:bottom="1440" w:left="1440" w:header="720" w:footer="720" w:gutter="0"/>
          <w:cols w:space="720"/>
          <w:docGrid w:linePitch="360"/>
        </w:sectPr>
      </w:pPr>
    </w:p>
    <w:p w14:paraId="4A5B75B2" w14:textId="5265AA15" w:rsidR="00B812D3" w:rsidRPr="004A792A" w:rsidRDefault="00474FA5" w:rsidP="00A44723">
      <w:pPr>
        <w:pStyle w:val="ad"/>
        <w:spacing w:before="120"/>
        <w:jc w:val="left"/>
        <w:rPr>
          <w:lang w:val="en-US"/>
        </w:rPr>
      </w:pPr>
      <w:bookmarkStart w:id="161" w:name="_Ref519253860"/>
      <w:bookmarkStart w:id="162" w:name="_Toc533185139"/>
      <w:r>
        <w:lastRenderedPageBreak/>
        <w:t>Table A-</w:t>
      </w:r>
      <w:r>
        <w:fldChar w:fldCharType="begin"/>
      </w:r>
      <w:r>
        <w:instrText xml:space="preserve"> SEQ Table_A- \* ARABIC </w:instrText>
      </w:r>
      <w:r>
        <w:fldChar w:fldCharType="separate"/>
      </w:r>
      <w:r>
        <w:rPr>
          <w:noProof/>
        </w:rPr>
        <w:t>10</w:t>
      </w:r>
      <w:r>
        <w:fldChar w:fldCharType="end"/>
      </w:r>
      <w:r w:rsidRPr="004E1089">
        <w:t xml:space="preserve">: </w:t>
      </w:r>
      <w:bookmarkEnd w:id="161"/>
      <w:r w:rsidR="00B812D3" w:rsidRPr="00474FA5">
        <w:rPr>
          <w:lang w:val="en-US"/>
        </w:rPr>
        <w:t xml:space="preserve">Determinants of labor force participation of women and men (15-64 years): </w:t>
      </w:r>
      <w:proofErr w:type="spellStart"/>
      <w:r w:rsidR="00B812D3" w:rsidRPr="00474FA5">
        <w:rPr>
          <w:lang w:val="en-US"/>
        </w:rPr>
        <w:t>probit</w:t>
      </w:r>
      <w:proofErr w:type="spellEnd"/>
      <w:r w:rsidR="00B812D3" w:rsidRPr="00474FA5">
        <w:rPr>
          <w:lang w:val="en-US"/>
        </w:rPr>
        <w:t xml:space="preserve"> model, </w:t>
      </w:r>
      <w:r w:rsidR="00C14A4A" w:rsidRPr="00474FA5">
        <w:rPr>
          <w:lang w:val="en-US"/>
        </w:rPr>
        <w:t>2009-</w:t>
      </w:r>
      <w:r w:rsidR="00B812D3" w:rsidRPr="00474FA5">
        <w:rPr>
          <w:lang w:val="en-US"/>
        </w:rPr>
        <w:t>2016</w:t>
      </w:r>
      <w:bookmarkEnd w:id="162"/>
    </w:p>
    <w:tbl>
      <w:tblPr>
        <w:tblW w:w="11934" w:type="dxa"/>
        <w:tblLayout w:type="fixed"/>
        <w:tblLook w:val="04A0" w:firstRow="1" w:lastRow="0" w:firstColumn="1" w:lastColumn="0" w:noHBand="0" w:noVBand="1"/>
      </w:tblPr>
      <w:tblGrid>
        <w:gridCol w:w="2977"/>
        <w:gridCol w:w="1119"/>
        <w:gridCol w:w="1120"/>
        <w:gridCol w:w="1120"/>
        <w:gridCol w:w="1119"/>
        <w:gridCol w:w="1119"/>
        <w:gridCol w:w="1120"/>
        <w:gridCol w:w="1120"/>
        <w:gridCol w:w="1120"/>
      </w:tblGrid>
      <w:tr w:rsidR="00514EB1" w:rsidRPr="004A792A" w14:paraId="252BA702" w14:textId="77777777" w:rsidTr="00567CCA">
        <w:tc>
          <w:tcPr>
            <w:tcW w:w="2977" w:type="dxa"/>
            <w:tcBorders>
              <w:top w:val="single" w:sz="4" w:space="0" w:color="auto"/>
              <w:left w:val="nil"/>
              <w:right w:val="single" w:sz="4" w:space="0" w:color="auto"/>
            </w:tcBorders>
            <w:shd w:val="clear" w:color="auto" w:fill="auto"/>
            <w:noWrap/>
            <w:vAlign w:val="bottom"/>
          </w:tcPr>
          <w:p w14:paraId="199EDACE" w14:textId="77777777" w:rsidR="00514EB1" w:rsidRPr="004A792A" w:rsidRDefault="00514EB1" w:rsidP="008C7CCC">
            <w:pPr>
              <w:spacing w:before="0"/>
              <w:contextualSpacing/>
              <w:rPr>
                <w:rFonts w:eastAsia="Times New Roman" w:cstheme="minorHAnsi"/>
                <w:sz w:val="20"/>
                <w:szCs w:val="20"/>
                <w:lang w:val="en-US"/>
              </w:rPr>
            </w:pPr>
          </w:p>
        </w:tc>
        <w:tc>
          <w:tcPr>
            <w:tcW w:w="4478" w:type="dxa"/>
            <w:gridSpan w:val="4"/>
            <w:tcBorders>
              <w:top w:val="single" w:sz="4" w:space="0" w:color="auto"/>
              <w:left w:val="single" w:sz="4" w:space="0" w:color="auto"/>
              <w:right w:val="single" w:sz="4" w:space="0" w:color="auto"/>
            </w:tcBorders>
            <w:shd w:val="clear" w:color="auto" w:fill="auto"/>
            <w:noWrap/>
            <w:vAlign w:val="bottom"/>
          </w:tcPr>
          <w:p w14:paraId="75813A57" w14:textId="294F4807" w:rsidR="00514EB1" w:rsidRPr="00514EB1" w:rsidRDefault="00514EB1" w:rsidP="00D861CA">
            <w:pPr>
              <w:spacing w:before="0"/>
              <w:contextualSpacing/>
              <w:jc w:val="center"/>
              <w:rPr>
                <w:rFonts w:eastAsia="Times New Roman" w:cstheme="minorHAnsi"/>
                <w:b/>
                <w:sz w:val="20"/>
                <w:szCs w:val="20"/>
                <w:lang w:val="en-US"/>
              </w:rPr>
            </w:pPr>
            <w:r>
              <w:rPr>
                <w:rFonts w:eastAsia="Times New Roman" w:cstheme="minorHAnsi"/>
                <w:b/>
                <w:sz w:val="20"/>
                <w:szCs w:val="20"/>
                <w:lang w:val="en-US"/>
              </w:rPr>
              <w:t>Women</w:t>
            </w:r>
          </w:p>
        </w:tc>
        <w:tc>
          <w:tcPr>
            <w:tcW w:w="4479" w:type="dxa"/>
            <w:gridSpan w:val="4"/>
            <w:tcBorders>
              <w:top w:val="single" w:sz="4" w:space="0" w:color="auto"/>
              <w:left w:val="single" w:sz="4" w:space="0" w:color="auto"/>
              <w:right w:val="nil"/>
            </w:tcBorders>
            <w:shd w:val="clear" w:color="auto" w:fill="auto"/>
            <w:noWrap/>
            <w:vAlign w:val="bottom"/>
          </w:tcPr>
          <w:p w14:paraId="31FBD51E" w14:textId="6F916905" w:rsidR="00514EB1" w:rsidRPr="004A792A" w:rsidRDefault="00514EB1" w:rsidP="008C7CCC">
            <w:pPr>
              <w:spacing w:before="0"/>
              <w:contextualSpacing/>
              <w:jc w:val="center"/>
              <w:rPr>
                <w:rFonts w:eastAsia="Times New Roman" w:cstheme="minorHAnsi"/>
                <w:b/>
                <w:sz w:val="20"/>
                <w:szCs w:val="20"/>
                <w:lang w:val="en-US"/>
              </w:rPr>
            </w:pPr>
            <w:r>
              <w:rPr>
                <w:rFonts w:eastAsia="Times New Roman" w:cstheme="minorHAnsi"/>
                <w:b/>
                <w:sz w:val="20"/>
                <w:szCs w:val="20"/>
                <w:lang w:val="en-US"/>
              </w:rPr>
              <w:t>Men</w:t>
            </w:r>
          </w:p>
        </w:tc>
      </w:tr>
      <w:tr w:rsidR="00514EB1" w:rsidRPr="004A792A" w14:paraId="000FD54E" w14:textId="2275FF16" w:rsidTr="00514EB1">
        <w:tc>
          <w:tcPr>
            <w:tcW w:w="2977" w:type="dxa"/>
            <w:tcBorders>
              <w:left w:val="nil"/>
              <w:bottom w:val="single" w:sz="4" w:space="0" w:color="auto"/>
              <w:right w:val="single" w:sz="4" w:space="0" w:color="auto"/>
            </w:tcBorders>
            <w:shd w:val="clear" w:color="auto" w:fill="auto"/>
            <w:noWrap/>
            <w:vAlign w:val="bottom"/>
            <w:hideMark/>
          </w:tcPr>
          <w:p w14:paraId="6DDDA28B"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 </w:t>
            </w:r>
          </w:p>
        </w:tc>
        <w:tc>
          <w:tcPr>
            <w:tcW w:w="1119" w:type="dxa"/>
            <w:tcBorders>
              <w:left w:val="single" w:sz="4" w:space="0" w:color="auto"/>
              <w:bottom w:val="single" w:sz="4" w:space="0" w:color="auto"/>
              <w:right w:val="nil"/>
            </w:tcBorders>
            <w:shd w:val="clear" w:color="auto" w:fill="auto"/>
            <w:noWrap/>
            <w:vAlign w:val="bottom"/>
            <w:hideMark/>
          </w:tcPr>
          <w:p w14:paraId="6AB1AF85" w14:textId="56415764"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(1</w:t>
            </w:r>
            <w:r>
              <w:rPr>
                <w:rFonts w:eastAsia="Times New Roman" w:cstheme="minorHAnsi"/>
                <w:b/>
                <w:sz w:val="20"/>
                <w:szCs w:val="20"/>
                <w:lang w:val="en-US"/>
              </w:rPr>
              <w:t>a</w:t>
            </w:r>
            <w:r w:rsidRPr="004A792A">
              <w:rPr>
                <w:rFonts w:eastAsia="Times New Roman" w:cstheme="minorHAnsi"/>
                <w:b/>
                <w:sz w:val="20"/>
                <w:szCs w:val="20"/>
                <w:lang w:val="en-US"/>
              </w:rPr>
              <w:t>)</w:t>
            </w:r>
          </w:p>
        </w:tc>
        <w:tc>
          <w:tcPr>
            <w:tcW w:w="1120" w:type="dxa"/>
            <w:tcBorders>
              <w:left w:val="nil"/>
              <w:bottom w:val="single" w:sz="4" w:space="0" w:color="auto"/>
              <w:right w:val="nil"/>
            </w:tcBorders>
          </w:tcPr>
          <w:p w14:paraId="5D280BDA" w14:textId="23C26CAC"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(1</w:t>
            </w:r>
            <w:r>
              <w:rPr>
                <w:rFonts w:eastAsia="Times New Roman" w:cstheme="minorHAnsi"/>
                <w:b/>
                <w:sz w:val="20"/>
                <w:szCs w:val="20"/>
                <w:lang w:val="en-US"/>
              </w:rPr>
              <w:t>b</w:t>
            </w:r>
            <w:r w:rsidRPr="004A792A">
              <w:rPr>
                <w:rFonts w:eastAsia="Times New Roman" w:cstheme="minorHAnsi"/>
                <w:b/>
                <w:sz w:val="20"/>
                <w:szCs w:val="20"/>
                <w:lang w:val="en-US"/>
              </w:rPr>
              <w:t>)</w:t>
            </w:r>
          </w:p>
        </w:tc>
        <w:tc>
          <w:tcPr>
            <w:tcW w:w="1120" w:type="dxa"/>
            <w:tcBorders>
              <w:left w:val="nil"/>
              <w:bottom w:val="single" w:sz="4" w:space="0" w:color="auto"/>
            </w:tcBorders>
            <w:shd w:val="clear" w:color="auto" w:fill="auto"/>
            <w:noWrap/>
            <w:vAlign w:val="bottom"/>
            <w:hideMark/>
          </w:tcPr>
          <w:p w14:paraId="3DA7796D" w14:textId="74CFD80D"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(2</w:t>
            </w:r>
            <w:r>
              <w:rPr>
                <w:rFonts w:eastAsia="Times New Roman" w:cstheme="minorHAnsi"/>
                <w:b/>
                <w:sz w:val="20"/>
                <w:szCs w:val="20"/>
                <w:lang w:val="en-US"/>
              </w:rPr>
              <w:t>a</w:t>
            </w:r>
            <w:r w:rsidRPr="004A792A">
              <w:rPr>
                <w:rFonts w:eastAsia="Times New Roman" w:cstheme="minorHAnsi"/>
                <w:b/>
                <w:sz w:val="20"/>
                <w:szCs w:val="20"/>
                <w:lang w:val="en-US"/>
              </w:rPr>
              <w:t>)</w:t>
            </w:r>
          </w:p>
        </w:tc>
        <w:tc>
          <w:tcPr>
            <w:tcW w:w="1119" w:type="dxa"/>
            <w:tcBorders>
              <w:bottom w:val="single" w:sz="4" w:space="0" w:color="auto"/>
              <w:right w:val="single" w:sz="4" w:space="0" w:color="auto"/>
            </w:tcBorders>
          </w:tcPr>
          <w:p w14:paraId="12BA6278" w14:textId="5F894C61"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(2</w:t>
            </w:r>
            <w:r>
              <w:rPr>
                <w:rFonts w:eastAsia="Times New Roman" w:cstheme="minorHAnsi"/>
                <w:b/>
                <w:sz w:val="20"/>
                <w:szCs w:val="20"/>
                <w:lang w:val="en-US"/>
              </w:rPr>
              <w:t>b</w:t>
            </w:r>
            <w:r w:rsidRPr="004A792A">
              <w:rPr>
                <w:rFonts w:eastAsia="Times New Roman" w:cstheme="minorHAnsi"/>
                <w:b/>
                <w:sz w:val="20"/>
                <w:szCs w:val="20"/>
                <w:lang w:val="en-US"/>
              </w:rPr>
              <w:t>)</w:t>
            </w:r>
          </w:p>
        </w:tc>
        <w:tc>
          <w:tcPr>
            <w:tcW w:w="1119" w:type="dxa"/>
            <w:tcBorders>
              <w:left w:val="single" w:sz="4" w:space="0" w:color="auto"/>
              <w:bottom w:val="single" w:sz="4" w:space="0" w:color="auto"/>
              <w:right w:val="nil"/>
            </w:tcBorders>
            <w:shd w:val="clear" w:color="auto" w:fill="auto"/>
            <w:noWrap/>
            <w:vAlign w:val="bottom"/>
            <w:hideMark/>
          </w:tcPr>
          <w:p w14:paraId="5CEA2AF4" w14:textId="11E2CC15"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(1</w:t>
            </w:r>
            <w:r>
              <w:rPr>
                <w:rFonts w:eastAsia="Times New Roman" w:cstheme="minorHAnsi"/>
                <w:b/>
                <w:sz w:val="20"/>
                <w:szCs w:val="20"/>
                <w:lang w:val="en-US"/>
              </w:rPr>
              <w:t>a</w:t>
            </w:r>
            <w:r w:rsidRPr="004A792A">
              <w:rPr>
                <w:rFonts w:eastAsia="Times New Roman" w:cstheme="minorHAnsi"/>
                <w:b/>
                <w:sz w:val="20"/>
                <w:szCs w:val="20"/>
                <w:lang w:val="en-US"/>
              </w:rPr>
              <w:t>)</w:t>
            </w:r>
          </w:p>
        </w:tc>
        <w:tc>
          <w:tcPr>
            <w:tcW w:w="1120" w:type="dxa"/>
            <w:tcBorders>
              <w:left w:val="nil"/>
              <w:bottom w:val="single" w:sz="4" w:space="0" w:color="auto"/>
              <w:right w:val="nil"/>
            </w:tcBorders>
          </w:tcPr>
          <w:p w14:paraId="5CCE45FB" w14:textId="44BC00A5"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(1</w:t>
            </w:r>
            <w:r>
              <w:rPr>
                <w:rFonts w:eastAsia="Times New Roman" w:cstheme="minorHAnsi"/>
                <w:b/>
                <w:sz w:val="20"/>
                <w:szCs w:val="20"/>
                <w:lang w:val="en-US"/>
              </w:rPr>
              <w:t>b</w:t>
            </w:r>
            <w:r w:rsidRPr="004A792A">
              <w:rPr>
                <w:rFonts w:eastAsia="Times New Roman" w:cstheme="minorHAnsi"/>
                <w:b/>
                <w:sz w:val="20"/>
                <w:szCs w:val="20"/>
                <w:lang w:val="en-US"/>
              </w:rPr>
              <w:t>)</w:t>
            </w:r>
          </w:p>
        </w:tc>
        <w:tc>
          <w:tcPr>
            <w:tcW w:w="1120" w:type="dxa"/>
            <w:tcBorders>
              <w:left w:val="nil"/>
              <w:bottom w:val="single" w:sz="4" w:space="0" w:color="auto"/>
              <w:right w:val="nil"/>
            </w:tcBorders>
            <w:shd w:val="clear" w:color="auto" w:fill="auto"/>
            <w:noWrap/>
            <w:vAlign w:val="bottom"/>
            <w:hideMark/>
          </w:tcPr>
          <w:p w14:paraId="1E7EC31C" w14:textId="4DDDA13C"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(2</w:t>
            </w:r>
            <w:r>
              <w:rPr>
                <w:rFonts w:eastAsia="Times New Roman" w:cstheme="minorHAnsi"/>
                <w:b/>
                <w:sz w:val="20"/>
                <w:szCs w:val="20"/>
                <w:lang w:val="en-US"/>
              </w:rPr>
              <w:t>a</w:t>
            </w:r>
            <w:r w:rsidRPr="004A792A">
              <w:rPr>
                <w:rFonts w:eastAsia="Times New Roman" w:cstheme="minorHAnsi"/>
                <w:b/>
                <w:sz w:val="20"/>
                <w:szCs w:val="20"/>
                <w:lang w:val="en-US"/>
              </w:rPr>
              <w:t>)</w:t>
            </w:r>
          </w:p>
        </w:tc>
        <w:tc>
          <w:tcPr>
            <w:tcW w:w="1120" w:type="dxa"/>
            <w:tcBorders>
              <w:left w:val="nil"/>
              <w:bottom w:val="single" w:sz="4" w:space="0" w:color="auto"/>
              <w:right w:val="nil"/>
            </w:tcBorders>
          </w:tcPr>
          <w:p w14:paraId="23C7B7AD" w14:textId="4A7F5C6E" w:rsidR="00514EB1" w:rsidRPr="004A792A" w:rsidRDefault="00514EB1" w:rsidP="00514EB1">
            <w:pPr>
              <w:spacing w:before="0"/>
              <w:contextualSpacing/>
              <w:jc w:val="center"/>
              <w:rPr>
                <w:rFonts w:eastAsia="Times New Roman" w:cstheme="minorHAnsi"/>
                <w:b/>
                <w:sz w:val="20"/>
                <w:szCs w:val="20"/>
                <w:lang w:val="en-US"/>
              </w:rPr>
            </w:pPr>
            <w:r w:rsidRPr="004A792A">
              <w:rPr>
                <w:rFonts w:eastAsia="Times New Roman" w:cstheme="minorHAnsi"/>
                <w:b/>
                <w:sz w:val="20"/>
                <w:szCs w:val="20"/>
                <w:lang w:val="en-US"/>
              </w:rPr>
              <w:t>(2</w:t>
            </w:r>
            <w:r>
              <w:rPr>
                <w:rFonts w:eastAsia="Times New Roman" w:cstheme="minorHAnsi"/>
                <w:b/>
                <w:sz w:val="20"/>
                <w:szCs w:val="20"/>
                <w:lang w:val="en-US"/>
              </w:rPr>
              <w:t>b</w:t>
            </w:r>
            <w:r w:rsidRPr="004A792A">
              <w:rPr>
                <w:rFonts w:eastAsia="Times New Roman" w:cstheme="minorHAnsi"/>
                <w:b/>
                <w:sz w:val="20"/>
                <w:szCs w:val="20"/>
                <w:lang w:val="en-US"/>
              </w:rPr>
              <w:t>)</w:t>
            </w:r>
          </w:p>
        </w:tc>
      </w:tr>
      <w:tr w:rsidR="00C4055D" w:rsidRPr="004A792A" w14:paraId="4D65EC95" w14:textId="3FDE22AB" w:rsidTr="00C4055D">
        <w:tc>
          <w:tcPr>
            <w:tcW w:w="2977" w:type="dxa"/>
            <w:tcBorders>
              <w:top w:val="single" w:sz="4" w:space="0" w:color="auto"/>
              <w:left w:val="nil"/>
              <w:right w:val="single" w:sz="4" w:space="0" w:color="auto"/>
            </w:tcBorders>
            <w:shd w:val="clear" w:color="auto" w:fill="auto"/>
            <w:noWrap/>
            <w:vAlign w:val="bottom"/>
          </w:tcPr>
          <w:p w14:paraId="7A76B36D" w14:textId="77777777" w:rsidR="00C4055D" w:rsidRPr="004A792A" w:rsidRDefault="00C4055D" w:rsidP="008C7CCC">
            <w:pPr>
              <w:spacing w:before="0"/>
              <w:contextualSpacing/>
              <w:rPr>
                <w:rFonts w:eastAsia="Times New Roman" w:cstheme="minorHAnsi"/>
                <w:i/>
                <w:sz w:val="20"/>
                <w:szCs w:val="20"/>
                <w:lang w:val="en-US"/>
              </w:rPr>
            </w:pPr>
            <w:r w:rsidRPr="004A792A">
              <w:rPr>
                <w:rFonts w:eastAsia="Times New Roman" w:cstheme="minorHAnsi"/>
                <w:i/>
                <w:sz w:val="20"/>
                <w:szCs w:val="20"/>
                <w:lang w:val="en-US"/>
              </w:rPr>
              <w:t>Number of children under 7 years</w:t>
            </w:r>
          </w:p>
        </w:tc>
        <w:tc>
          <w:tcPr>
            <w:tcW w:w="1119" w:type="dxa"/>
            <w:tcBorders>
              <w:top w:val="single" w:sz="4" w:space="0" w:color="auto"/>
              <w:left w:val="single" w:sz="4" w:space="0" w:color="auto"/>
              <w:right w:val="nil"/>
            </w:tcBorders>
            <w:shd w:val="clear" w:color="auto" w:fill="auto"/>
            <w:noWrap/>
            <w:vAlign w:val="bottom"/>
          </w:tcPr>
          <w:p w14:paraId="36CE4F3D" w14:textId="77777777" w:rsidR="00C4055D" w:rsidRPr="004A792A" w:rsidRDefault="00C4055D" w:rsidP="008C7CCC">
            <w:pPr>
              <w:spacing w:before="0"/>
              <w:contextualSpacing/>
              <w:jc w:val="center"/>
              <w:rPr>
                <w:rFonts w:eastAsia="Times New Roman" w:cstheme="minorHAnsi"/>
                <w:sz w:val="20"/>
                <w:szCs w:val="20"/>
                <w:lang w:val="en-US"/>
              </w:rPr>
            </w:pPr>
          </w:p>
        </w:tc>
        <w:tc>
          <w:tcPr>
            <w:tcW w:w="1120" w:type="dxa"/>
            <w:tcBorders>
              <w:top w:val="single" w:sz="4" w:space="0" w:color="auto"/>
              <w:left w:val="nil"/>
              <w:right w:val="nil"/>
            </w:tcBorders>
          </w:tcPr>
          <w:p w14:paraId="29FE4FBD" w14:textId="77777777" w:rsidR="00C4055D" w:rsidRPr="004A792A" w:rsidRDefault="00C4055D" w:rsidP="008C7CCC">
            <w:pPr>
              <w:spacing w:before="0"/>
              <w:contextualSpacing/>
              <w:jc w:val="center"/>
              <w:rPr>
                <w:rFonts w:eastAsia="Times New Roman" w:cstheme="minorHAnsi"/>
                <w:sz w:val="20"/>
                <w:szCs w:val="20"/>
                <w:lang w:val="en-US"/>
              </w:rPr>
            </w:pPr>
          </w:p>
        </w:tc>
        <w:tc>
          <w:tcPr>
            <w:tcW w:w="1120" w:type="dxa"/>
            <w:tcBorders>
              <w:top w:val="single" w:sz="4" w:space="0" w:color="auto"/>
              <w:left w:val="nil"/>
            </w:tcBorders>
            <w:shd w:val="clear" w:color="auto" w:fill="auto"/>
            <w:noWrap/>
            <w:vAlign w:val="bottom"/>
          </w:tcPr>
          <w:p w14:paraId="23C2BB57" w14:textId="645B9F62" w:rsidR="00C4055D" w:rsidRPr="004A792A" w:rsidRDefault="00C4055D" w:rsidP="008C7CCC">
            <w:pPr>
              <w:spacing w:before="0"/>
              <w:contextualSpacing/>
              <w:jc w:val="center"/>
              <w:rPr>
                <w:rFonts w:eastAsia="Times New Roman" w:cstheme="minorHAnsi"/>
                <w:sz w:val="20"/>
                <w:szCs w:val="20"/>
                <w:lang w:val="en-US"/>
              </w:rPr>
            </w:pPr>
          </w:p>
        </w:tc>
        <w:tc>
          <w:tcPr>
            <w:tcW w:w="1119" w:type="dxa"/>
            <w:tcBorders>
              <w:top w:val="single" w:sz="4" w:space="0" w:color="auto"/>
              <w:right w:val="single" w:sz="4" w:space="0" w:color="auto"/>
            </w:tcBorders>
          </w:tcPr>
          <w:p w14:paraId="72D40732" w14:textId="77777777" w:rsidR="00C4055D" w:rsidRPr="004A792A" w:rsidRDefault="00C4055D" w:rsidP="008C7CCC">
            <w:pPr>
              <w:spacing w:before="0"/>
              <w:contextualSpacing/>
              <w:jc w:val="center"/>
              <w:rPr>
                <w:rFonts w:eastAsia="Times New Roman" w:cstheme="minorHAnsi"/>
                <w:sz w:val="20"/>
                <w:szCs w:val="20"/>
                <w:lang w:val="en-US"/>
              </w:rPr>
            </w:pPr>
          </w:p>
        </w:tc>
        <w:tc>
          <w:tcPr>
            <w:tcW w:w="1119" w:type="dxa"/>
            <w:tcBorders>
              <w:top w:val="single" w:sz="4" w:space="0" w:color="auto"/>
              <w:left w:val="single" w:sz="4" w:space="0" w:color="auto"/>
              <w:right w:val="nil"/>
            </w:tcBorders>
            <w:shd w:val="clear" w:color="auto" w:fill="auto"/>
            <w:noWrap/>
            <w:vAlign w:val="bottom"/>
          </w:tcPr>
          <w:p w14:paraId="0099CCD4" w14:textId="13605CC7" w:rsidR="00C4055D" w:rsidRPr="004A792A" w:rsidRDefault="00C4055D" w:rsidP="008C7CCC">
            <w:pPr>
              <w:spacing w:before="0"/>
              <w:contextualSpacing/>
              <w:jc w:val="center"/>
              <w:rPr>
                <w:rFonts w:eastAsia="Times New Roman" w:cstheme="minorHAnsi"/>
                <w:sz w:val="20"/>
                <w:szCs w:val="20"/>
                <w:lang w:val="en-US"/>
              </w:rPr>
            </w:pPr>
          </w:p>
        </w:tc>
        <w:tc>
          <w:tcPr>
            <w:tcW w:w="1120" w:type="dxa"/>
            <w:tcBorders>
              <w:top w:val="single" w:sz="4" w:space="0" w:color="auto"/>
              <w:left w:val="nil"/>
              <w:right w:val="nil"/>
            </w:tcBorders>
          </w:tcPr>
          <w:p w14:paraId="1EFD1CCE" w14:textId="77777777" w:rsidR="00C4055D" w:rsidRPr="004A792A" w:rsidRDefault="00C4055D" w:rsidP="008C7CCC">
            <w:pPr>
              <w:spacing w:before="0"/>
              <w:contextualSpacing/>
              <w:jc w:val="center"/>
              <w:rPr>
                <w:rFonts w:eastAsia="Times New Roman" w:cstheme="minorHAnsi"/>
                <w:sz w:val="20"/>
                <w:szCs w:val="20"/>
                <w:lang w:val="en-US"/>
              </w:rPr>
            </w:pPr>
          </w:p>
        </w:tc>
        <w:tc>
          <w:tcPr>
            <w:tcW w:w="1120" w:type="dxa"/>
            <w:tcBorders>
              <w:top w:val="single" w:sz="4" w:space="0" w:color="auto"/>
              <w:left w:val="nil"/>
              <w:right w:val="nil"/>
            </w:tcBorders>
            <w:shd w:val="clear" w:color="auto" w:fill="auto"/>
            <w:noWrap/>
            <w:vAlign w:val="bottom"/>
          </w:tcPr>
          <w:p w14:paraId="27539ACA" w14:textId="705F9C53" w:rsidR="00C4055D" w:rsidRPr="004A792A" w:rsidRDefault="00C4055D" w:rsidP="008C7CCC">
            <w:pPr>
              <w:spacing w:before="0"/>
              <w:contextualSpacing/>
              <w:jc w:val="center"/>
              <w:rPr>
                <w:rFonts w:eastAsia="Times New Roman" w:cstheme="minorHAnsi"/>
                <w:sz w:val="20"/>
                <w:szCs w:val="20"/>
                <w:lang w:val="en-US"/>
              </w:rPr>
            </w:pPr>
          </w:p>
        </w:tc>
        <w:tc>
          <w:tcPr>
            <w:tcW w:w="1120" w:type="dxa"/>
            <w:tcBorders>
              <w:top w:val="single" w:sz="4" w:space="0" w:color="auto"/>
              <w:left w:val="nil"/>
              <w:right w:val="nil"/>
            </w:tcBorders>
          </w:tcPr>
          <w:p w14:paraId="47E4C426" w14:textId="77777777" w:rsidR="00C4055D" w:rsidRPr="004A792A" w:rsidRDefault="00C4055D" w:rsidP="008C7CCC">
            <w:pPr>
              <w:spacing w:before="0"/>
              <w:contextualSpacing/>
              <w:jc w:val="center"/>
              <w:rPr>
                <w:rFonts w:eastAsia="Times New Roman" w:cstheme="minorHAnsi"/>
                <w:sz w:val="20"/>
                <w:szCs w:val="20"/>
                <w:lang w:val="en-US"/>
              </w:rPr>
            </w:pPr>
          </w:p>
        </w:tc>
      </w:tr>
      <w:tr w:rsidR="00514EB1" w:rsidRPr="004A792A" w14:paraId="5964851B" w14:textId="2E45D154" w:rsidTr="00567CCA">
        <w:tc>
          <w:tcPr>
            <w:tcW w:w="2977" w:type="dxa"/>
            <w:tcBorders>
              <w:left w:val="nil"/>
              <w:bottom w:val="nil"/>
              <w:right w:val="single" w:sz="4" w:space="0" w:color="auto"/>
            </w:tcBorders>
            <w:shd w:val="clear" w:color="auto" w:fill="auto"/>
            <w:noWrap/>
            <w:vAlign w:val="bottom"/>
          </w:tcPr>
          <w:p w14:paraId="5A31F41F"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1 child under 7 years</w:t>
            </w:r>
          </w:p>
        </w:tc>
        <w:tc>
          <w:tcPr>
            <w:tcW w:w="1119" w:type="dxa"/>
            <w:tcBorders>
              <w:left w:val="single" w:sz="4" w:space="0" w:color="auto"/>
              <w:bottom w:val="nil"/>
              <w:right w:val="nil"/>
            </w:tcBorders>
            <w:shd w:val="clear" w:color="auto" w:fill="auto"/>
            <w:noWrap/>
            <w:vAlign w:val="bottom"/>
          </w:tcPr>
          <w:p w14:paraId="496F1F47" w14:textId="668E521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-0.460***</w:t>
            </w:r>
          </w:p>
        </w:tc>
        <w:tc>
          <w:tcPr>
            <w:tcW w:w="1120" w:type="dxa"/>
            <w:tcBorders>
              <w:left w:val="nil"/>
              <w:bottom w:val="nil"/>
              <w:right w:val="nil"/>
            </w:tcBorders>
            <w:vAlign w:val="bottom"/>
          </w:tcPr>
          <w:p w14:paraId="3E5731C9" w14:textId="7CF0C8B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-0.644***</w:t>
            </w:r>
          </w:p>
        </w:tc>
        <w:tc>
          <w:tcPr>
            <w:tcW w:w="1120" w:type="dxa"/>
            <w:tcBorders>
              <w:left w:val="nil"/>
              <w:bottom w:val="nil"/>
            </w:tcBorders>
            <w:shd w:val="clear" w:color="auto" w:fill="auto"/>
            <w:noWrap/>
            <w:vAlign w:val="bottom"/>
          </w:tcPr>
          <w:p w14:paraId="470FD4B6" w14:textId="1C45D709"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bottom w:val="nil"/>
              <w:right w:val="single" w:sz="4" w:space="0" w:color="auto"/>
            </w:tcBorders>
            <w:vAlign w:val="bottom"/>
          </w:tcPr>
          <w:p w14:paraId="65611E47" w14:textId="77777777" w:rsidR="00514EB1" w:rsidRPr="004A792A" w:rsidRDefault="00514EB1" w:rsidP="00514EB1">
            <w:pPr>
              <w:spacing w:before="0"/>
              <w:contextualSpacing/>
              <w:jc w:val="center"/>
              <w:rPr>
                <w:rFonts w:ascii="Calibri" w:hAnsi="Calibri" w:cs="Calibri"/>
                <w:sz w:val="20"/>
                <w:szCs w:val="20"/>
                <w:lang w:val="en-US"/>
              </w:rPr>
            </w:pPr>
          </w:p>
        </w:tc>
        <w:tc>
          <w:tcPr>
            <w:tcW w:w="1119" w:type="dxa"/>
            <w:tcBorders>
              <w:left w:val="single" w:sz="4" w:space="0" w:color="auto"/>
              <w:bottom w:val="nil"/>
              <w:right w:val="nil"/>
            </w:tcBorders>
            <w:shd w:val="clear" w:color="auto" w:fill="auto"/>
            <w:noWrap/>
            <w:vAlign w:val="bottom"/>
          </w:tcPr>
          <w:p w14:paraId="456035DD" w14:textId="3C5239A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0.010</w:t>
            </w:r>
          </w:p>
        </w:tc>
        <w:tc>
          <w:tcPr>
            <w:tcW w:w="1120" w:type="dxa"/>
            <w:tcBorders>
              <w:left w:val="nil"/>
              <w:bottom w:val="nil"/>
              <w:right w:val="nil"/>
            </w:tcBorders>
            <w:vAlign w:val="bottom"/>
          </w:tcPr>
          <w:p w14:paraId="0D0D5A8B" w14:textId="397A95A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0.063***</w:t>
            </w:r>
          </w:p>
        </w:tc>
        <w:tc>
          <w:tcPr>
            <w:tcW w:w="1120" w:type="dxa"/>
            <w:tcBorders>
              <w:left w:val="nil"/>
              <w:bottom w:val="nil"/>
              <w:right w:val="nil"/>
            </w:tcBorders>
            <w:shd w:val="clear" w:color="auto" w:fill="auto"/>
            <w:noWrap/>
            <w:vAlign w:val="bottom"/>
          </w:tcPr>
          <w:p w14:paraId="16FF40C5" w14:textId="6F46E007"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left w:val="nil"/>
              <w:bottom w:val="nil"/>
              <w:right w:val="nil"/>
            </w:tcBorders>
            <w:vAlign w:val="bottom"/>
          </w:tcPr>
          <w:p w14:paraId="477C5018" w14:textId="77777777" w:rsidR="00514EB1" w:rsidRPr="004A792A" w:rsidRDefault="00514EB1" w:rsidP="00514EB1">
            <w:pPr>
              <w:spacing w:before="0"/>
              <w:contextualSpacing/>
              <w:jc w:val="center"/>
              <w:rPr>
                <w:rFonts w:eastAsia="Times New Roman" w:cstheme="minorHAnsi"/>
                <w:sz w:val="20"/>
                <w:szCs w:val="20"/>
                <w:lang w:val="en-US"/>
              </w:rPr>
            </w:pPr>
          </w:p>
        </w:tc>
      </w:tr>
      <w:tr w:rsidR="00514EB1" w:rsidRPr="004A792A" w14:paraId="31010B90" w14:textId="071974A0" w:rsidTr="00567CCA">
        <w:tc>
          <w:tcPr>
            <w:tcW w:w="2977" w:type="dxa"/>
            <w:tcBorders>
              <w:top w:val="nil"/>
              <w:left w:val="nil"/>
              <w:right w:val="single" w:sz="4" w:space="0" w:color="auto"/>
            </w:tcBorders>
            <w:shd w:val="clear" w:color="auto" w:fill="auto"/>
            <w:noWrap/>
            <w:vAlign w:val="bottom"/>
            <w:hideMark/>
          </w:tcPr>
          <w:p w14:paraId="005337DA"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right w:val="nil"/>
            </w:tcBorders>
            <w:shd w:val="clear" w:color="auto" w:fill="auto"/>
            <w:noWrap/>
            <w:vAlign w:val="bottom"/>
          </w:tcPr>
          <w:p w14:paraId="13924DE9" w14:textId="2ECC2DA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(0.023)</w:t>
            </w:r>
          </w:p>
        </w:tc>
        <w:tc>
          <w:tcPr>
            <w:tcW w:w="1120" w:type="dxa"/>
            <w:tcBorders>
              <w:top w:val="nil"/>
              <w:left w:val="nil"/>
              <w:right w:val="nil"/>
            </w:tcBorders>
            <w:vAlign w:val="bottom"/>
          </w:tcPr>
          <w:p w14:paraId="3BF73230" w14:textId="69FFBDB9"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(0.023)</w:t>
            </w:r>
          </w:p>
        </w:tc>
        <w:tc>
          <w:tcPr>
            <w:tcW w:w="1120" w:type="dxa"/>
            <w:tcBorders>
              <w:top w:val="nil"/>
              <w:left w:val="nil"/>
            </w:tcBorders>
            <w:shd w:val="clear" w:color="auto" w:fill="auto"/>
            <w:noWrap/>
            <w:vAlign w:val="bottom"/>
          </w:tcPr>
          <w:p w14:paraId="6EC3A176" w14:textId="321DCABB"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right w:val="single" w:sz="4" w:space="0" w:color="auto"/>
            </w:tcBorders>
            <w:vAlign w:val="bottom"/>
          </w:tcPr>
          <w:p w14:paraId="20738F11" w14:textId="77777777" w:rsidR="00514EB1" w:rsidRPr="004A792A" w:rsidRDefault="00514EB1" w:rsidP="00514EB1">
            <w:pPr>
              <w:spacing w:before="0"/>
              <w:contextualSpacing/>
              <w:jc w:val="center"/>
              <w:rPr>
                <w:rFonts w:ascii="Calibri" w:hAnsi="Calibri" w:cs="Calibri"/>
                <w:sz w:val="20"/>
                <w:szCs w:val="20"/>
                <w:lang w:val="en-US"/>
              </w:rPr>
            </w:pPr>
          </w:p>
        </w:tc>
        <w:tc>
          <w:tcPr>
            <w:tcW w:w="1119" w:type="dxa"/>
            <w:tcBorders>
              <w:top w:val="nil"/>
              <w:left w:val="single" w:sz="4" w:space="0" w:color="auto"/>
              <w:right w:val="nil"/>
            </w:tcBorders>
            <w:shd w:val="clear" w:color="auto" w:fill="auto"/>
            <w:noWrap/>
            <w:vAlign w:val="bottom"/>
          </w:tcPr>
          <w:p w14:paraId="62160E74" w14:textId="131E578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(0.016)</w:t>
            </w:r>
          </w:p>
        </w:tc>
        <w:tc>
          <w:tcPr>
            <w:tcW w:w="1120" w:type="dxa"/>
            <w:tcBorders>
              <w:top w:val="nil"/>
              <w:left w:val="nil"/>
              <w:right w:val="nil"/>
            </w:tcBorders>
            <w:vAlign w:val="bottom"/>
          </w:tcPr>
          <w:p w14:paraId="2F526E69" w14:textId="0E115A9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(0.018)</w:t>
            </w:r>
          </w:p>
        </w:tc>
        <w:tc>
          <w:tcPr>
            <w:tcW w:w="1120" w:type="dxa"/>
            <w:tcBorders>
              <w:top w:val="nil"/>
              <w:left w:val="nil"/>
              <w:right w:val="nil"/>
            </w:tcBorders>
            <w:shd w:val="clear" w:color="auto" w:fill="auto"/>
            <w:noWrap/>
            <w:vAlign w:val="bottom"/>
          </w:tcPr>
          <w:p w14:paraId="03355B6D" w14:textId="54572C7C"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right w:val="nil"/>
            </w:tcBorders>
            <w:vAlign w:val="bottom"/>
          </w:tcPr>
          <w:p w14:paraId="769BD1AC" w14:textId="77777777" w:rsidR="00514EB1" w:rsidRPr="004A792A" w:rsidRDefault="00514EB1" w:rsidP="00514EB1">
            <w:pPr>
              <w:spacing w:before="0"/>
              <w:contextualSpacing/>
              <w:jc w:val="center"/>
              <w:rPr>
                <w:rFonts w:eastAsia="Times New Roman" w:cstheme="minorHAnsi"/>
                <w:sz w:val="20"/>
                <w:szCs w:val="20"/>
                <w:lang w:val="en-US"/>
              </w:rPr>
            </w:pPr>
          </w:p>
        </w:tc>
      </w:tr>
      <w:tr w:rsidR="00514EB1" w:rsidRPr="004A792A" w14:paraId="26B5BE97" w14:textId="52C7B27D" w:rsidTr="00567CCA">
        <w:tc>
          <w:tcPr>
            <w:tcW w:w="2977" w:type="dxa"/>
            <w:vMerge w:val="restart"/>
            <w:tcBorders>
              <w:top w:val="nil"/>
              <w:left w:val="nil"/>
              <w:right w:val="single" w:sz="4" w:space="0" w:color="auto"/>
            </w:tcBorders>
            <w:shd w:val="clear" w:color="auto" w:fill="auto"/>
            <w:noWrap/>
            <w:vAlign w:val="bottom"/>
            <w:hideMark/>
          </w:tcPr>
          <w:p w14:paraId="1025582D"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2 and more children under 7 years</w:t>
            </w:r>
          </w:p>
        </w:tc>
        <w:tc>
          <w:tcPr>
            <w:tcW w:w="1119" w:type="dxa"/>
            <w:tcBorders>
              <w:top w:val="nil"/>
              <w:left w:val="single" w:sz="4" w:space="0" w:color="auto"/>
              <w:bottom w:val="nil"/>
              <w:right w:val="nil"/>
            </w:tcBorders>
            <w:shd w:val="clear" w:color="auto" w:fill="auto"/>
            <w:noWrap/>
            <w:vAlign w:val="bottom"/>
          </w:tcPr>
          <w:p w14:paraId="03B47E0F" w14:textId="4ACC5C2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-0.879***</w:t>
            </w:r>
          </w:p>
        </w:tc>
        <w:tc>
          <w:tcPr>
            <w:tcW w:w="1120" w:type="dxa"/>
            <w:tcBorders>
              <w:top w:val="nil"/>
              <w:left w:val="nil"/>
              <w:bottom w:val="nil"/>
              <w:right w:val="nil"/>
            </w:tcBorders>
            <w:vAlign w:val="bottom"/>
          </w:tcPr>
          <w:p w14:paraId="4E0A5614" w14:textId="1CF8C24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-1.090***</w:t>
            </w:r>
          </w:p>
        </w:tc>
        <w:tc>
          <w:tcPr>
            <w:tcW w:w="1120" w:type="dxa"/>
            <w:tcBorders>
              <w:top w:val="nil"/>
              <w:left w:val="nil"/>
              <w:bottom w:val="nil"/>
            </w:tcBorders>
            <w:shd w:val="clear" w:color="auto" w:fill="auto"/>
            <w:noWrap/>
            <w:vAlign w:val="bottom"/>
          </w:tcPr>
          <w:p w14:paraId="3E54B268" w14:textId="154D3581"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bottom w:val="nil"/>
              <w:right w:val="single" w:sz="4" w:space="0" w:color="auto"/>
            </w:tcBorders>
            <w:vAlign w:val="bottom"/>
          </w:tcPr>
          <w:p w14:paraId="2F7D60A9" w14:textId="77777777" w:rsidR="00514EB1" w:rsidRPr="004A792A" w:rsidRDefault="00514EB1" w:rsidP="00514EB1">
            <w:pPr>
              <w:spacing w:before="0"/>
              <w:contextualSpacing/>
              <w:jc w:val="center"/>
              <w:rPr>
                <w:rFonts w:ascii="Calibri" w:hAnsi="Calibri" w:cs="Calibri"/>
                <w:sz w:val="20"/>
                <w:szCs w:val="20"/>
                <w:lang w:val="en-US"/>
              </w:rPr>
            </w:pPr>
          </w:p>
        </w:tc>
        <w:tc>
          <w:tcPr>
            <w:tcW w:w="1119" w:type="dxa"/>
            <w:tcBorders>
              <w:top w:val="nil"/>
              <w:left w:val="single" w:sz="4" w:space="0" w:color="auto"/>
              <w:bottom w:val="nil"/>
              <w:right w:val="nil"/>
            </w:tcBorders>
            <w:shd w:val="clear" w:color="auto" w:fill="auto"/>
            <w:noWrap/>
            <w:vAlign w:val="bottom"/>
          </w:tcPr>
          <w:p w14:paraId="524D1905" w14:textId="0E40E8E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0.119***</w:t>
            </w:r>
          </w:p>
        </w:tc>
        <w:tc>
          <w:tcPr>
            <w:tcW w:w="1120" w:type="dxa"/>
            <w:tcBorders>
              <w:top w:val="nil"/>
              <w:left w:val="nil"/>
              <w:bottom w:val="nil"/>
              <w:right w:val="nil"/>
            </w:tcBorders>
            <w:vAlign w:val="bottom"/>
          </w:tcPr>
          <w:p w14:paraId="43BE80F7" w14:textId="6B3446C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0.183***</w:t>
            </w:r>
          </w:p>
        </w:tc>
        <w:tc>
          <w:tcPr>
            <w:tcW w:w="1120" w:type="dxa"/>
            <w:tcBorders>
              <w:top w:val="nil"/>
              <w:left w:val="nil"/>
              <w:bottom w:val="nil"/>
              <w:right w:val="nil"/>
            </w:tcBorders>
            <w:shd w:val="clear" w:color="auto" w:fill="auto"/>
            <w:noWrap/>
            <w:vAlign w:val="bottom"/>
          </w:tcPr>
          <w:p w14:paraId="72C5BB77" w14:textId="08627210"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52173AC1" w14:textId="77777777" w:rsidR="00514EB1" w:rsidRPr="004A792A" w:rsidRDefault="00514EB1" w:rsidP="00514EB1">
            <w:pPr>
              <w:spacing w:before="0"/>
              <w:contextualSpacing/>
              <w:jc w:val="center"/>
              <w:rPr>
                <w:rFonts w:eastAsia="Times New Roman" w:cstheme="minorHAnsi"/>
                <w:sz w:val="20"/>
                <w:szCs w:val="20"/>
                <w:lang w:val="en-US"/>
              </w:rPr>
            </w:pPr>
          </w:p>
        </w:tc>
      </w:tr>
      <w:tr w:rsidR="00514EB1" w:rsidRPr="004A792A" w14:paraId="6CEC1DF1" w14:textId="6035D3AE" w:rsidTr="00567CCA">
        <w:tc>
          <w:tcPr>
            <w:tcW w:w="2977" w:type="dxa"/>
            <w:vMerge/>
            <w:tcBorders>
              <w:left w:val="nil"/>
              <w:bottom w:val="single" w:sz="4" w:space="0" w:color="auto"/>
              <w:right w:val="single" w:sz="4" w:space="0" w:color="auto"/>
            </w:tcBorders>
            <w:shd w:val="clear" w:color="auto" w:fill="auto"/>
            <w:noWrap/>
            <w:vAlign w:val="bottom"/>
            <w:hideMark/>
          </w:tcPr>
          <w:p w14:paraId="255D7229"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0CF1576E" w14:textId="4F8C1E1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(0.039)</w:t>
            </w:r>
          </w:p>
        </w:tc>
        <w:tc>
          <w:tcPr>
            <w:tcW w:w="1120" w:type="dxa"/>
            <w:tcBorders>
              <w:top w:val="nil"/>
              <w:left w:val="nil"/>
              <w:bottom w:val="single" w:sz="4" w:space="0" w:color="auto"/>
              <w:right w:val="nil"/>
            </w:tcBorders>
            <w:vAlign w:val="bottom"/>
          </w:tcPr>
          <w:p w14:paraId="59B8AE98" w14:textId="4D6BB52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(0.040)</w:t>
            </w:r>
          </w:p>
        </w:tc>
        <w:tc>
          <w:tcPr>
            <w:tcW w:w="1120" w:type="dxa"/>
            <w:tcBorders>
              <w:top w:val="nil"/>
              <w:left w:val="nil"/>
              <w:bottom w:val="single" w:sz="4" w:space="0" w:color="auto"/>
            </w:tcBorders>
            <w:shd w:val="clear" w:color="auto" w:fill="auto"/>
            <w:noWrap/>
            <w:vAlign w:val="bottom"/>
          </w:tcPr>
          <w:p w14:paraId="21B3C3D8" w14:textId="7D950A4A"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bottom w:val="single" w:sz="4" w:space="0" w:color="auto"/>
              <w:right w:val="single" w:sz="4" w:space="0" w:color="auto"/>
            </w:tcBorders>
            <w:vAlign w:val="bottom"/>
          </w:tcPr>
          <w:p w14:paraId="1999C380" w14:textId="77777777" w:rsidR="00514EB1" w:rsidRPr="004A792A" w:rsidRDefault="00514EB1" w:rsidP="00514EB1">
            <w:pPr>
              <w:spacing w:before="0"/>
              <w:contextualSpacing/>
              <w:jc w:val="center"/>
              <w:rPr>
                <w:rFonts w:ascii="Calibri" w:hAnsi="Calibri" w:cs="Calibr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086D07BE" w14:textId="381217C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(0.031)</w:t>
            </w:r>
          </w:p>
        </w:tc>
        <w:tc>
          <w:tcPr>
            <w:tcW w:w="1120" w:type="dxa"/>
            <w:tcBorders>
              <w:top w:val="nil"/>
              <w:left w:val="nil"/>
              <w:bottom w:val="single" w:sz="4" w:space="0" w:color="auto"/>
              <w:right w:val="nil"/>
            </w:tcBorders>
            <w:vAlign w:val="bottom"/>
          </w:tcPr>
          <w:p w14:paraId="3906715E" w14:textId="2926E90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(0.033)</w:t>
            </w:r>
          </w:p>
        </w:tc>
        <w:tc>
          <w:tcPr>
            <w:tcW w:w="1120" w:type="dxa"/>
            <w:tcBorders>
              <w:top w:val="nil"/>
              <w:left w:val="nil"/>
              <w:bottom w:val="single" w:sz="4" w:space="0" w:color="auto"/>
              <w:right w:val="nil"/>
            </w:tcBorders>
            <w:shd w:val="clear" w:color="auto" w:fill="auto"/>
            <w:noWrap/>
            <w:vAlign w:val="bottom"/>
          </w:tcPr>
          <w:p w14:paraId="59CEC86F" w14:textId="7E66638F"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single" w:sz="4" w:space="0" w:color="auto"/>
              <w:right w:val="nil"/>
            </w:tcBorders>
            <w:vAlign w:val="bottom"/>
          </w:tcPr>
          <w:p w14:paraId="0C06A4B0" w14:textId="77777777" w:rsidR="00514EB1" w:rsidRPr="004A792A" w:rsidRDefault="00514EB1" w:rsidP="00514EB1">
            <w:pPr>
              <w:spacing w:before="0"/>
              <w:contextualSpacing/>
              <w:jc w:val="center"/>
              <w:rPr>
                <w:rFonts w:eastAsia="Times New Roman" w:cstheme="minorHAnsi"/>
                <w:sz w:val="20"/>
                <w:szCs w:val="20"/>
                <w:lang w:val="en-US"/>
              </w:rPr>
            </w:pPr>
          </w:p>
        </w:tc>
      </w:tr>
      <w:tr w:rsidR="00514EB1" w:rsidRPr="004A792A" w14:paraId="049D69CF" w14:textId="77777777" w:rsidTr="00567CCA">
        <w:tc>
          <w:tcPr>
            <w:tcW w:w="2977" w:type="dxa"/>
            <w:tcBorders>
              <w:top w:val="nil"/>
              <w:left w:val="nil"/>
              <w:bottom w:val="nil"/>
              <w:right w:val="single" w:sz="4" w:space="0" w:color="auto"/>
            </w:tcBorders>
            <w:shd w:val="clear" w:color="auto" w:fill="auto"/>
            <w:noWrap/>
            <w:vAlign w:val="bottom"/>
          </w:tcPr>
          <w:p w14:paraId="7A504744" w14:textId="25F0CD6B" w:rsidR="00514EB1" w:rsidRPr="00514EB1" w:rsidRDefault="00514EB1" w:rsidP="00514EB1">
            <w:pPr>
              <w:spacing w:before="0"/>
              <w:contextualSpacing/>
              <w:rPr>
                <w:rFonts w:eastAsia="Times New Roman" w:cstheme="minorHAnsi"/>
                <w:i/>
                <w:sz w:val="20"/>
                <w:szCs w:val="20"/>
                <w:lang w:val="en-US"/>
              </w:rPr>
            </w:pPr>
            <w:r w:rsidRPr="00514EB1">
              <w:rPr>
                <w:rFonts w:eastAsia="Times New Roman" w:cstheme="minorHAnsi"/>
                <w:i/>
                <w:sz w:val="20"/>
                <w:szCs w:val="20"/>
                <w:lang w:val="en-US"/>
              </w:rPr>
              <w:t>Age of the youngest child</w:t>
            </w:r>
          </w:p>
        </w:tc>
        <w:tc>
          <w:tcPr>
            <w:tcW w:w="1119" w:type="dxa"/>
            <w:tcBorders>
              <w:top w:val="nil"/>
              <w:left w:val="single" w:sz="4" w:space="0" w:color="auto"/>
              <w:bottom w:val="nil"/>
              <w:right w:val="nil"/>
            </w:tcBorders>
            <w:shd w:val="clear" w:color="auto" w:fill="auto"/>
            <w:noWrap/>
            <w:vAlign w:val="bottom"/>
          </w:tcPr>
          <w:p w14:paraId="74CAE75F"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271B2877"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57EC27EF" w14:textId="77777777" w:rsidR="00514EB1" w:rsidRDefault="00514EB1" w:rsidP="00514EB1">
            <w:pPr>
              <w:spacing w:before="0"/>
              <w:contextualSpacing/>
              <w:jc w:val="center"/>
              <w:rPr>
                <w:rFonts w:ascii="Calibri" w:hAnsi="Calibri" w:cs="Calibri"/>
                <w:color w:val="000000"/>
                <w:sz w:val="20"/>
                <w:szCs w:val="20"/>
              </w:rPr>
            </w:pPr>
          </w:p>
        </w:tc>
        <w:tc>
          <w:tcPr>
            <w:tcW w:w="1119" w:type="dxa"/>
            <w:tcBorders>
              <w:top w:val="nil"/>
              <w:bottom w:val="nil"/>
              <w:right w:val="single" w:sz="4" w:space="0" w:color="auto"/>
            </w:tcBorders>
            <w:vAlign w:val="bottom"/>
          </w:tcPr>
          <w:p w14:paraId="19C4D956" w14:textId="77777777" w:rsidR="00514EB1" w:rsidRDefault="00514EB1" w:rsidP="00514EB1">
            <w:pPr>
              <w:spacing w:before="0"/>
              <w:contextualSpacing/>
              <w:jc w:val="center"/>
              <w:rPr>
                <w:rFonts w:ascii="Calibri" w:hAnsi="Calibri" w:cs="Calibri"/>
                <w:color w:val="000000"/>
                <w:sz w:val="20"/>
                <w:szCs w:val="20"/>
              </w:rPr>
            </w:pPr>
          </w:p>
        </w:tc>
        <w:tc>
          <w:tcPr>
            <w:tcW w:w="1119" w:type="dxa"/>
            <w:tcBorders>
              <w:top w:val="nil"/>
              <w:left w:val="single" w:sz="4" w:space="0" w:color="auto"/>
              <w:bottom w:val="nil"/>
              <w:right w:val="nil"/>
            </w:tcBorders>
            <w:shd w:val="clear" w:color="auto" w:fill="auto"/>
            <w:noWrap/>
            <w:vAlign w:val="bottom"/>
          </w:tcPr>
          <w:p w14:paraId="2FD28618" w14:textId="77777777"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3A6F15FE"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52AB91DB" w14:textId="77777777" w:rsidR="00514EB1" w:rsidRDefault="00514EB1" w:rsidP="00514EB1">
            <w:pPr>
              <w:spacing w:before="0"/>
              <w:contextualSpacing/>
              <w:jc w:val="center"/>
              <w:rPr>
                <w:rFonts w:ascii="Calibri" w:hAnsi="Calibri" w:cs="Calibri"/>
                <w:color w:val="000000"/>
                <w:sz w:val="20"/>
                <w:szCs w:val="20"/>
              </w:rPr>
            </w:pPr>
          </w:p>
        </w:tc>
        <w:tc>
          <w:tcPr>
            <w:tcW w:w="1120" w:type="dxa"/>
            <w:tcBorders>
              <w:top w:val="nil"/>
              <w:left w:val="nil"/>
              <w:bottom w:val="nil"/>
              <w:right w:val="nil"/>
            </w:tcBorders>
            <w:vAlign w:val="bottom"/>
          </w:tcPr>
          <w:p w14:paraId="1B075D92" w14:textId="77777777" w:rsidR="00514EB1" w:rsidRDefault="00514EB1" w:rsidP="00514EB1">
            <w:pPr>
              <w:spacing w:before="0"/>
              <w:contextualSpacing/>
              <w:jc w:val="center"/>
              <w:rPr>
                <w:rFonts w:ascii="Calibri" w:hAnsi="Calibri" w:cs="Calibri"/>
                <w:color w:val="000000"/>
                <w:sz w:val="20"/>
                <w:szCs w:val="20"/>
              </w:rPr>
            </w:pPr>
          </w:p>
        </w:tc>
      </w:tr>
      <w:tr w:rsidR="00514EB1" w:rsidRPr="004A792A" w14:paraId="4E55245F" w14:textId="34DCD4F2" w:rsidTr="00567CCA">
        <w:tc>
          <w:tcPr>
            <w:tcW w:w="2977" w:type="dxa"/>
            <w:tcBorders>
              <w:top w:val="nil"/>
              <w:left w:val="nil"/>
              <w:bottom w:val="nil"/>
              <w:right w:val="single" w:sz="4" w:space="0" w:color="auto"/>
            </w:tcBorders>
            <w:shd w:val="clear" w:color="auto" w:fill="auto"/>
            <w:noWrap/>
            <w:vAlign w:val="bottom"/>
            <w:hideMark/>
          </w:tcPr>
          <w:p w14:paraId="0F3E2DA9" w14:textId="00157689" w:rsidR="00514EB1" w:rsidRPr="004A792A" w:rsidRDefault="00514EB1" w:rsidP="00514EB1">
            <w:pPr>
              <w:spacing w:before="0"/>
              <w:contextualSpacing/>
              <w:rPr>
                <w:rFonts w:eastAsia="Times New Roman" w:cstheme="minorHAnsi"/>
                <w:sz w:val="20"/>
                <w:szCs w:val="20"/>
                <w:lang w:val="en-US"/>
              </w:rPr>
            </w:pPr>
            <w:r>
              <w:rPr>
                <w:rFonts w:eastAsia="Times New Roman" w:cstheme="minorHAnsi"/>
                <w:sz w:val="20"/>
                <w:szCs w:val="20"/>
                <w:lang w:val="en-US"/>
              </w:rPr>
              <w:t>0</w:t>
            </w:r>
            <w:r w:rsidRPr="004A792A">
              <w:rPr>
                <w:rFonts w:eastAsia="Times New Roman" w:cstheme="minorHAnsi"/>
                <w:sz w:val="20"/>
                <w:szCs w:val="20"/>
                <w:lang w:val="en-US"/>
              </w:rPr>
              <w:t>-2 years</w:t>
            </w:r>
          </w:p>
        </w:tc>
        <w:tc>
          <w:tcPr>
            <w:tcW w:w="1119" w:type="dxa"/>
            <w:tcBorders>
              <w:top w:val="nil"/>
              <w:left w:val="single" w:sz="4" w:space="0" w:color="auto"/>
              <w:bottom w:val="nil"/>
              <w:right w:val="nil"/>
            </w:tcBorders>
            <w:shd w:val="clear" w:color="auto" w:fill="auto"/>
            <w:noWrap/>
            <w:vAlign w:val="bottom"/>
          </w:tcPr>
          <w:p w14:paraId="5F6A64AA"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53B1CC34"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0FA4B769" w14:textId="54C5E90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-1.216***</w:t>
            </w:r>
          </w:p>
        </w:tc>
        <w:tc>
          <w:tcPr>
            <w:tcW w:w="1119" w:type="dxa"/>
            <w:tcBorders>
              <w:top w:val="nil"/>
              <w:bottom w:val="nil"/>
              <w:right w:val="single" w:sz="4" w:space="0" w:color="auto"/>
            </w:tcBorders>
            <w:vAlign w:val="bottom"/>
          </w:tcPr>
          <w:p w14:paraId="4CC1F64F" w14:textId="4788F88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-1.456***</w:t>
            </w:r>
          </w:p>
        </w:tc>
        <w:tc>
          <w:tcPr>
            <w:tcW w:w="1119" w:type="dxa"/>
            <w:tcBorders>
              <w:top w:val="nil"/>
              <w:left w:val="single" w:sz="4" w:space="0" w:color="auto"/>
              <w:bottom w:val="nil"/>
              <w:right w:val="nil"/>
            </w:tcBorders>
            <w:shd w:val="clear" w:color="auto" w:fill="auto"/>
            <w:noWrap/>
            <w:vAlign w:val="bottom"/>
          </w:tcPr>
          <w:p w14:paraId="3D1CEEF7" w14:textId="5ABAD674"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60A15616"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1A085FEF" w14:textId="6CB2FDC0"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0.021</w:t>
            </w:r>
          </w:p>
        </w:tc>
        <w:tc>
          <w:tcPr>
            <w:tcW w:w="1120" w:type="dxa"/>
            <w:tcBorders>
              <w:top w:val="nil"/>
              <w:left w:val="nil"/>
              <w:bottom w:val="nil"/>
              <w:right w:val="nil"/>
            </w:tcBorders>
            <w:vAlign w:val="bottom"/>
          </w:tcPr>
          <w:p w14:paraId="16E20C2D" w14:textId="29BD9D1F"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0.100***</w:t>
            </w:r>
          </w:p>
        </w:tc>
      </w:tr>
      <w:tr w:rsidR="00514EB1" w:rsidRPr="004A792A" w14:paraId="1A866A91" w14:textId="78F9E007" w:rsidTr="00567CCA">
        <w:tc>
          <w:tcPr>
            <w:tcW w:w="2977" w:type="dxa"/>
            <w:tcBorders>
              <w:top w:val="nil"/>
              <w:left w:val="nil"/>
              <w:bottom w:val="nil"/>
              <w:right w:val="single" w:sz="4" w:space="0" w:color="auto"/>
            </w:tcBorders>
            <w:shd w:val="clear" w:color="auto" w:fill="auto"/>
            <w:noWrap/>
            <w:vAlign w:val="bottom"/>
            <w:hideMark/>
          </w:tcPr>
          <w:p w14:paraId="33613478"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33269EE9"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2EBA28AE"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6BAB16C6" w14:textId="6A41772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(0.036)</w:t>
            </w:r>
          </w:p>
        </w:tc>
        <w:tc>
          <w:tcPr>
            <w:tcW w:w="1119" w:type="dxa"/>
            <w:tcBorders>
              <w:top w:val="nil"/>
              <w:bottom w:val="nil"/>
              <w:right w:val="single" w:sz="4" w:space="0" w:color="auto"/>
            </w:tcBorders>
            <w:vAlign w:val="bottom"/>
          </w:tcPr>
          <w:p w14:paraId="1D7ADD4F" w14:textId="6C857C5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(0.036)</w:t>
            </w:r>
          </w:p>
        </w:tc>
        <w:tc>
          <w:tcPr>
            <w:tcW w:w="1119" w:type="dxa"/>
            <w:tcBorders>
              <w:top w:val="nil"/>
              <w:left w:val="single" w:sz="4" w:space="0" w:color="auto"/>
              <w:bottom w:val="nil"/>
              <w:right w:val="nil"/>
            </w:tcBorders>
            <w:shd w:val="clear" w:color="auto" w:fill="auto"/>
            <w:noWrap/>
            <w:vAlign w:val="bottom"/>
          </w:tcPr>
          <w:p w14:paraId="1D95AABC" w14:textId="48130A31"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7FE8780A"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11C3AB11" w14:textId="58001FF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(0.021)</w:t>
            </w:r>
          </w:p>
        </w:tc>
        <w:tc>
          <w:tcPr>
            <w:tcW w:w="1120" w:type="dxa"/>
            <w:tcBorders>
              <w:top w:val="nil"/>
              <w:left w:val="nil"/>
              <w:bottom w:val="nil"/>
              <w:right w:val="nil"/>
            </w:tcBorders>
            <w:vAlign w:val="bottom"/>
          </w:tcPr>
          <w:p w14:paraId="251469E6" w14:textId="17D8665C"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(0.025)</w:t>
            </w:r>
          </w:p>
        </w:tc>
      </w:tr>
      <w:tr w:rsidR="00514EB1" w:rsidRPr="004A792A" w14:paraId="22804F1D" w14:textId="1B2F720D" w:rsidTr="00567CCA">
        <w:tc>
          <w:tcPr>
            <w:tcW w:w="2977" w:type="dxa"/>
            <w:tcBorders>
              <w:top w:val="nil"/>
              <w:left w:val="nil"/>
              <w:bottom w:val="nil"/>
              <w:right w:val="single" w:sz="4" w:space="0" w:color="auto"/>
            </w:tcBorders>
            <w:shd w:val="clear" w:color="auto" w:fill="auto"/>
            <w:noWrap/>
            <w:vAlign w:val="bottom"/>
            <w:hideMark/>
          </w:tcPr>
          <w:p w14:paraId="31B309C7"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3-6 years</w:t>
            </w:r>
          </w:p>
        </w:tc>
        <w:tc>
          <w:tcPr>
            <w:tcW w:w="1119" w:type="dxa"/>
            <w:tcBorders>
              <w:top w:val="nil"/>
              <w:left w:val="single" w:sz="4" w:space="0" w:color="auto"/>
              <w:bottom w:val="nil"/>
              <w:right w:val="nil"/>
            </w:tcBorders>
            <w:shd w:val="clear" w:color="auto" w:fill="auto"/>
            <w:noWrap/>
            <w:vAlign w:val="bottom"/>
          </w:tcPr>
          <w:p w14:paraId="3C8AED9C"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3249BC7D"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38CA5D1A" w14:textId="63DBA06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-0.047*</w:t>
            </w:r>
          </w:p>
        </w:tc>
        <w:tc>
          <w:tcPr>
            <w:tcW w:w="1119" w:type="dxa"/>
            <w:tcBorders>
              <w:top w:val="nil"/>
              <w:bottom w:val="nil"/>
              <w:right w:val="single" w:sz="4" w:space="0" w:color="auto"/>
            </w:tcBorders>
            <w:vAlign w:val="bottom"/>
          </w:tcPr>
          <w:p w14:paraId="565C2889" w14:textId="7BA5661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-0.218***</w:t>
            </w:r>
          </w:p>
        </w:tc>
        <w:tc>
          <w:tcPr>
            <w:tcW w:w="1119" w:type="dxa"/>
            <w:tcBorders>
              <w:top w:val="nil"/>
              <w:left w:val="single" w:sz="4" w:space="0" w:color="auto"/>
              <w:bottom w:val="nil"/>
              <w:right w:val="nil"/>
            </w:tcBorders>
            <w:shd w:val="clear" w:color="auto" w:fill="auto"/>
            <w:noWrap/>
            <w:vAlign w:val="bottom"/>
          </w:tcPr>
          <w:p w14:paraId="466289B5" w14:textId="0D88DB92"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2D3DF4EC"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4D49C7BC" w14:textId="134B201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-0.052**</w:t>
            </w:r>
          </w:p>
        </w:tc>
        <w:tc>
          <w:tcPr>
            <w:tcW w:w="1120" w:type="dxa"/>
            <w:tcBorders>
              <w:top w:val="nil"/>
              <w:left w:val="nil"/>
              <w:bottom w:val="nil"/>
              <w:right w:val="nil"/>
            </w:tcBorders>
            <w:vAlign w:val="bottom"/>
          </w:tcPr>
          <w:p w14:paraId="063719DE" w14:textId="441A8C4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-0.002</w:t>
            </w:r>
          </w:p>
        </w:tc>
      </w:tr>
      <w:tr w:rsidR="00514EB1" w:rsidRPr="004A792A" w14:paraId="5C46207E" w14:textId="0AE81585" w:rsidTr="00567CCA">
        <w:tc>
          <w:tcPr>
            <w:tcW w:w="2977" w:type="dxa"/>
            <w:tcBorders>
              <w:top w:val="nil"/>
              <w:left w:val="nil"/>
              <w:bottom w:val="nil"/>
              <w:right w:val="single" w:sz="4" w:space="0" w:color="auto"/>
            </w:tcBorders>
            <w:shd w:val="clear" w:color="auto" w:fill="auto"/>
            <w:noWrap/>
            <w:vAlign w:val="bottom"/>
            <w:hideMark/>
          </w:tcPr>
          <w:p w14:paraId="2F67E0E1"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3F2AED4F"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53EE367A"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6CDEB3CE" w14:textId="4984B15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(0.025)</w:t>
            </w:r>
          </w:p>
        </w:tc>
        <w:tc>
          <w:tcPr>
            <w:tcW w:w="1119" w:type="dxa"/>
            <w:tcBorders>
              <w:top w:val="nil"/>
              <w:bottom w:val="nil"/>
              <w:right w:val="single" w:sz="4" w:space="0" w:color="auto"/>
            </w:tcBorders>
            <w:vAlign w:val="bottom"/>
          </w:tcPr>
          <w:p w14:paraId="1A4E9A31" w14:textId="0295761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(0.027)</w:t>
            </w:r>
          </w:p>
        </w:tc>
        <w:tc>
          <w:tcPr>
            <w:tcW w:w="1119" w:type="dxa"/>
            <w:tcBorders>
              <w:top w:val="nil"/>
              <w:left w:val="single" w:sz="4" w:space="0" w:color="auto"/>
              <w:bottom w:val="nil"/>
              <w:right w:val="nil"/>
            </w:tcBorders>
            <w:shd w:val="clear" w:color="auto" w:fill="auto"/>
            <w:noWrap/>
            <w:vAlign w:val="bottom"/>
          </w:tcPr>
          <w:p w14:paraId="36A4EA4F" w14:textId="288BE7F6"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6E1E7BAC"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6FBDB7EE" w14:textId="3ADFE509"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(0.024)</w:t>
            </w:r>
          </w:p>
        </w:tc>
        <w:tc>
          <w:tcPr>
            <w:tcW w:w="1120" w:type="dxa"/>
            <w:tcBorders>
              <w:top w:val="nil"/>
              <w:left w:val="nil"/>
              <w:bottom w:val="nil"/>
              <w:right w:val="nil"/>
            </w:tcBorders>
            <w:vAlign w:val="bottom"/>
          </w:tcPr>
          <w:p w14:paraId="048E47D1" w14:textId="3A62693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(0.026)</w:t>
            </w:r>
          </w:p>
        </w:tc>
      </w:tr>
      <w:tr w:rsidR="00514EB1" w:rsidRPr="004A792A" w14:paraId="1ACD9101" w14:textId="6165CEC0" w:rsidTr="00567CCA">
        <w:tc>
          <w:tcPr>
            <w:tcW w:w="2977" w:type="dxa"/>
            <w:tcBorders>
              <w:top w:val="nil"/>
              <w:left w:val="nil"/>
              <w:bottom w:val="nil"/>
              <w:right w:val="single" w:sz="4" w:space="0" w:color="auto"/>
            </w:tcBorders>
            <w:shd w:val="clear" w:color="auto" w:fill="auto"/>
            <w:noWrap/>
            <w:vAlign w:val="bottom"/>
            <w:hideMark/>
          </w:tcPr>
          <w:p w14:paraId="09596582"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7-14 years</w:t>
            </w:r>
          </w:p>
        </w:tc>
        <w:tc>
          <w:tcPr>
            <w:tcW w:w="1119" w:type="dxa"/>
            <w:tcBorders>
              <w:top w:val="nil"/>
              <w:left w:val="single" w:sz="4" w:space="0" w:color="auto"/>
              <w:bottom w:val="nil"/>
              <w:right w:val="nil"/>
            </w:tcBorders>
            <w:shd w:val="clear" w:color="auto" w:fill="auto"/>
            <w:noWrap/>
            <w:vAlign w:val="bottom"/>
          </w:tcPr>
          <w:p w14:paraId="4597D6A3"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20D387E6"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6D11FDB5" w14:textId="6C6AE60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0.060***</w:t>
            </w:r>
          </w:p>
        </w:tc>
        <w:tc>
          <w:tcPr>
            <w:tcW w:w="1119" w:type="dxa"/>
            <w:tcBorders>
              <w:top w:val="nil"/>
              <w:bottom w:val="nil"/>
              <w:right w:val="single" w:sz="4" w:space="0" w:color="auto"/>
            </w:tcBorders>
            <w:vAlign w:val="bottom"/>
          </w:tcPr>
          <w:p w14:paraId="026FC731" w14:textId="5C086BB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-0.014</w:t>
            </w:r>
          </w:p>
        </w:tc>
        <w:tc>
          <w:tcPr>
            <w:tcW w:w="1119" w:type="dxa"/>
            <w:tcBorders>
              <w:top w:val="nil"/>
              <w:left w:val="single" w:sz="4" w:space="0" w:color="auto"/>
              <w:bottom w:val="nil"/>
              <w:right w:val="nil"/>
            </w:tcBorders>
            <w:shd w:val="clear" w:color="auto" w:fill="auto"/>
            <w:noWrap/>
            <w:vAlign w:val="bottom"/>
          </w:tcPr>
          <w:p w14:paraId="663F086E" w14:textId="547E0AC3"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74815CB7"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1B335195" w14:textId="4A195A5E"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-0.075***</w:t>
            </w:r>
          </w:p>
        </w:tc>
        <w:tc>
          <w:tcPr>
            <w:tcW w:w="1120" w:type="dxa"/>
            <w:tcBorders>
              <w:top w:val="nil"/>
              <w:left w:val="nil"/>
              <w:bottom w:val="nil"/>
              <w:right w:val="nil"/>
            </w:tcBorders>
            <w:vAlign w:val="bottom"/>
          </w:tcPr>
          <w:p w14:paraId="19B993F0" w14:textId="49ACB0E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-0.068***</w:t>
            </w:r>
          </w:p>
        </w:tc>
      </w:tr>
      <w:tr w:rsidR="00514EB1" w:rsidRPr="004A792A" w14:paraId="08E0D5ED" w14:textId="7F6D1F26" w:rsidTr="00567CCA">
        <w:tc>
          <w:tcPr>
            <w:tcW w:w="2977" w:type="dxa"/>
            <w:tcBorders>
              <w:top w:val="nil"/>
              <w:left w:val="nil"/>
              <w:bottom w:val="nil"/>
              <w:right w:val="single" w:sz="4" w:space="0" w:color="auto"/>
            </w:tcBorders>
            <w:shd w:val="clear" w:color="auto" w:fill="auto"/>
            <w:noWrap/>
            <w:vAlign w:val="bottom"/>
            <w:hideMark/>
          </w:tcPr>
          <w:p w14:paraId="5B409EF7"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591F4E22"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nil"/>
              <w:right w:val="nil"/>
            </w:tcBorders>
            <w:vAlign w:val="bottom"/>
          </w:tcPr>
          <w:p w14:paraId="2786093B"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tcBorders>
            <w:shd w:val="clear" w:color="auto" w:fill="auto"/>
            <w:noWrap/>
            <w:vAlign w:val="bottom"/>
          </w:tcPr>
          <w:p w14:paraId="2105577A" w14:textId="010B3ED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(0.020)</w:t>
            </w:r>
          </w:p>
        </w:tc>
        <w:tc>
          <w:tcPr>
            <w:tcW w:w="1119" w:type="dxa"/>
            <w:tcBorders>
              <w:top w:val="nil"/>
              <w:bottom w:val="nil"/>
              <w:right w:val="single" w:sz="4" w:space="0" w:color="auto"/>
            </w:tcBorders>
            <w:vAlign w:val="bottom"/>
          </w:tcPr>
          <w:p w14:paraId="51B00A7D" w14:textId="2776D5C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(0.023)</w:t>
            </w:r>
          </w:p>
        </w:tc>
        <w:tc>
          <w:tcPr>
            <w:tcW w:w="1119" w:type="dxa"/>
            <w:tcBorders>
              <w:top w:val="nil"/>
              <w:left w:val="single" w:sz="4" w:space="0" w:color="auto"/>
              <w:bottom w:val="nil"/>
              <w:right w:val="nil"/>
            </w:tcBorders>
            <w:shd w:val="clear" w:color="auto" w:fill="auto"/>
            <w:noWrap/>
            <w:vAlign w:val="bottom"/>
          </w:tcPr>
          <w:p w14:paraId="64F9B717" w14:textId="153948F1"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nil"/>
              <w:right w:val="nil"/>
            </w:tcBorders>
            <w:vAlign w:val="bottom"/>
          </w:tcPr>
          <w:p w14:paraId="1530BC5C"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nil"/>
              <w:right w:val="nil"/>
            </w:tcBorders>
            <w:shd w:val="clear" w:color="auto" w:fill="auto"/>
            <w:noWrap/>
            <w:vAlign w:val="bottom"/>
          </w:tcPr>
          <w:p w14:paraId="5AF1CA0A" w14:textId="14F365E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(0.018)</w:t>
            </w:r>
          </w:p>
        </w:tc>
        <w:tc>
          <w:tcPr>
            <w:tcW w:w="1120" w:type="dxa"/>
            <w:tcBorders>
              <w:top w:val="nil"/>
              <w:left w:val="nil"/>
              <w:bottom w:val="nil"/>
              <w:right w:val="nil"/>
            </w:tcBorders>
            <w:vAlign w:val="bottom"/>
          </w:tcPr>
          <w:p w14:paraId="1850E127" w14:textId="5898CF2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(0.019)</w:t>
            </w:r>
          </w:p>
        </w:tc>
      </w:tr>
      <w:tr w:rsidR="00514EB1" w:rsidRPr="004A792A" w14:paraId="2B919DA9" w14:textId="71DA61D1" w:rsidTr="00567CCA">
        <w:tc>
          <w:tcPr>
            <w:tcW w:w="2977" w:type="dxa"/>
            <w:tcBorders>
              <w:top w:val="nil"/>
              <w:left w:val="nil"/>
              <w:right w:val="single" w:sz="4" w:space="0" w:color="auto"/>
            </w:tcBorders>
            <w:shd w:val="clear" w:color="auto" w:fill="auto"/>
            <w:noWrap/>
            <w:vAlign w:val="bottom"/>
            <w:hideMark/>
          </w:tcPr>
          <w:p w14:paraId="347B94FA"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15-17 years</w:t>
            </w:r>
          </w:p>
        </w:tc>
        <w:tc>
          <w:tcPr>
            <w:tcW w:w="1119" w:type="dxa"/>
            <w:tcBorders>
              <w:top w:val="nil"/>
              <w:left w:val="single" w:sz="4" w:space="0" w:color="auto"/>
              <w:right w:val="nil"/>
            </w:tcBorders>
            <w:shd w:val="clear" w:color="auto" w:fill="auto"/>
            <w:noWrap/>
            <w:vAlign w:val="bottom"/>
          </w:tcPr>
          <w:p w14:paraId="040F1749"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right w:val="nil"/>
            </w:tcBorders>
            <w:vAlign w:val="bottom"/>
          </w:tcPr>
          <w:p w14:paraId="5DC4B13D"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tcBorders>
            <w:shd w:val="clear" w:color="auto" w:fill="auto"/>
            <w:noWrap/>
            <w:vAlign w:val="bottom"/>
          </w:tcPr>
          <w:p w14:paraId="51FD048A" w14:textId="7950F6C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-0.023</w:t>
            </w:r>
          </w:p>
        </w:tc>
        <w:tc>
          <w:tcPr>
            <w:tcW w:w="1119" w:type="dxa"/>
            <w:tcBorders>
              <w:top w:val="nil"/>
              <w:right w:val="single" w:sz="4" w:space="0" w:color="auto"/>
            </w:tcBorders>
            <w:vAlign w:val="bottom"/>
          </w:tcPr>
          <w:p w14:paraId="349B1731" w14:textId="321746F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0.036</w:t>
            </w:r>
          </w:p>
        </w:tc>
        <w:tc>
          <w:tcPr>
            <w:tcW w:w="1119" w:type="dxa"/>
            <w:tcBorders>
              <w:top w:val="nil"/>
              <w:left w:val="single" w:sz="4" w:space="0" w:color="auto"/>
              <w:right w:val="nil"/>
            </w:tcBorders>
            <w:shd w:val="clear" w:color="auto" w:fill="auto"/>
            <w:noWrap/>
            <w:vAlign w:val="bottom"/>
          </w:tcPr>
          <w:p w14:paraId="72A404BC" w14:textId="698F2C15"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right w:val="nil"/>
            </w:tcBorders>
            <w:vAlign w:val="bottom"/>
          </w:tcPr>
          <w:p w14:paraId="44C18BAA"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right w:val="nil"/>
            </w:tcBorders>
            <w:shd w:val="clear" w:color="auto" w:fill="auto"/>
            <w:noWrap/>
            <w:vAlign w:val="bottom"/>
          </w:tcPr>
          <w:p w14:paraId="1956A200" w14:textId="42097D1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-0.141***</w:t>
            </w:r>
          </w:p>
        </w:tc>
        <w:tc>
          <w:tcPr>
            <w:tcW w:w="1120" w:type="dxa"/>
            <w:tcBorders>
              <w:top w:val="nil"/>
              <w:left w:val="nil"/>
              <w:right w:val="nil"/>
            </w:tcBorders>
            <w:vAlign w:val="bottom"/>
          </w:tcPr>
          <w:p w14:paraId="61E78828" w14:textId="010FD62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-0.108***</w:t>
            </w:r>
          </w:p>
        </w:tc>
      </w:tr>
      <w:tr w:rsidR="00514EB1" w:rsidRPr="004A792A" w14:paraId="41E13187" w14:textId="0A5F62D7" w:rsidTr="00567CCA">
        <w:tc>
          <w:tcPr>
            <w:tcW w:w="2977" w:type="dxa"/>
            <w:tcBorders>
              <w:top w:val="nil"/>
              <w:left w:val="nil"/>
              <w:bottom w:val="single" w:sz="4" w:space="0" w:color="auto"/>
              <w:right w:val="single" w:sz="4" w:space="0" w:color="auto"/>
            </w:tcBorders>
            <w:shd w:val="clear" w:color="auto" w:fill="auto"/>
            <w:noWrap/>
            <w:vAlign w:val="bottom"/>
            <w:hideMark/>
          </w:tcPr>
          <w:p w14:paraId="0C5A3710"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7BFF0C0B" w14:textId="77777777" w:rsidR="00514EB1" w:rsidRPr="004A792A" w:rsidRDefault="00514EB1" w:rsidP="00514EB1">
            <w:pPr>
              <w:spacing w:before="0"/>
              <w:contextualSpacing/>
              <w:rPr>
                <w:rFonts w:eastAsia="Times New Roman" w:cstheme="minorHAnsi"/>
                <w:sz w:val="20"/>
                <w:szCs w:val="20"/>
                <w:lang w:val="en-US"/>
              </w:rPr>
            </w:pPr>
          </w:p>
        </w:tc>
        <w:tc>
          <w:tcPr>
            <w:tcW w:w="1120" w:type="dxa"/>
            <w:tcBorders>
              <w:top w:val="nil"/>
              <w:left w:val="nil"/>
              <w:bottom w:val="single" w:sz="4" w:space="0" w:color="auto"/>
              <w:right w:val="nil"/>
            </w:tcBorders>
            <w:vAlign w:val="bottom"/>
          </w:tcPr>
          <w:p w14:paraId="1D4CB47B"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single" w:sz="4" w:space="0" w:color="auto"/>
            </w:tcBorders>
            <w:shd w:val="clear" w:color="auto" w:fill="auto"/>
            <w:noWrap/>
            <w:vAlign w:val="bottom"/>
          </w:tcPr>
          <w:p w14:paraId="027DFAC9" w14:textId="5796B1D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(0.023)</w:t>
            </w:r>
          </w:p>
        </w:tc>
        <w:tc>
          <w:tcPr>
            <w:tcW w:w="1119" w:type="dxa"/>
            <w:tcBorders>
              <w:top w:val="nil"/>
              <w:bottom w:val="single" w:sz="4" w:space="0" w:color="auto"/>
              <w:right w:val="single" w:sz="4" w:space="0" w:color="auto"/>
            </w:tcBorders>
            <w:vAlign w:val="bottom"/>
          </w:tcPr>
          <w:p w14:paraId="6778A1A3" w14:textId="4B3156A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(0.025)</w:t>
            </w:r>
          </w:p>
        </w:tc>
        <w:tc>
          <w:tcPr>
            <w:tcW w:w="1119" w:type="dxa"/>
            <w:tcBorders>
              <w:top w:val="nil"/>
              <w:left w:val="single" w:sz="4" w:space="0" w:color="auto"/>
              <w:bottom w:val="single" w:sz="4" w:space="0" w:color="auto"/>
              <w:right w:val="nil"/>
            </w:tcBorders>
            <w:shd w:val="clear" w:color="auto" w:fill="auto"/>
            <w:noWrap/>
            <w:vAlign w:val="bottom"/>
          </w:tcPr>
          <w:p w14:paraId="360A9D01" w14:textId="3CD58C6A" w:rsidR="00514EB1" w:rsidRPr="004A792A" w:rsidRDefault="00514EB1" w:rsidP="00514EB1">
            <w:pPr>
              <w:spacing w:before="0"/>
              <w:contextualSpacing/>
              <w:jc w:val="center"/>
              <w:rPr>
                <w:rFonts w:eastAsia="Times New Roman" w:cstheme="minorHAnsi"/>
                <w:sz w:val="20"/>
                <w:szCs w:val="20"/>
                <w:lang w:val="en-US"/>
              </w:rPr>
            </w:pPr>
          </w:p>
        </w:tc>
        <w:tc>
          <w:tcPr>
            <w:tcW w:w="1120" w:type="dxa"/>
            <w:tcBorders>
              <w:top w:val="nil"/>
              <w:left w:val="nil"/>
              <w:bottom w:val="single" w:sz="4" w:space="0" w:color="auto"/>
              <w:right w:val="nil"/>
            </w:tcBorders>
            <w:vAlign w:val="bottom"/>
          </w:tcPr>
          <w:p w14:paraId="3F1650D0" w14:textId="77777777" w:rsidR="00514EB1" w:rsidRPr="004A792A" w:rsidRDefault="00514EB1" w:rsidP="00514EB1">
            <w:pPr>
              <w:spacing w:before="0"/>
              <w:contextualSpacing/>
              <w:jc w:val="center"/>
              <w:rPr>
                <w:rFonts w:ascii="Calibri" w:hAnsi="Calibri" w:cs="Calibri"/>
                <w:sz w:val="20"/>
                <w:szCs w:val="20"/>
                <w:lang w:val="en-US"/>
              </w:rPr>
            </w:pPr>
          </w:p>
        </w:tc>
        <w:tc>
          <w:tcPr>
            <w:tcW w:w="1120" w:type="dxa"/>
            <w:tcBorders>
              <w:top w:val="nil"/>
              <w:left w:val="nil"/>
              <w:bottom w:val="single" w:sz="4" w:space="0" w:color="auto"/>
              <w:right w:val="nil"/>
            </w:tcBorders>
            <w:shd w:val="clear" w:color="auto" w:fill="auto"/>
            <w:noWrap/>
            <w:vAlign w:val="bottom"/>
          </w:tcPr>
          <w:p w14:paraId="5035FABE" w14:textId="3ED5356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(0.024)</w:t>
            </w:r>
          </w:p>
        </w:tc>
        <w:tc>
          <w:tcPr>
            <w:tcW w:w="1120" w:type="dxa"/>
            <w:tcBorders>
              <w:top w:val="nil"/>
              <w:left w:val="nil"/>
              <w:bottom w:val="single" w:sz="4" w:space="0" w:color="auto"/>
              <w:right w:val="nil"/>
            </w:tcBorders>
            <w:vAlign w:val="bottom"/>
          </w:tcPr>
          <w:p w14:paraId="085F92B3" w14:textId="146EA53C"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(0.027)</w:t>
            </w:r>
          </w:p>
        </w:tc>
      </w:tr>
      <w:tr w:rsidR="00514EB1" w:rsidRPr="004A792A" w14:paraId="12E56C15" w14:textId="558B802B" w:rsidTr="00567CCA">
        <w:tc>
          <w:tcPr>
            <w:tcW w:w="2977" w:type="dxa"/>
            <w:tcBorders>
              <w:top w:val="single" w:sz="4" w:space="0" w:color="auto"/>
              <w:left w:val="nil"/>
              <w:bottom w:val="nil"/>
              <w:right w:val="single" w:sz="4" w:space="0" w:color="auto"/>
            </w:tcBorders>
            <w:shd w:val="clear" w:color="auto" w:fill="auto"/>
            <w:noWrap/>
            <w:vAlign w:val="bottom"/>
            <w:hideMark/>
          </w:tcPr>
          <w:p w14:paraId="7735CE19"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Respondent's age</w:t>
            </w:r>
          </w:p>
        </w:tc>
        <w:tc>
          <w:tcPr>
            <w:tcW w:w="1119" w:type="dxa"/>
            <w:tcBorders>
              <w:top w:val="single" w:sz="4" w:space="0" w:color="auto"/>
              <w:left w:val="single" w:sz="4" w:space="0" w:color="auto"/>
              <w:bottom w:val="nil"/>
              <w:right w:val="nil"/>
            </w:tcBorders>
            <w:shd w:val="clear" w:color="auto" w:fill="auto"/>
            <w:noWrap/>
            <w:vAlign w:val="bottom"/>
          </w:tcPr>
          <w:p w14:paraId="66308EEA" w14:textId="73C5A91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0.217***</w:t>
            </w:r>
          </w:p>
        </w:tc>
        <w:tc>
          <w:tcPr>
            <w:tcW w:w="1120" w:type="dxa"/>
            <w:tcBorders>
              <w:top w:val="single" w:sz="4" w:space="0" w:color="auto"/>
              <w:left w:val="nil"/>
              <w:bottom w:val="nil"/>
              <w:right w:val="nil"/>
            </w:tcBorders>
            <w:vAlign w:val="bottom"/>
          </w:tcPr>
          <w:p w14:paraId="05D2FECF" w14:textId="00F4BD5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0.261***</w:t>
            </w:r>
          </w:p>
        </w:tc>
        <w:tc>
          <w:tcPr>
            <w:tcW w:w="1120" w:type="dxa"/>
            <w:tcBorders>
              <w:top w:val="single" w:sz="4" w:space="0" w:color="auto"/>
              <w:left w:val="nil"/>
              <w:bottom w:val="nil"/>
            </w:tcBorders>
            <w:shd w:val="clear" w:color="auto" w:fill="auto"/>
            <w:noWrap/>
            <w:vAlign w:val="bottom"/>
          </w:tcPr>
          <w:p w14:paraId="6FE78E55" w14:textId="481047F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0.203***</w:t>
            </w:r>
          </w:p>
        </w:tc>
        <w:tc>
          <w:tcPr>
            <w:tcW w:w="1119" w:type="dxa"/>
            <w:tcBorders>
              <w:top w:val="single" w:sz="4" w:space="0" w:color="auto"/>
              <w:bottom w:val="nil"/>
              <w:right w:val="single" w:sz="4" w:space="0" w:color="auto"/>
            </w:tcBorders>
            <w:vAlign w:val="bottom"/>
          </w:tcPr>
          <w:p w14:paraId="6D802A31" w14:textId="33A5794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0.247***</w:t>
            </w:r>
          </w:p>
        </w:tc>
        <w:tc>
          <w:tcPr>
            <w:tcW w:w="1119" w:type="dxa"/>
            <w:tcBorders>
              <w:top w:val="single" w:sz="4" w:space="0" w:color="auto"/>
              <w:left w:val="single" w:sz="4" w:space="0" w:color="auto"/>
              <w:bottom w:val="nil"/>
              <w:right w:val="nil"/>
            </w:tcBorders>
            <w:shd w:val="clear" w:color="auto" w:fill="auto"/>
            <w:noWrap/>
            <w:vAlign w:val="bottom"/>
          </w:tcPr>
          <w:p w14:paraId="214C3F3A" w14:textId="6E2AF7C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0.108***</w:t>
            </w:r>
          </w:p>
        </w:tc>
        <w:tc>
          <w:tcPr>
            <w:tcW w:w="1120" w:type="dxa"/>
            <w:tcBorders>
              <w:top w:val="single" w:sz="4" w:space="0" w:color="auto"/>
              <w:left w:val="nil"/>
              <w:bottom w:val="nil"/>
              <w:right w:val="nil"/>
            </w:tcBorders>
            <w:vAlign w:val="bottom"/>
          </w:tcPr>
          <w:p w14:paraId="329E16EA" w14:textId="01707CB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0.152***</w:t>
            </w:r>
          </w:p>
        </w:tc>
        <w:tc>
          <w:tcPr>
            <w:tcW w:w="1120" w:type="dxa"/>
            <w:tcBorders>
              <w:top w:val="single" w:sz="4" w:space="0" w:color="auto"/>
              <w:left w:val="nil"/>
              <w:bottom w:val="nil"/>
              <w:right w:val="nil"/>
            </w:tcBorders>
            <w:shd w:val="clear" w:color="auto" w:fill="auto"/>
            <w:noWrap/>
            <w:vAlign w:val="bottom"/>
          </w:tcPr>
          <w:p w14:paraId="052260BA" w14:textId="536D2FD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0.113***</w:t>
            </w:r>
          </w:p>
        </w:tc>
        <w:tc>
          <w:tcPr>
            <w:tcW w:w="1120" w:type="dxa"/>
            <w:tcBorders>
              <w:top w:val="single" w:sz="4" w:space="0" w:color="auto"/>
              <w:left w:val="nil"/>
              <w:bottom w:val="nil"/>
              <w:right w:val="nil"/>
            </w:tcBorders>
            <w:vAlign w:val="bottom"/>
          </w:tcPr>
          <w:p w14:paraId="63C0D2BA" w14:textId="1ED1A0F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0.156***</w:t>
            </w:r>
          </w:p>
        </w:tc>
      </w:tr>
      <w:tr w:rsidR="00514EB1" w:rsidRPr="004A792A" w14:paraId="10673622" w14:textId="776112FE" w:rsidTr="00567CCA">
        <w:tc>
          <w:tcPr>
            <w:tcW w:w="2977" w:type="dxa"/>
            <w:tcBorders>
              <w:top w:val="nil"/>
              <w:left w:val="nil"/>
              <w:right w:val="single" w:sz="4" w:space="0" w:color="auto"/>
            </w:tcBorders>
            <w:shd w:val="clear" w:color="auto" w:fill="auto"/>
            <w:noWrap/>
            <w:vAlign w:val="bottom"/>
            <w:hideMark/>
          </w:tcPr>
          <w:p w14:paraId="06701110"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right w:val="nil"/>
            </w:tcBorders>
            <w:shd w:val="clear" w:color="auto" w:fill="auto"/>
            <w:noWrap/>
            <w:vAlign w:val="bottom"/>
          </w:tcPr>
          <w:p w14:paraId="144B4578" w14:textId="6B187F0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(0.004)</w:t>
            </w:r>
          </w:p>
        </w:tc>
        <w:tc>
          <w:tcPr>
            <w:tcW w:w="1120" w:type="dxa"/>
            <w:tcBorders>
              <w:top w:val="nil"/>
              <w:left w:val="nil"/>
              <w:right w:val="nil"/>
            </w:tcBorders>
            <w:vAlign w:val="bottom"/>
          </w:tcPr>
          <w:p w14:paraId="4F5A5D9C" w14:textId="25CD962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(0.004)</w:t>
            </w:r>
          </w:p>
        </w:tc>
        <w:tc>
          <w:tcPr>
            <w:tcW w:w="1120" w:type="dxa"/>
            <w:tcBorders>
              <w:top w:val="nil"/>
              <w:left w:val="nil"/>
            </w:tcBorders>
            <w:shd w:val="clear" w:color="auto" w:fill="auto"/>
            <w:noWrap/>
            <w:vAlign w:val="bottom"/>
          </w:tcPr>
          <w:p w14:paraId="26B4B7FB" w14:textId="5B05CD40"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(0.004)</w:t>
            </w:r>
          </w:p>
        </w:tc>
        <w:tc>
          <w:tcPr>
            <w:tcW w:w="1119" w:type="dxa"/>
            <w:tcBorders>
              <w:top w:val="nil"/>
              <w:right w:val="single" w:sz="4" w:space="0" w:color="auto"/>
            </w:tcBorders>
            <w:vAlign w:val="bottom"/>
          </w:tcPr>
          <w:p w14:paraId="649CD01D" w14:textId="089FF8D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(0.004)</w:t>
            </w:r>
          </w:p>
        </w:tc>
        <w:tc>
          <w:tcPr>
            <w:tcW w:w="1119" w:type="dxa"/>
            <w:tcBorders>
              <w:top w:val="nil"/>
              <w:left w:val="single" w:sz="4" w:space="0" w:color="auto"/>
              <w:right w:val="nil"/>
            </w:tcBorders>
            <w:shd w:val="clear" w:color="auto" w:fill="auto"/>
            <w:noWrap/>
            <w:vAlign w:val="bottom"/>
          </w:tcPr>
          <w:p w14:paraId="7E02D22D" w14:textId="7C1A8C8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(0.004)</w:t>
            </w:r>
          </w:p>
        </w:tc>
        <w:tc>
          <w:tcPr>
            <w:tcW w:w="1120" w:type="dxa"/>
            <w:tcBorders>
              <w:top w:val="nil"/>
              <w:left w:val="nil"/>
              <w:right w:val="nil"/>
            </w:tcBorders>
            <w:vAlign w:val="bottom"/>
          </w:tcPr>
          <w:p w14:paraId="728FADF7" w14:textId="218ED06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(0.004)</w:t>
            </w:r>
          </w:p>
        </w:tc>
        <w:tc>
          <w:tcPr>
            <w:tcW w:w="1120" w:type="dxa"/>
            <w:tcBorders>
              <w:top w:val="nil"/>
              <w:left w:val="nil"/>
              <w:right w:val="nil"/>
            </w:tcBorders>
            <w:shd w:val="clear" w:color="auto" w:fill="auto"/>
            <w:noWrap/>
            <w:vAlign w:val="bottom"/>
          </w:tcPr>
          <w:p w14:paraId="4D45F8D1" w14:textId="7EDD7E2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(0.004)</w:t>
            </w:r>
          </w:p>
        </w:tc>
        <w:tc>
          <w:tcPr>
            <w:tcW w:w="1120" w:type="dxa"/>
            <w:tcBorders>
              <w:top w:val="nil"/>
              <w:left w:val="nil"/>
              <w:right w:val="nil"/>
            </w:tcBorders>
            <w:vAlign w:val="bottom"/>
          </w:tcPr>
          <w:p w14:paraId="622289EA" w14:textId="123D27E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(0.004)</w:t>
            </w:r>
          </w:p>
        </w:tc>
      </w:tr>
      <w:tr w:rsidR="00514EB1" w:rsidRPr="004A792A" w14:paraId="6D981E0E" w14:textId="6211C8B9" w:rsidTr="00567CCA">
        <w:tc>
          <w:tcPr>
            <w:tcW w:w="2977" w:type="dxa"/>
            <w:tcBorders>
              <w:top w:val="nil"/>
              <w:left w:val="nil"/>
              <w:bottom w:val="nil"/>
              <w:right w:val="single" w:sz="4" w:space="0" w:color="auto"/>
            </w:tcBorders>
            <w:shd w:val="clear" w:color="auto" w:fill="auto"/>
            <w:noWrap/>
            <w:vAlign w:val="bottom"/>
            <w:hideMark/>
          </w:tcPr>
          <w:p w14:paraId="62945F69"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Age squared (divided by 100)</w:t>
            </w:r>
          </w:p>
        </w:tc>
        <w:tc>
          <w:tcPr>
            <w:tcW w:w="1119" w:type="dxa"/>
            <w:tcBorders>
              <w:top w:val="nil"/>
              <w:left w:val="single" w:sz="4" w:space="0" w:color="auto"/>
              <w:bottom w:val="nil"/>
              <w:right w:val="nil"/>
            </w:tcBorders>
            <w:shd w:val="clear" w:color="auto" w:fill="auto"/>
            <w:noWrap/>
            <w:vAlign w:val="bottom"/>
          </w:tcPr>
          <w:p w14:paraId="711D2DA9" w14:textId="4F30E0C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-0.268***</w:t>
            </w:r>
          </w:p>
        </w:tc>
        <w:tc>
          <w:tcPr>
            <w:tcW w:w="1120" w:type="dxa"/>
            <w:tcBorders>
              <w:top w:val="nil"/>
              <w:left w:val="nil"/>
              <w:bottom w:val="nil"/>
              <w:right w:val="nil"/>
            </w:tcBorders>
            <w:vAlign w:val="bottom"/>
          </w:tcPr>
          <w:p w14:paraId="3E8495A5" w14:textId="212CD31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-0.325***</w:t>
            </w:r>
          </w:p>
        </w:tc>
        <w:tc>
          <w:tcPr>
            <w:tcW w:w="1120" w:type="dxa"/>
            <w:tcBorders>
              <w:top w:val="nil"/>
              <w:left w:val="nil"/>
              <w:bottom w:val="nil"/>
            </w:tcBorders>
            <w:shd w:val="clear" w:color="auto" w:fill="auto"/>
            <w:noWrap/>
            <w:vAlign w:val="bottom"/>
          </w:tcPr>
          <w:p w14:paraId="076DA987" w14:textId="4FAA0EA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-0.251***</w:t>
            </w:r>
          </w:p>
        </w:tc>
        <w:tc>
          <w:tcPr>
            <w:tcW w:w="1119" w:type="dxa"/>
            <w:tcBorders>
              <w:top w:val="nil"/>
              <w:bottom w:val="nil"/>
              <w:right w:val="single" w:sz="4" w:space="0" w:color="auto"/>
            </w:tcBorders>
            <w:vAlign w:val="bottom"/>
          </w:tcPr>
          <w:p w14:paraId="72AC4C16" w14:textId="4A016148"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-0.311***</w:t>
            </w:r>
          </w:p>
        </w:tc>
        <w:tc>
          <w:tcPr>
            <w:tcW w:w="1119" w:type="dxa"/>
            <w:tcBorders>
              <w:top w:val="nil"/>
              <w:left w:val="single" w:sz="4" w:space="0" w:color="auto"/>
              <w:bottom w:val="nil"/>
              <w:right w:val="nil"/>
            </w:tcBorders>
            <w:shd w:val="clear" w:color="auto" w:fill="auto"/>
            <w:noWrap/>
            <w:vAlign w:val="bottom"/>
          </w:tcPr>
          <w:p w14:paraId="150D60B6" w14:textId="31FDD29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-0.125***</w:t>
            </w:r>
          </w:p>
        </w:tc>
        <w:tc>
          <w:tcPr>
            <w:tcW w:w="1120" w:type="dxa"/>
            <w:tcBorders>
              <w:top w:val="nil"/>
              <w:left w:val="nil"/>
              <w:bottom w:val="nil"/>
              <w:right w:val="nil"/>
            </w:tcBorders>
            <w:vAlign w:val="bottom"/>
          </w:tcPr>
          <w:p w14:paraId="7DF7355E" w14:textId="7185812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-0.189***</w:t>
            </w:r>
          </w:p>
        </w:tc>
        <w:tc>
          <w:tcPr>
            <w:tcW w:w="1120" w:type="dxa"/>
            <w:tcBorders>
              <w:top w:val="nil"/>
              <w:left w:val="nil"/>
              <w:bottom w:val="nil"/>
              <w:right w:val="nil"/>
            </w:tcBorders>
            <w:shd w:val="clear" w:color="auto" w:fill="auto"/>
            <w:noWrap/>
            <w:vAlign w:val="bottom"/>
          </w:tcPr>
          <w:p w14:paraId="3D43D03A" w14:textId="29B80D1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-0.132***</w:t>
            </w:r>
          </w:p>
        </w:tc>
        <w:tc>
          <w:tcPr>
            <w:tcW w:w="1120" w:type="dxa"/>
            <w:tcBorders>
              <w:top w:val="nil"/>
              <w:left w:val="nil"/>
              <w:bottom w:val="nil"/>
              <w:right w:val="nil"/>
            </w:tcBorders>
            <w:vAlign w:val="bottom"/>
          </w:tcPr>
          <w:p w14:paraId="5F4E3E91" w14:textId="14DAB1B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-0.195***</w:t>
            </w:r>
          </w:p>
        </w:tc>
      </w:tr>
      <w:tr w:rsidR="00514EB1" w:rsidRPr="004A792A" w14:paraId="51518F6E" w14:textId="57C326F4" w:rsidTr="00567CCA">
        <w:tc>
          <w:tcPr>
            <w:tcW w:w="2977" w:type="dxa"/>
            <w:tcBorders>
              <w:top w:val="nil"/>
              <w:left w:val="nil"/>
              <w:bottom w:val="single" w:sz="4" w:space="0" w:color="auto"/>
              <w:right w:val="single" w:sz="4" w:space="0" w:color="auto"/>
            </w:tcBorders>
            <w:shd w:val="clear" w:color="auto" w:fill="auto"/>
            <w:noWrap/>
            <w:vAlign w:val="bottom"/>
            <w:hideMark/>
          </w:tcPr>
          <w:p w14:paraId="7FC5E8E2"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66841239" w14:textId="24E0F0E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(0.005)</w:t>
            </w:r>
          </w:p>
        </w:tc>
        <w:tc>
          <w:tcPr>
            <w:tcW w:w="1120" w:type="dxa"/>
            <w:tcBorders>
              <w:top w:val="nil"/>
              <w:left w:val="nil"/>
              <w:bottom w:val="single" w:sz="4" w:space="0" w:color="auto"/>
              <w:right w:val="nil"/>
            </w:tcBorders>
            <w:vAlign w:val="bottom"/>
          </w:tcPr>
          <w:p w14:paraId="2B871351" w14:textId="6486C0E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(0.005)</w:t>
            </w:r>
          </w:p>
        </w:tc>
        <w:tc>
          <w:tcPr>
            <w:tcW w:w="1120" w:type="dxa"/>
            <w:tcBorders>
              <w:top w:val="nil"/>
              <w:left w:val="nil"/>
              <w:bottom w:val="single" w:sz="4" w:space="0" w:color="auto"/>
            </w:tcBorders>
            <w:shd w:val="clear" w:color="auto" w:fill="auto"/>
            <w:noWrap/>
            <w:vAlign w:val="bottom"/>
          </w:tcPr>
          <w:p w14:paraId="73BBF2BD" w14:textId="20A463B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(0.005)</w:t>
            </w:r>
          </w:p>
        </w:tc>
        <w:tc>
          <w:tcPr>
            <w:tcW w:w="1119" w:type="dxa"/>
            <w:tcBorders>
              <w:top w:val="nil"/>
              <w:bottom w:val="single" w:sz="4" w:space="0" w:color="auto"/>
              <w:right w:val="single" w:sz="4" w:space="0" w:color="auto"/>
            </w:tcBorders>
            <w:vAlign w:val="bottom"/>
          </w:tcPr>
          <w:p w14:paraId="4C60DB46" w14:textId="5D91797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(0.005)</w:t>
            </w:r>
          </w:p>
        </w:tc>
        <w:tc>
          <w:tcPr>
            <w:tcW w:w="1119" w:type="dxa"/>
            <w:tcBorders>
              <w:top w:val="nil"/>
              <w:left w:val="single" w:sz="4" w:space="0" w:color="auto"/>
              <w:bottom w:val="single" w:sz="4" w:space="0" w:color="auto"/>
              <w:right w:val="nil"/>
            </w:tcBorders>
            <w:shd w:val="clear" w:color="auto" w:fill="auto"/>
            <w:noWrap/>
            <w:vAlign w:val="bottom"/>
          </w:tcPr>
          <w:p w14:paraId="0C5C3B4B" w14:textId="30ED568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(0.005)</w:t>
            </w:r>
          </w:p>
        </w:tc>
        <w:tc>
          <w:tcPr>
            <w:tcW w:w="1120" w:type="dxa"/>
            <w:tcBorders>
              <w:top w:val="nil"/>
              <w:left w:val="nil"/>
              <w:bottom w:val="single" w:sz="4" w:space="0" w:color="auto"/>
              <w:right w:val="nil"/>
            </w:tcBorders>
            <w:vAlign w:val="bottom"/>
          </w:tcPr>
          <w:p w14:paraId="69F6B17A" w14:textId="1C1CFE11"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(0.005)</w:t>
            </w:r>
          </w:p>
        </w:tc>
        <w:tc>
          <w:tcPr>
            <w:tcW w:w="1120" w:type="dxa"/>
            <w:tcBorders>
              <w:top w:val="nil"/>
              <w:left w:val="nil"/>
              <w:bottom w:val="single" w:sz="4" w:space="0" w:color="auto"/>
              <w:right w:val="nil"/>
            </w:tcBorders>
            <w:shd w:val="clear" w:color="auto" w:fill="auto"/>
            <w:noWrap/>
            <w:vAlign w:val="bottom"/>
          </w:tcPr>
          <w:p w14:paraId="495B5ED3" w14:textId="1F4B8C2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(0.005)</w:t>
            </w:r>
          </w:p>
        </w:tc>
        <w:tc>
          <w:tcPr>
            <w:tcW w:w="1120" w:type="dxa"/>
            <w:tcBorders>
              <w:top w:val="nil"/>
              <w:left w:val="nil"/>
              <w:bottom w:val="single" w:sz="4" w:space="0" w:color="auto"/>
              <w:right w:val="nil"/>
            </w:tcBorders>
            <w:vAlign w:val="bottom"/>
          </w:tcPr>
          <w:p w14:paraId="74BA3627" w14:textId="304D3E1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(0.006)</w:t>
            </w:r>
          </w:p>
        </w:tc>
      </w:tr>
      <w:tr w:rsidR="00514EB1" w:rsidRPr="004A792A" w14:paraId="09BD0382" w14:textId="26BC7C5E" w:rsidTr="00567CCA">
        <w:tc>
          <w:tcPr>
            <w:tcW w:w="2977" w:type="dxa"/>
            <w:tcBorders>
              <w:top w:val="single" w:sz="4" w:space="0" w:color="auto"/>
              <w:left w:val="nil"/>
              <w:bottom w:val="nil"/>
              <w:right w:val="single" w:sz="4" w:space="0" w:color="auto"/>
            </w:tcBorders>
            <w:shd w:val="clear" w:color="auto" w:fill="auto"/>
            <w:noWrap/>
            <w:vAlign w:val="bottom"/>
            <w:hideMark/>
          </w:tcPr>
          <w:p w14:paraId="40F85371"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Married</w:t>
            </w:r>
          </w:p>
        </w:tc>
        <w:tc>
          <w:tcPr>
            <w:tcW w:w="1119" w:type="dxa"/>
            <w:tcBorders>
              <w:top w:val="single" w:sz="4" w:space="0" w:color="auto"/>
              <w:left w:val="single" w:sz="4" w:space="0" w:color="auto"/>
              <w:bottom w:val="nil"/>
              <w:right w:val="nil"/>
            </w:tcBorders>
            <w:shd w:val="clear" w:color="auto" w:fill="auto"/>
            <w:noWrap/>
            <w:vAlign w:val="bottom"/>
          </w:tcPr>
          <w:p w14:paraId="11A5DFC9" w14:textId="1E53C47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0.211***</w:t>
            </w:r>
          </w:p>
        </w:tc>
        <w:tc>
          <w:tcPr>
            <w:tcW w:w="1120" w:type="dxa"/>
            <w:tcBorders>
              <w:top w:val="single" w:sz="4" w:space="0" w:color="auto"/>
              <w:left w:val="nil"/>
              <w:bottom w:val="nil"/>
              <w:right w:val="nil"/>
            </w:tcBorders>
            <w:vAlign w:val="bottom"/>
          </w:tcPr>
          <w:p w14:paraId="3A246984" w14:textId="0EA5918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0.125***</w:t>
            </w:r>
          </w:p>
        </w:tc>
        <w:tc>
          <w:tcPr>
            <w:tcW w:w="1120" w:type="dxa"/>
            <w:tcBorders>
              <w:top w:val="single" w:sz="4" w:space="0" w:color="auto"/>
              <w:left w:val="nil"/>
              <w:bottom w:val="nil"/>
            </w:tcBorders>
            <w:shd w:val="clear" w:color="auto" w:fill="auto"/>
            <w:noWrap/>
            <w:vAlign w:val="bottom"/>
          </w:tcPr>
          <w:p w14:paraId="2386CB4F" w14:textId="00CBCE2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0.255***</w:t>
            </w:r>
          </w:p>
        </w:tc>
        <w:tc>
          <w:tcPr>
            <w:tcW w:w="1119" w:type="dxa"/>
            <w:tcBorders>
              <w:top w:val="single" w:sz="4" w:space="0" w:color="auto"/>
              <w:bottom w:val="nil"/>
              <w:right w:val="single" w:sz="4" w:space="0" w:color="auto"/>
            </w:tcBorders>
            <w:vAlign w:val="bottom"/>
          </w:tcPr>
          <w:p w14:paraId="48001932" w14:textId="25B0117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0.195***</w:t>
            </w:r>
          </w:p>
        </w:tc>
        <w:tc>
          <w:tcPr>
            <w:tcW w:w="1119" w:type="dxa"/>
            <w:tcBorders>
              <w:top w:val="single" w:sz="4" w:space="0" w:color="auto"/>
              <w:left w:val="single" w:sz="4" w:space="0" w:color="auto"/>
              <w:bottom w:val="nil"/>
              <w:right w:val="nil"/>
            </w:tcBorders>
            <w:shd w:val="clear" w:color="auto" w:fill="auto"/>
            <w:noWrap/>
            <w:vAlign w:val="bottom"/>
          </w:tcPr>
          <w:p w14:paraId="05324C67" w14:textId="6E9B12FE"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0.359***</w:t>
            </w:r>
          </w:p>
        </w:tc>
        <w:tc>
          <w:tcPr>
            <w:tcW w:w="1120" w:type="dxa"/>
            <w:tcBorders>
              <w:top w:val="single" w:sz="4" w:space="0" w:color="auto"/>
              <w:left w:val="nil"/>
              <w:bottom w:val="nil"/>
              <w:right w:val="nil"/>
            </w:tcBorders>
            <w:vAlign w:val="bottom"/>
          </w:tcPr>
          <w:p w14:paraId="79EE457B" w14:textId="4E347CE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0.404***</w:t>
            </w:r>
          </w:p>
        </w:tc>
        <w:tc>
          <w:tcPr>
            <w:tcW w:w="1120" w:type="dxa"/>
            <w:tcBorders>
              <w:top w:val="single" w:sz="4" w:space="0" w:color="auto"/>
              <w:left w:val="nil"/>
              <w:bottom w:val="nil"/>
              <w:right w:val="nil"/>
            </w:tcBorders>
            <w:shd w:val="clear" w:color="auto" w:fill="auto"/>
            <w:noWrap/>
            <w:vAlign w:val="bottom"/>
          </w:tcPr>
          <w:p w14:paraId="75A9AF75" w14:textId="4EA90F1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0.400***</w:t>
            </w:r>
          </w:p>
        </w:tc>
        <w:tc>
          <w:tcPr>
            <w:tcW w:w="1120" w:type="dxa"/>
            <w:tcBorders>
              <w:top w:val="single" w:sz="4" w:space="0" w:color="auto"/>
              <w:left w:val="nil"/>
              <w:bottom w:val="nil"/>
              <w:right w:val="nil"/>
            </w:tcBorders>
            <w:vAlign w:val="bottom"/>
          </w:tcPr>
          <w:p w14:paraId="27FBE1EA" w14:textId="46B60A9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0.435***</w:t>
            </w:r>
          </w:p>
        </w:tc>
      </w:tr>
      <w:tr w:rsidR="00514EB1" w:rsidRPr="004A792A" w14:paraId="1BA85B09" w14:textId="05169797" w:rsidTr="00567CCA">
        <w:tc>
          <w:tcPr>
            <w:tcW w:w="2977" w:type="dxa"/>
            <w:tcBorders>
              <w:top w:val="nil"/>
              <w:left w:val="nil"/>
              <w:bottom w:val="nil"/>
              <w:right w:val="single" w:sz="4" w:space="0" w:color="auto"/>
            </w:tcBorders>
            <w:shd w:val="clear" w:color="auto" w:fill="auto"/>
            <w:noWrap/>
            <w:vAlign w:val="bottom"/>
            <w:hideMark/>
          </w:tcPr>
          <w:p w14:paraId="333C4A33"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2AF7544E" w14:textId="50C196D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20" w:type="dxa"/>
            <w:tcBorders>
              <w:top w:val="nil"/>
              <w:left w:val="nil"/>
              <w:bottom w:val="nil"/>
              <w:right w:val="nil"/>
            </w:tcBorders>
            <w:vAlign w:val="bottom"/>
          </w:tcPr>
          <w:p w14:paraId="2C6632A9" w14:textId="2DC4178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(0.028)</w:t>
            </w:r>
          </w:p>
        </w:tc>
        <w:tc>
          <w:tcPr>
            <w:tcW w:w="1120" w:type="dxa"/>
            <w:tcBorders>
              <w:top w:val="nil"/>
              <w:left w:val="nil"/>
              <w:bottom w:val="nil"/>
            </w:tcBorders>
            <w:shd w:val="clear" w:color="auto" w:fill="auto"/>
            <w:noWrap/>
            <w:vAlign w:val="bottom"/>
          </w:tcPr>
          <w:p w14:paraId="6D69FCA4" w14:textId="56C7B869"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19" w:type="dxa"/>
            <w:tcBorders>
              <w:top w:val="nil"/>
              <w:bottom w:val="nil"/>
              <w:right w:val="single" w:sz="4" w:space="0" w:color="auto"/>
            </w:tcBorders>
            <w:vAlign w:val="bottom"/>
          </w:tcPr>
          <w:p w14:paraId="3834AF19" w14:textId="46FA859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(0.029)</w:t>
            </w:r>
          </w:p>
        </w:tc>
        <w:tc>
          <w:tcPr>
            <w:tcW w:w="1119" w:type="dxa"/>
            <w:tcBorders>
              <w:top w:val="nil"/>
              <w:left w:val="single" w:sz="4" w:space="0" w:color="auto"/>
              <w:bottom w:val="nil"/>
              <w:right w:val="nil"/>
            </w:tcBorders>
            <w:shd w:val="clear" w:color="auto" w:fill="auto"/>
            <w:noWrap/>
            <w:vAlign w:val="bottom"/>
          </w:tcPr>
          <w:p w14:paraId="160E0449" w14:textId="13E3A57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(0.021)</w:t>
            </w:r>
          </w:p>
        </w:tc>
        <w:tc>
          <w:tcPr>
            <w:tcW w:w="1120" w:type="dxa"/>
            <w:tcBorders>
              <w:top w:val="nil"/>
              <w:left w:val="nil"/>
              <w:bottom w:val="nil"/>
              <w:right w:val="nil"/>
            </w:tcBorders>
            <w:vAlign w:val="bottom"/>
          </w:tcPr>
          <w:p w14:paraId="400CD7F9" w14:textId="1F503F4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(0.024)</w:t>
            </w:r>
          </w:p>
        </w:tc>
        <w:tc>
          <w:tcPr>
            <w:tcW w:w="1120" w:type="dxa"/>
            <w:tcBorders>
              <w:top w:val="nil"/>
              <w:left w:val="nil"/>
              <w:bottom w:val="nil"/>
              <w:right w:val="nil"/>
            </w:tcBorders>
            <w:shd w:val="clear" w:color="auto" w:fill="auto"/>
            <w:noWrap/>
            <w:vAlign w:val="bottom"/>
          </w:tcPr>
          <w:p w14:paraId="32C71CCB" w14:textId="6498F16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(0.022)</w:t>
            </w:r>
          </w:p>
        </w:tc>
        <w:tc>
          <w:tcPr>
            <w:tcW w:w="1120" w:type="dxa"/>
            <w:tcBorders>
              <w:top w:val="nil"/>
              <w:left w:val="nil"/>
              <w:bottom w:val="nil"/>
              <w:right w:val="nil"/>
            </w:tcBorders>
            <w:vAlign w:val="bottom"/>
          </w:tcPr>
          <w:p w14:paraId="4EC23D91" w14:textId="5A717EA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(0.025)</w:t>
            </w:r>
          </w:p>
        </w:tc>
      </w:tr>
      <w:tr w:rsidR="00514EB1" w:rsidRPr="004A792A" w14:paraId="7D5E7B4A" w14:textId="0CC0C8FB" w:rsidTr="00567CCA">
        <w:tc>
          <w:tcPr>
            <w:tcW w:w="2977" w:type="dxa"/>
            <w:tcBorders>
              <w:top w:val="nil"/>
              <w:left w:val="nil"/>
              <w:bottom w:val="nil"/>
              <w:right w:val="single" w:sz="4" w:space="0" w:color="auto"/>
            </w:tcBorders>
            <w:shd w:val="clear" w:color="auto" w:fill="auto"/>
            <w:noWrap/>
            <w:vAlign w:val="bottom"/>
            <w:hideMark/>
          </w:tcPr>
          <w:p w14:paraId="24B92018"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Widowed</w:t>
            </w:r>
          </w:p>
        </w:tc>
        <w:tc>
          <w:tcPr>
            <w:tcW w:w="1119" w:type="dxa"/>
            <w:tcBorders>
              <w:top w:val="nil"/>
              <w:left w:val="single" w:sz="4" w:space="0" w:color="auto"/>
              <w:bottom w:val="nil"/>
              <w:right w:val="nil"/>
            </w:tcBorders>
            <w:shd w:val="clear" w:color="auto" w:fill="auto"/>
            <w:noWrap/>
            <w:vAlign w:val="bottom"/>
          </w:tcPr>
          <w:p w14:paraId="6D10F88E" w14:textId="4F152AD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0.130***</w:t>
            </w:r>
          </w:p>
        </w:tc>
        <w:tc>
          <w:tcPr>
            <w:tcW w:w="1120" w:type="dxa"/>
            <w:tcBorders>
              <w:top w:val="nil"/>
              <w:left w:val="nil"/>
              <w:bottom w:val="nil"/>
              <w:right w:val="nil"/>
            </w:tcBorders>
            <w:vAlign w:val="bottom"/>
          </w:tcPr>
          <w:p w14:paraId="3FCF2A36" w14:textId="7A18F681"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0.057**</w:t>
            </w:r>
          </w:p>
        </w:tc>
        <w:tc>
          <w:tcPr>
            <w:tcW w:w="1120" w:type="dxa"/>
            <w:tcBorders>
              <w:top w:val="nil"/>
              <w:left w:val="nil"/>
              <w:bottom w:val="nil"/>
            </w:tcBorders>
            <w:shd w:val="clear" w:color="auto" w:fill="auto"/>
            <w:noWrap/>
            <w:vAlign w:val="bottom"/>
          </w:tcPr>
          <w:p w14:paraId="3F1C567F" w14:textId="2AB5BDD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0.170***</w:t>
            </w:r>
          </w:p>
        </w:tc>
        <w:tc>
          <w:tcPr>
            <w:tcW w:w="1119" w:type="dxa"/>
            <w:tcBorders>
              <w:top w:val="nil"/>
              <w:bottom w:val="nil"/>
              <w:right w:val="single" w:sz="4" w:space="0" w:color="auto"/>
            </w:tcBorders>
            <w:vAlign w:val="bottom"/>
          </w:tcPr>
          <w:p w14:paraId="7AC2D7A8" w14:textId="1941524D"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0.122***</w:t>
            </w:r>
          </w:p>
        </w:tc>
        <w:tc>
          <w:tcPr>
            <w:tcW w:w="1119" w:type="dxa"/>
            <w:tcBorders>
              <w:top w:val="nil"/>
              <w:left w:val="single" w:sz="4" w:space="0" w:color="auto"/>
              <w:bottom w:val="nil"/>
              <w:right w:val="nil"/>
            </w:tcBorders>
            <w:shd w:val="clear" w:color="auto" w:fill="auto"/>
            <w:noWrap/>
            <w:vAlign w:val="bottom"/>
          </w:tcPr>
          <w:p w14:paraId="3D2F2A2B" w14:textId="79FF225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0.187***</w:t>
            </w:r>
          </w:p>
        </w:tc>
        <w:tc>
          <w:tcPr>
            <w:tcW w:w="1120" w:type="dxa"/>
            <w:tcBorders>
              <w:top w:val="nil"/>
              <w:left w:val="nil"/>
              <w:bottom w:val="nil"/>
              <w:right w:val="nil"/>
            </w:tcBorders>
            <w:vAlign w:val="bottom"/>
          </w:tcPr>
          <w:p w14:paraId="1C7CE4DC" w14:textId="4BD58A0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0.143***</w:t>
            </w:r>
          </w:p>
        </w:tc>
        <w:tc>
          <w:tcPr>
            <w:tcW w:w="1120" w:type="dxa"/>
            <w:tcBorders>
              <w:top w:val="nil"/>
              <w:left w:val="nil"/>
              <w:bottom w:val="nil"/>
              <w:right w:val="nil"/>
            </w:tcBorders>
            <w:shd w:val="clear" w:color="auto" w:fill="auto"/>
            <w:noWrap/>
            <w:vAlign w:val="bottom"/>
          </w:tcPr>
          <w:p w14:paraId="557179E7" w14:textId="5A1CCBF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0.216***</w:t>
            </w:r>
          </w:p>
        </w:tc>
        <w:tc>
          <w:tcPr>
            <w:tcW w:w="1120" w:type="dxa"/>
            <w:tcBorders>
              <w:top w:val="nil"/>
              <w:left w:val="nil"/>
              <w:bottom w:val="nil"/>
              <w:right w:val="nil"/>
            </w:tcBorders>
            <w:vAlign w:val="bottom"/>
          </w:tcPr>
          <w:p w14:paraId="5AEB0ED6" w14:textId="1DCA918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0.165***</w:t>
            </w:r>
          </w:p>
        </w:tc>
      </w:tr>
      <w:tr w:rsidR="00514EB1" w:rsidRPr="004A792A" w14:paraId="5D79B8EF" w14:textId="06A516CA" w:rsidTr="00567CCA">
        <w:tc>
          <w:tcPr>
            <w:tcW w:w="2977" w:type="dxa"/>
            <w:tcBorders>
              <w:top w:val="nil"/>
              <w:left w:val="nil"/>
              <w:bottom w:val="nil"/>
              <w:right w:val="single" w:sz="4" w:space="0" w:color="auto"/>
            </w:tcBorders>
            <w:shd w:val="clear" w:color="auto" w:fill="auto"/>
            <w:noWrap/>
            <w:vAlign w:val="bottom"/>
            <w:hideMark/>
          </w:tcPr>
          <w:p w14:paraId="2CACC710"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7B5D69FB" w14:textId="7F3D17F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20" w:type="dxa"/>
            <w:tcBorders>
              <w:top w:val="nil"/>
              <w:left w:val="nil"/>
              <w:bottom w:val="nil"/>
              <w:right w:val="nil"/>
            </w:tcBorders>
            <w:vAlign w:val="bottom"/>
          </w:tcPr>
          <w:p w14:paraId="6DDC702D" w14:textId="65CC721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(0.028)</w:t>
            </w:r>
          </w:p>
        </w:tc>
        <w:tc>
          <w:tcPr>
            <w:tcW w:w="1120" w:type="dxa"/>
            <w:tcBorders>
              <w:top w:val="nil"/>
              <w:left w:val="nil"/>
              <w:bottom w:val="nil"/>
            </w:tcBorders>
            <w:shd w:val="clear" w:color="auto" w:fill="auto"/>
            <w:noWrap/>
            <w:vAlign w:val="bottom"/>
          </w:tcPr>
          <w:p w14:paraId="49B7B2BA" w14:textId="6F41817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19" w:type="dxa"/>
            <w:tcBorders>
              <w:top w:val="nil"/>
              <w:bottom w:val="nil"/>
              <w:right w:val="single" w:sz="4" w:space="0" w:color="auto"/>
            </w:tcBorders>
            <w:vAlign w:val="bottom"/>
          </w:tcPr>
          <w:p w14:paraId="48D086AD" w14:textId="3F0FC8E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(0.029)</w:t>
            </w:r>
          </w:p>
        </w:tc>
        <w:tc>
          <w:tcPr>
            <w:tcW w:w="1119" w:type="dxa"/>
            <w:tcBorders>
              <w:top w:val="nil"/>
              <w:left w:val="single" w:sz="4" w:space="0" w:color="auto"/>
              <w:bottom w:val="nil"/>
              <w:right w:val="nil"/>
            </w:tcBorders>
            <w:shd w:val="clear" w:color="auto" w:fill="auto"/>
            <w:noWrap/>
            <w:vAlign w:val="bottom"/>
          </w:tcPr>
          <w:p w14:paraId="27505CD1" w14:textId="5B9A514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(0.035)</w:t>
            </w:r>
          </w:p>
        </w:tc>
        <w:tc>
          <w:tcPr>
            <w:tcW w:w="1120" w:type="dxa"/>
            <w:tcBorders>
              <w:top w:val="nil"/>
              <w:left w:val="nil"/>
              <w:bottom w:val="nil"/>
              <w:right w:val="nil"/>
            </w:tcBorders>
            <w:vAlign w:val="bottom"/>
          </w:tcPr>
          <w:p w14:paraId="751B6850" w14:textId="4A2C0B9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(0.039)</w:t>
            </w:r>
          </w:p>
        </w:tc>
        <w:tc>
          <w:tcPr>
            <w:tcW w:w="1120" w:type="dxa"/>
            <w:tcBorders>
              <w:top w:val="nil"/>
              <w:left w:val="nil"/>
              <w:bottom w:val="nil"/>
              <w:right w:val="nil"/>
            </w:tcBorders>
            <w:shd w:val="clear" w:color="auto" w:fill="auto"/>
            <w:noWrap/>
            <w:vAlign w:val="bottom"/>
          </w:tcPr>
          <w:p w14:paraId="51059032" w14:textId="16C4BB8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(0.035)</w:t>
            </w:r>
          </w:p>
        </w:tc>
        <w:tc>
          <w:tcPr>
            <w:tcW w:w="1120" w:type="dxa"/>
            <w:tcBorders>
              <w:top w:val="nil"/>
              <w:left w:val="nil"/>
              <w:bottom w:val="nil"/>
              <w:right w:val="nil"/>
            </w:tcBorders>
            <w:vAlign w:val="bottom"/>
          </w:tcPr>
          <w:p w14:paraId="0667FE35" w14:textId="145AFB91"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(0.039)</w:t>
            </w:r>
          </w:p>
        </w:tc>
      </w:tr>
      <w:tr w:rsidR="00514EB1" w:rsidRPr="004A792A" w14:paraId="620BE340" w14:textId="5E8FDAEB" w:rsidTr="00567CCA">
        <w:tc>
          <w:tcPr>
            <w:tcW w:w="2977" w:type="dxa"/>
            <w:tcBorders>
              <w:top w:val="nil"/>
              <w:left w:val="nil"/>
              <w:bottom w:val="nil"/>
              <w:right w:val="single" w:sz="4" w:space="0" w:color="auto"/>
            </w:tcBorders>
            <w:shd w:val="clear" w:color="auto" w:fill="auto"/>
            <w:noWrap/>
            <w:vAlign w:val="bottom"/>
            <w:hideMark/>
          </w:tcPr>
          <w:p w14:paraId="21B8A2CF"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Divorced</w:t>
            </w:r>
          </w:p>
        </w:tc>
        <w:tc>
          <w:tcPr>
            <w:tcW w:w="1119" w:type="dxa"/>
            <w:tcBorders>
              <w:top w:val="nil"/>
              <w:left w:val="single" w:sz="4" w:space="0" w:color="auto"/>
              <w:bottom w:val="nil"/>
              <w:right w:val="nil"/>
            </w:tcBorders>
            <w:shd w:val="clear" w:color="auto" w:fill="auto"/>
            <w:noWrap/>
            <w:vAlign w:val="bottom"/>
          </w:tcPr>
          <w:p w14:paraId="434AADF3" w14:textId="0171B52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0.107***</w:t>
            </w:r>
          </w:p>
        </w:tc>
        <w:tc>
          <w:tcPr>
            <w:tcW w:w="1120" w:type="dxa"/>
            <w:tcBorders>
              <w:top w:val="nil"/>
              <w:left w:val="nil"/>
              <w:bottom w:val="nil"/>
              <w:right w:val="nil"/>
            </w:tcBorders>
            <w:vAlign w:val="bottom"/>
          </w:tcPr>
          <w:p w14:paraId="6D1B4D70" w14:textId="023E897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0.108***</w:t>
            </w:r>
          </w:p>
        </w:tc>
        <w:tc>
          <w:tcPr>
            <w:tcW w:w="1120" w:type="dxa"/>
            <w:tcBorders>
              <w:top w:val="nil"/>
              <w:left w:val="nil"/>
              <w:bottom w:val="nil"/>
            </w:tcBorders>
            <w:shd w:val="clear" w:color="auto" w:fill="auto"/>
            <w:noWrap/>
            <w:vAlign w:val="bottom"/>
          </w:tcPr>
          <w:p w14:paraId="23001972" w14:textId="342C188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0.124***</w:t>
            </w:r>
          </w:p>
        </w:tc>
        <w:tc>
          <w:tcPr>
            <w:tcW w:w="1119" w:type="dxa"/>
            <w:tcBorders>
              <w:top w:val="nil"/>
              <w:bottom w:val="nil"/>
              <w:right w:val="single" w:sz="4" w:space="0" w:color="auto"/>
            </w:tcBorders>
            <w:vAlign w:val="bottom"/>
          </w:tcPr>
          <w:p w14:paraId="53E3631D" w14:textId="1AB511C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0.152***</w:t>
            </w:r>
          </w:p>
        </w:tc>
        <w:tc>
          <w:tcPr>
            <w:tcW w:w="1119" w:type="dxa"/>
            <w:tcBorders>
              <w:top w:val="nil"/>
              <w:left w:val="single" w:sz="4" w:space="0" w:color="auto"/>
              <w:bottom w:val="nil"/>
              <w:right w:val="nil"/>
            </w:tcBorders>
            <w:shd w:val="clear" w:color="auto" w:fill="auto"/>
            <w:noWrap/>
            <w:vAlign w:val="bottom"/>
          </w:tcPr>
          <w:p w14:paraId="55DCFFE8" w14:textId="2F76A7C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0.126***</w:t>
            </w:r>
          </w:p>
        </w:tc>
        <w:tc>
          <w:tcPr>
            <w:tcW w:w="1120" w:type="dxa"/>
            <w:tcBorders>
              <w:top w:val="nil"/>
              <w:left w:val="nil"/>
              <w:bottom w:val="nil"/>
              <w:right w:val="nil"/>
            </w:tcBorders>
            <w:vAlign w:val="bottom"/>
          </w:tcPr>
          <w:p w14:paraId="6CDDAC47" w14:textId="760EBE1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-0.001</w:t>
            </w:r>
          </w:p>
        </w:tc>
        <w:tc>
          <w:tcPr>
            <w:tcW w:w="1120" w:type="dxa"/>
            <w:tcBorders>
              <w:top w:val="nil"/>
              <w:left w:val="nil"/>
              <w:bottom w:val="nil"/>
              <w:right w:val="nil"/>
            </w:tcBorders>
            <w:shd w:val="clear" w:color="auto" w:fill="auto"/>
            <w:noWrap/>
            <w:vAlign w:val="bottom"/>
          </w:tcPr>
          <w:p w14:paraId="1A524ACA" w14:textId="2E9F5D2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0.136***</w:t>
            </w:r>
          </w:p>
        </w:tc>
        <w:tc>
          <w:tcPr>
            <w:tcW w:w="1120" w:type="dxa"/>
            <w:tcBorders>
              <w:top w:val="nil"/>
              <w:left w:val="nil"/>
              <w:bottom w:val="nil"/>
              <w:right w:val="nil"/>
            </w:tcBorders>
            <w:vAlign w:val="bottom"/>
          </w:tcPr>
          <w:p w14:paraId="4FCE54E4" w14:textId="32C636E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0.006</w:t>
            </w:r>
          </w:p>
        </w:tc>
      </w:tr>
      <w:tr w:rsidR="00514EB1" w:rsidRPr="004A792A" w14:paraId="417A893B" w14:textId="399BA1C5" w:rsidTr="00567CCA">
        <w:tc>
          <w:tcPr>
            <w:tcW w:w="2977" w:type="dxa"/>
            <w:tcBorders>
              <w:top w:val="nil"/>
              <w:left w:val="nil"/>
              <w:bottom w:val="nil"/>
              <w:right w:val="single" w:sz="4" w:space="0" w:color="auto"/>
            </w:tcBorders>
            <w:shd w:val="clear" w:color="auto" w:fill="auto"/>
            <w:noWrap/>
            <w:vAlign w:val="bottom"/>
            <w:hideMark/>
          </w:tcPr>
          <w:p w14:paraId="7D19ED1B"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66AA235C" w14:textId="7936090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20" w:type="dxa"/>
            <w:tcBorders>
              <w:top w:val="nil"/>
              <w:left w:val="nil"/>
              <w:bottom w:val="nil"/>
              <w:right w:val="nil"/>
            </w:tcBorders>
            <w:vAlign w:val="bottom"/>
          </w:tcPr>
          <w:p w14:paraId="22E29D11" w14:textId="2906013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(0.031)</w:t>
            </w:r>
          </w:p>
        </w:tc>
        <w:tc>
          <w:tcPr>
            <w:tcW w:w="1120" w:type="dxa"/>
            <w:tcBorders>
              <w:top w:val="nil"/>
              <w:left w:val="nil"/>
              <w:bottom w:val="nil"/>
            </w:tcBorders>
            <w:shd w:val="clear" w:color="auto" w:fill="auto"/>
            <w:noWrap/>
            <w:vAlign w:val="bottom"/>
          </w:tcPr>
          <w:p w14:paraId="281B78AF" w14:textId="6669EF40"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(0.029)</w:t>
            </w:r>
          </w:p>
        </w:tc>
        <w:tc>
          <w:tcPr>
            <w:tcW w:w="1119" w:type="dxa"/>
            <w:tcBorders>
              <w:top w:val="nil"/>
              <w:bottom w:val="nil"/>
              <w:right w:val="single" w:sz="4" w:space="0" w:color="auto"/>
            </w:tcBorders>
            <w:vAlign w:val="bottom"/>
          </w:tcPr>
          <w:p w14:paraId="1C00E70A" w14:textId="090C5AA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(0.032)</w:t>
            </w:r>
          </w:p>
        </w:tc>
        <w:tc>
          <w:tcPr>
            <w:tcW w:w="1119" w:type="dxa"/>
            <w:tcBorders>
              <w:top w:val="nil"/>
              <w:left w:val="single" w:sz="4" w:space="0" w:color="auto"/>
              <w:bottom w:val="nil"/>
              <w:right w:val="nil"/>
            </w:tcBorders>
            <w:shd w:val="clear" w:color="auto" w:fill="auto"/>
            <w:noWrap/>
            <w:vAlign w:val="bottom"/>
          </w:tcPr>
          <w:p w14:paraId="40F19981" w14:textId="39FE311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20" w:type="dxa"/>
            <w:tcBorders>
              <w:top w:val="nil"/>
              <w:left w:val="nil"/>
              <w:bottom w:val="nil"/>
              <w:right w:val="nil"/>
            </w:tcBorders>
            <w:vAlign w:val="bottom"/>
          </w:tcPr>
          <w:p w14:paraId="69D57909" w14:textId="67AE7F0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(0.031)</w:t>
            </w:r>
          </w:p>
        </w:tc>
        <w:tc>
          <w:tcPr>
            <w:tcW w:w="1120" w:type="dxa"/>
            <w:tcBorders>
              <w:top w:val="nil"/>
              <w:left w:val="nil"/>
              <w:bottom w:val="nil"/>
              <w:right w:val="nil"/>
            </w:tcBorders>
            <w:shd w:val="clear" w:color="auto" w:fill="auto"/>
            <w:noWrap/>
            <w:vAlign w:val="bottom"/>
          </w:tcPr>
          <w:p w14:paraId="0F9AD218" w14:textId="2C4BD51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(0.028)</w:t>
            </w:r>
          </w:p>
        </w:tc>
        <w:tc>
          <w:tcPr>
            <w:tcW w:w="1120" w:type="dxa"/>
            <w:tcBorders>
              <w:top w:val="nil"/>
              <w:left w:val="nil"/>
              <w:bottom w:val="nil"/>
              <w:right w:val="nil"/>
            </w:tcBorders>
            <w:vAlign w:val="bottom"/>
          </w:tcPr>
          <w:p w14:paraId="2299CE79" w14:textId="743A608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(0.031)</w:t>
            </w:r>
          </w:p>
        </w:tc>
      </w:tr>
      <w:tr w:rsidR="00514EB1" w:rsidRPr="004A792A" w14:paraId="5DC8787B" w14:textId="0192AB83" w:rsidTr="00567CCA">
        <w:tc>
          <w:tcPr>
            <w:tcW w:w="2977" w:type="dxa"/>
            <w:tcBorders>
              <w:top w:val="nil"/>
              <w:left w:val="nil"/>
              <w:right w:val="single" w:sz="4" w:space="0" w:color="auto"/>
            </w:tcBorders>
            <w:shd w:val="clear" w:color="auto" w:fill="auto"/>
            <w:noWrap/>
            <w:vAlign w:val="bottom"/>
            <w:hideMark/>
          </w:tcPr>
          <w:p w14:paraId="14EF8436"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Cohabitating</w:t>
            </w:r>
          </w:p>
        </w:tc>
        <w:tc>
          <w:tcPr>
            <w:tcW w:w="1119" w:type="dxa"/>
            <w:tcBorders>
              <w:top w:val="nil"/>
              <w:left w:val="single" w:sz="4" w:space="0" w:color="auto"/>
              <w:right w:val="nil"/>
            </w:tcBorders>
            <w:shd w:val="clear" w:color="auto" w:fill="auto"/>
            <w:noWrap/>
            <w:vAlign w:val="bottom"/>
          </w:tcPr>
          <w:p w14:paraId="43AFD50C" w14:textId="7E968D2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0.287***</w:t>
            </w:r>
          </w:p>
        </w:tc>
        <w:tc>
          <w:tcPr>
            <w:tcW w:w="1120" w:type="dxa"/>
            <w:tcBorders>
              <w:top w:val="nil"/>
              <w:left w:val="nil"/>
              <w:right w:val="nil"/>
            </w:tcBorders>
            <w:vAlign w:val="bottom"/>
          </w:tcPr>
          <w:p w14:paraId="0AEAFD4C" w14:textId="70B14D0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0.152***</w:t>
            </w:r>
          </w:p>
        </w:tc>
        <w:tc>
          <w:tcPr>
            <w:tcW w:w="1120" w:type="dxa"/>
            <w:tcBorders>
              <w:top w:val="nil"/>
              <w:left w:val="nil"/>
            </w:tcBorders>
            <w:shd w:val="clear" w:color="auto" w:fill="auto"/>
            <w:noWrap/>
            <w:vAlign w:val="bottom"/>
          </w:tcPr>
          <w:p w14:paraId="4B8D077F" w14:textId="5CE60E1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0.336***</w:t>
            </w:r>
          </w:p>
        </w:tc>
        <w:tc>
          <w:tcPr>
            <w:tcW w:w="1119" w:type="dxa"/>
            <w:tcBorders>
              <w:top w:val="nil"/>
              <w:right w:val="single" w:sz="4" w:space="0" w:color="auto"/>
            </w:tcBorders>
            <w:vAlign w:val="bottom"/>
          </w:tcPr>
          <w:p w14:paraId="0C989800" w14:textId="00B779E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0.225***</w:t>
            </w:r>
          </w:p>
        </w:tc>
        <w:tc>
          <w:tcPr>
            <w:tcW w:w="1119" w:type="dxa"/>
            <w:tcBorders>
              <w:top w:val="nil"/>
              <w:left w:val="single" w:sz="4" w:space="0" w:color="auto"/>
              <w:right w:val="nil"/>
            </w:tcBorders>
            <w:shd w:val="clear" w:color="auto" w:fill="auto"/>
            <w:noWrap/>
            <w:vAlign w:val="bottom"/>
          </w:tcPr>
          <w:p w14:paraId="7C6580AE" w14:textId="19CB40F9"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0.503***</w:t>
            </w:r>
          </w:p>
        </w:tc>
        <w:tc>
          <w:tcPr>
            <w:tcW w:w="1120" w:type="dxa"/>
            <w:tcBorders>
              <w:top w:val="nil"/>
              <w:left w:val="nil"/>
              <w:right w:val="nil"/>
            </w:tcBorders>
            <w:vAlign w:val="bottom"/>
          </w:tcPr>
          <w:p w14:paraId="085D0213" w14:textId="2588459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0.462***</w:t>
            </w:r>
          </w:p>
        </w:tc>
        <w:tc>
          <w:tcPr>
            <w:tcW w:w="1120" w:type="dxa"/>
            <w:tcBorders>
              <w:top w:val="nil"/>
              <w:left w:val="nil"/>
              <w:right w:val="nil"/>
            </w:tcBorders>
            <w:shd w:val="clear" w:color="auto" w:fill="auto"/>
            <w:noWrap/>
            <w:vAlign w:val="bottom"/>
          </w:tcPr>
          <w:p w14:paraId="5D06827A" w14:textId="77E2422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0.533***</w:t>
            </w:r>
          </w:p>
        </w:tc>
        <w:tc>
          <w:tcPr>
            <w:tcW w:w="1120" w:type="dxa"/>
            <w:tcBorders>
              <w:top w:val="nil"/>
              <w:left w:val="nil"/>
              <w:right w:val="nil"/>
            </w:tcBorders>
            <w:vAlign w:val="bottom"/>
          </w:tcPr>
          <w:p w14:paraId="72CA72DD" w14:textId="3E10AC4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0.486***</w:t>
            </w:r>
          </w:p>
        </w:tc>
      </w:tr>
      <w:tr w:rsidR="00514EB1" w:rsidRPr="004A792A" w14:paraId="6C882293" w14:textId="5BA583EB" w:rsidTr="00567CCA">
        <w:tc>
          <w:tcPr>
            <w:tcW w:w="2977" w:type="dxa"/>
            <w:tcBorders>
              <w:top w:val="nil"/>
              <w:left w:val="nil"/>
              <w:bottom w:val="single" w:sz="4" w:space="0" w:color="auto"/>
              <w:right w:val="single" w:sz="4" w:space="0" w:color="auto"/>
            </w:tcBorders>
            <w:shd w:val="clear" w:color="auto" w:fill="auto"/>
            <w:noWrap/>
            <w:vAlign w:val="bottom"/>
            <w:hideMark/>
          </w:tcPr>
          <w:p w14:paraId="6EC2F1AE"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47BE88BC" w14:textId="20ADAA0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(0.044)</w:t>
            </w:r>
          </w:p>
        </w:tc>
        <w:tc>
          <w:tcPr>
            <w:tcW w:w="1120" w:type="dxa"/>
            <w:tcBorders>
              <w:top w:val="nil"/>
              <w:left w:val="nil"/>
              <w:bottom w:val="single" w:sz="4" w:space="0" w:color="auto"/>
              <w:right w:val="nil"/>
            </w:tcBorders>
            <w:vAlign w:val="bottom"/>
          </w:tcPr>
          <w:p w14:paraId="57CF05CF" w14:textId="4161D6D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(0.046)</w:t>
            </w:r>
          </w:p>
        </w:tc>
        <w:tc>
          <w:tcPr>
            <w:tcW w:w="1120" w:type="dxa"/>
            <w:tcBorders>
              <w:top w:val="nil"/>
              <w:left w:val="nil"/>
              <w:bottom w:val="single" w:sz="4" w:space="0" w:color="auto"/>
            </w:tcBorders>
            <w:shd w:val="clear" w:color="auto" w:fill="auto"/>
            <w:noWrap/>
            <w:vAlign w:val="bottom"/>
          </w:tcPr>
          <w:p w14:paraId="73907D1E" w14:textId="617CDF2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(0.045)</w:t>
            </w:r>
          </w:p>
        </w:tc>
        <w:tc>
          <w:tcPr>
            <w:tcW w:w="1119" w:type="dxa"/>
            <w:tcBorders>
              <w:top w:val="nil"/>
              <w:bottom w:val="single" w:sz="4" w:space="0" w:color="auto"/>
              <w:right w:val="single" w:sz="4" w:space="0" w:color="auto"/>
            </w:tcBorders>
            <w:vAlign w:val="bottom"/>
          </w:tcPr>
          <w:p w14:paraId="4646EE21" w14:textId="0E8AF46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(0.046)</w:t>
            </w:r>
          </w:p>
        </w:tc>
        <w:tc>
          <w:tcPr>
            <w:tcW w:w="1119" w:type="dxa"/>
            <w:tcBorders>
              <w:top w:val="nil"/>
              <w:left w:val="single" w:sz="4" w:space="0" w:color="auto"/>
              <w:bottom w:val="single" w:sz="4" w:space="0" w:color="auto"/>
              <w:right w:val="nil"/>
            </w:tcBorders>
            <w:shd w:val="clear" w:color="auto" w:fill="auto"/>
            <w:noWrap/>
            <w:vAlign w:val="bottom"/>
          </w:tcPr>
          <w:p w14:paraId="091CEC86" w14:textId="03CFD81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(0.041)</w:t>
            </w:r>
          </w:p>
        </w:tc>
        <w:tc>
          <w:tcPr>
            <w:tcW w:w="1120" w:type="dxa"/>
            <w:tcBorders>
              <w:top w:val="nil"/>
              <w:left w:val="nil"/>
              <w:bottom w:val="single" w:sz="4" w:space="0" w:color="auto"/>
              <w:right w:val="nil"/>
            </w:tcBorders>
            <w:vAlign w:val="bottom"/>
          </w:tcPr>
          <w:p w14:paraId="79B615A3" w14:textId="57A1795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(0.045)</w:t>
            </w:r>
          </w:p>
        </w:tc>
        <w:tc>
          <w:tcPr>
            <w:tcW w:w="1120" w:type="dxa"/>
            <w:tcBorders>
              <w:top w:val="nil"/>
              <w:left w:val="nil"/>
              <w:bottom w:val="single" w:sz="4" w:space="0" w:color="auto"/>
              <w:right w:val="nil"/>
            </w:tcBorders>
            <w:shd w:val="clear" w:color="auto" w:fill="auto"/>
            <w:noWrap/>
            <w:vAlign w:val="bottom"/>
          </w:tcPr>
          <w:p w14:paraId="35AA97A3" w14:textId="68B8E50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(0.041)</w:t>
            </w:r>
          </w:p>
        </w:tc>
        <w:tc>
          <w:tcPr>
            <w:tcW w:w="1120" w:type="dxa"/>
            <w:tcBorders>
              <w:top w:val="nil"/>
              <w:left w:val="nil"/>
              <w:bottom w:val="single" w:sz="4" w:space="0" w:color="auto"/>
              <w:right w:val="nil"/>
            </w:tcBorders>
            <w:vAlign w:val="bottom"/>
          </w:tcPr>
          <w:p w14:paraId="77C2A882" w14:textId="1837495D"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(0.045)</w:t>
            </w:r>
          </w:p>
        </w:tc>
      </w:tr>
      <w:tr w:rsidR="00514EB1" w:rsidRPr="004A792A" w14:paraId="1E41D411" w14:textId="01C770C7" w:rsidTr="00567CCA">
        <w:tc>
          <w:tcPr>
            <w:tcW w:w="2977" w:type="dxa"/>
            <w:tcBorders>
              <w:top w:val="single" w:sz="4" w:space="0" w:color="auto"/>
              <w:left w:val="nil"/>
              <w:bottom w:val="nil"/>
              <w:right w:val="single" w:sz="4" w:space="0" w:color="auto"/>
            </w:tcBorders>
            <w:shd w:val="clear" w:color="auto" w:fill="auto"/>
            <w:noWrap/>
            <w:vAlign w:val="bottom"/>
            <w:hideMark/>
          </w:tcPr>
          <w:p w14:paraId="3DA363DA"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Lower secondary</w:t>
            </w:r>
          </w:p>
        </w:tc>
        <w:tc>
          <w:tcPr>
            <w:tcW w:w="1119" w:type="dxa"/>
            <w:tcBorders>
              <w:top w:val="single" w:sz="4" w:space="0" w:color="auto"/>
              <w:left w:val="single" w:sz="4" w:space="0" w:color="auto"/>
              <w:bottom w:val="nil"/>
              <w:right w:val="nil"/>
            </w:tcBorders>
            <w:shd w:val="clear" w:color="auto" w:fill="auto"/>
            <w:noWrap/>
            <w:vAlign w:val="bottom"/>
          </w:tcPr>
          <w:p w14:paraId="403A852D" w14:textId="1C06260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0.678***</w:t>
            </w:r>
          </w:p>
        </w:tc>
        <w:tc>
          <w:tcPr>
            <w:tcW w:w="1120" w:type="dxa"/>
            <w:tcBorders>
              <w:top w:val="single" w:sz="4" w:space="0" w:color="auto"/>
              <w:left w:val="nil"/>
              <w:bottom w:val="nil"/>
              <w:right w:val="nil"/>
            </w:tcBorders>
            <w:vAlign w:val="bottom"/>
          </w:tcPr>
          <w:p w14:paraId="04AF8F21" w14:textId="32ED27E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0.800***</w:t>
            </w:r>
          </w:p>
        </w:tc>
        <w:tc>
          <w:tcPr>
            <w:tcW w:w="1120" w:type="dxa"/>
            <w:tcBorders>
              <w:top w:val="single" w:sz="4" w:space="0" w:color="auto"/>
              <w:left w:val="nil"/>
              <w:bottom w:val="nil"/>
            </w:tcBorders>
            <w:shd w:val="clear" w:color="auto" w:fill="auto"/>
            <w:noWrap/>
            <w:vAlign w:val="bottom"/>
          </w:tcPr>
          <w:p w14:paraId="2013E72A" w14:textId="4F2037C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0.681***</w:t>
            </w:r>
          </w:p>
        </w:tc>
        <w:tc>
          <w:tcPr>
            <w:tcW w:w="1119" w:type="dxa"/>
            <w:tcBorders>
              <w:top w:val="single" w:sz="4" w:space="0" w:color="auto"/>
              <w:bottom w:val="nil"/>
              <w:right w:val="single" w:sz="4" w:space="0" w:color="auto"/>
            </w:tcBorders>
            <w:vAlign w:val="bottom"/>
          </w:tcPr>
          <w:p w14:paraId="31F87604" w14:textId="2207F6D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0.798***</w:t>
            </w:r>
          </w:p>
        </w:tc>
        <w:tc>
          <w:tcPr>
            <w:tcW w:w="1119" w:type="dxa"/>
            <w:tcBorders>
              <w:top w:val="single" w:sz="4" w:space="0" w:color="auto"/>
              <w:left w:val="single" w:sz="4" w:space="0" w:color="auto"/>
              <w:bottom w:val="nil"/>
              <w:right w:val="nil"/>
            </w:tcBorders>
            <w:shd w:val="clear" w:color="auto" w:fill="auto"/>
            <w:noWrap/>
            <w:vAlign w:val="bottom"/>
          </w:tcPr>
          <w:p w14:paraId="36980B9A" w14:textId="2694E55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0.526***</w:t>
            </w:r>
          </w:p>
        </w:tc>
        <w:tc>
          <w:tcPr>
            <w:tcW w:w="1120" w:type="dxa"/>
            <w:tcBorders>
              <w:top w:val="single" w:sz="4" w:space="0" w:color="auto"/>
              <w:left w:val="nil"/>
              <w:bottom w:val="nil"/>
              <w:right w:val="nil"/>
            </w:tcBorders>
            <w:vAlign w:val="bottom"/>
          </w:tcPr>
          <w:p w14:paraId="2E43F1A7" w14:textId="392E97D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0.703***</w:t>
            </w:r>
          </w:p>
        </w:tc>
        <w:tc>
          <w:tcPr>
            <w:tcW w:w="1120" w:type="dxa"/>
            <w:tcBorders>
              <w:top w:val="single" w:sz="4" w:space="0" w:color="auto"/>
              <w:left w:val="nil"/>
              <w:bottom w:val="nil"/>
              <w:right w:val="nil"/>
            </w:tcBorders>
            <w:shd w:val="clear" w:color="auto" w:fill="auto"/>
            <w:noWrap/>
            <w:vAlign w:val="bottom"/>
          </w:tcPr>
          <w:p w14:paraId="0201E884" w14:textId="4B83E22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0.520***</w:t>
            </w:r>
          </w:p>
        </w:tc>
        <w:tc>
          <w:tcPr>
            <w:tcW w:w="1120" w:type="dxa"/>
            <w:tcBorders>
              <w:top w:val="single" w:sz="4" w:space="0" w:color="auto"/>
              <w:left w:val="nil"/>
              <w:bottom w:val="nil"/>
              <w:right w:val="nil"/>
            </w:tcBorders>
            <w:vAlign w:val="bottom"/>
          </w:tcPr>
          <w:p w14:paraId="5B3E24FC" w14:textId="1D87E43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0.699***</w:t>
            </w:r>
          </w:p>
        </w:tc>
      </w:tr>
      <w:tr w:rsidR="00514EB1" w:rsidRPr="004A792A" w14:paraId="6E0F668E" w14:textId="7A1DB535" w:rsidTr="00567CCA">
        <w:tc>
          <w:tcPr>
            <w:tcW w:w="2977" w:type="dxa"/>
            <w:tcBorders>
              <w:top w:val="nil"/>
              <w:left w:val="nil"/>
              <w:bottom w:val="nil"/>
              <w:right w:val="single" w:sz="4" w:space="0" w:color="auto"/>
            </w:tcBorders>
            <w:shd w:val="clear" w:color="auto" w:fill="auto"/>
            <w:noWrap/>
            <w:vAlign w:val="bottom"/>
            <w:hideMark/>
          </w:tcPr>
          <w:p w14:paraId="5E7147EC"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3AE11EF9" w14:textId="014AB0A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(0.051)</w:t>
            </w:r>
          </w:p>
        </w:tc>
        <w:tc>
          <w:tcPr>
            <w:tcW w:w="1120" w:type="dxa"/>
            <w:tcBorders>
              <w:top w:val="nil"/>
              <w:left w:val="nil"/>
              <w:bottom w:val="nil"/>
              <w:right w:val="nil"/>
            </w:tcBorders>
            <w:vAlign w:val="bottom"/>
          </w:tcPr>
          <w:p w14:paraId="0C360A79" w14:textId="2966CF21"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(0.053)</w:t>
            </w:r>
          </w:p>
        </w:tc>
        <w:tc>
          <w:tcPr>
            <w:tcW w:w="1120" w:type="dxa"/>
            <w:tcBorders>
              <w:top w:val="nil"/>
              <w:left w:val="nil"/>
              <w:bottom w:val="nil"/>
            </w:tcBorders>
            <w:shd w:val="clear" w:color="auto" w:fill="auto"/>
            <w:noWrap/>
            <w:vAlign w:val="bottom"/>
          </w:tcPr>
          <w:p w14:paraId="696E020F" w14:textId="6824F92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(0.050)</w:t>
            </w:r>
          </w:p>
        </w:tc>
        <w:tc>
          <w:tcPr>
            <w:tcW w:w="1119" w:type="dxa"/>
            <w:tcBorders>
              <w:top w:val="nil"/>
              <w:bottom w:val="nil"/>
              <w:right w:val="single" w:sz="4" w:space="0" w:color="auto"/>
            </w:tcBorders>
            <w:vAlign w:val="bottom"/>
          </w:tcPr>
          <w:p w14:paraId="22CC8118" w14:textId="6D76720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(0.052)</w:t>
            </w:r>
          </w:p>
        </w:tc>
        <w:tc>
          <w:tcPr>
            <w:tcW w:w="1119" w:type="dxa"/>
            <w:tcBorders>
              <w:top w:val="nil"/>
              <w:left w:val="single" w:sz="4" w:space="0" w:color="auto"/>
              <w:bottom w:val="nil"/>
              <w:right w:val="nil"/>
            </w:tcBorders>
            <w:shd w:val="clear" w:color="auto" w:fill="auto"/>
            <w:noWrap/>
            <w:vAlign w:val="bottom"/>
          </w:tcPr>
          <w:p w14:paraId="3C51DDDB" w14:textId="7400F1B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(0.044)</w:t>
            </w:r>
          </w:p>
        </w:tc>
        <w:tc>
          <w:tcPr>
            <w:tcW w:w="1120" w:type="dxa"/>
            <w:tcBorders>
              <w:top w:val="nil"/>
              <w:left w:val="nil"/>
              <w:bottom w:val="nil"/>
              <w:right w:val="nil"/>
            </w:tcBorders>
            <w:vAlign w:val="bottom"/>
          </w:tcPr>
          <w:p w14:paraId="629303F5" w14:textId="6347149C"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(0.045)</w:t>
            </w:r>
          </w:p>
        </w:tc>
        <w:tc>
          <w:tcPr>
            <w:tcW w:w="1120" w:type="dxa"/>
            <w:tcBorders>
              <w:top w:val="nil"/>
              <w:left w:val="nil"/>
              <w:bottom w:val="nil"/>
              <w:right w:val="nil"/>
            </w:tcBorders>
            <w:shd w:val="clear" w:color="auto" w:fill="auto"/>
            <w:noWrap/>
            <w:vAlign w:val="bottom"/>
          </w:tcPr>
          <w:p w14:paraId="2BB8DD52" w14:textId="38EE97F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(0.044)</w:t>
            </w:r>
          </w:p>
        </w:tc>
        <w:tc>
          <w:tcPr>
            <w:tcW w:w="1120" w:type="dxa"/>
            <w:tcBorders>
              <w:top w:val="nil"/>
              <w:left w:val="nil"/>
              <w:bottom w:val="nil"/>
              <w:right w:val="nil"/>
            </w:tcBorders>
            <w:vAlign w:val="bottom"/>
          </w:tcPr>
          <w:p w14:paraId="60BDA50B" w14:textId="34498D4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(0.045)</w:t>
            </w:r>
          </w:p>
        </w:tc>
      </w:tr>
      <w:tr w:rsidR="00514EB1" w:rsidRPr="004A792A" w14:paraId="444C7ED4" w14:textId="66717B53" w:rsidTr="00567CCA">
        <w:tc>
          <w:tcPr>
            <w:tcW w:w="2977" w:type="dxa"/>
            <w:tcBorders>
              <w:top w:val="nil"/>
              <w:left w:val="nil"/>
              <w:bottom w:val="nil"/>
              <w:right w:val="single" w:sz="4" w:space="0" w:color="auto"/>
            </w:tcBorders>
            <w:shd w:val="clear" w:color="auto" w:fill="auto"/>
            <w:noWrap/>
            <w:vAlign w:val="bottom"/>
            <w:hideMark/>
          </w:tcPr>
          <w:p w14:paraId="5FDE58A2"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 xml:space="preserve">Upper secondary general </w:t>
            </w:r>
          </w:p>
        </w:tc>
        <w:tc>
          <w:tcPr>
            <w:tcW w:w="1119" w:type="dxa"/>
            <w:tcBorders>
              <w:top w:val="nil"/>
              <w:left w:val="single" w:sz="4" w:space="0" w:color="auto"/>
              <w:bottom w:val="nil"/>
              <w:right w:val="nil"/>
            </w:tcBorders>
            <w:shd w:val="clear" w:color="auto" w:fill="auto"/>
            <w:noWrap/>
            <w:vAlign w:val="bottom"/>
          </w:tcPr>
          <w:p w14:paraId="6FFB3336" w14:textId="04BE3B8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0.639***</w:t>
            </w:r>
          </w:p>
        </w:tc>
        <w:tc>
          <w:tcPr>
            <w:tcW w:w="1120" w:type="dxa"/>
            <w:tcBorders>
              <w:top w:val="nil"/>
              <w:left w:val="nil"/>
              <w:bottom w:val="nil"/>
              <w:right w:val="nil"/>
            </w:tcBorders>
            <w:vAlign w:val="bottom"/>
          </w:tcPr>
          <w:p w14:paraId="7AD5ADF5" w14:textId="10FF911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0.786***</w:t>
            </w:r>
          </w:p>
        </w:tc>
        <w:tc>
          <w:tcPr>
            <w:tcW w:w="1120" w:type="dxa"/>
            <w:tcBorders>
              <w:top w:val="nil"/>
              <w:left w:val="nil"/>
              <w:bottom w:val="nil"/>
            </w:tcBorders>
            <w:shd w:val="clear" w:color="auto" w:fill="auto"/>
            <w:noWrap/>
            <w:vAlign w:val="bottom"/>
          </w:tcPr>
          <w:p w14:paraId="12E8A232" w14:textId="376E561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0.656***</w:t>
            </w:r>
          </w:p>
        </w:tc>
        <w:tc>
          <w:tcPr>
            <w:tcW w:w="1119" w:type="dxa"/>
            <w:tcBorders>
              <w:top w:val="nil"/>
              <w:bottom w:val="nil"/>
              <w:right w:val="single" w:sz="4" w:space="0" w:color="auto"/>
            </w:tcBorders>
            <w:vAlign w:val="bottom"/>
          </w:tcPr>
          <w:p w14:paraId="69B9E1F4" w14:textId="1EEA247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0.798***</w:t>
            </w:r>
          </w:p>
        </w:tc>
        <w:tc>
          <w:tcPr>
            <w:tcW w:w="1119" w:type="dxa"/>
            <w:tcBorders>
              <w:top w:val="nil"/>
              <w:left w:val="single" w:sz="4" w:space="0" w:color="auto"/>
              <w:bottom w:val="nil"/>
              <w:right w:val="nil"/>
            </w:tcBorders>
            <w:shd w:val="clear" w:color="auto" w:fill="auto"/>
            <w:noWrap/>
            <w:vAlign w:val="bottom"/>
          </w:tcPr>
          <w:p w14:paraId="01A30A25" w14:textId="1786078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0.480***</w:t>
            </w:r>
          </w:p>
        </w:tc>
        <w:tc>
          <w:tcPr>
            <w:tcW w:w="1120" w:type="dxa"/>
            <w:tcBorders>
              <w:top w:val="nil"/>
              <w:left w:val="nil"/>
              <w:bottom w:val="nil"/>
              <w:right w:val="nil"/>
            </w:tcBorders>
            <w:vAlign w:val="bottom"/>
          </w:tcPr>
          <w:p w14:paraId="0560820E" w14:textId="0BDCA50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0.706***</w:t>
            </w:r>
          </w:p>
        </w:tc>
        <w:tc>
          <w:tcPr>
            <w:tcW w:w="1120" w:type="dxa"/>
            <w:tcBorders>
              <w:top w:val="nil"/>
              <w:left w:val="nil"/>
              <w:bottom w:val="nil"/>
              <w:right w:val="nil"/>
            </w:tcBorders>
            <w:shd w:val="clear" w:color="auto" w:fill="auto"/>
            <w:noWrap/>
            <w:vAlign w:val="bottom"/>
          </w:tcPr>
          <w:p w14:paraId="66C8E6D6" w14:textId="2AB3101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0.473***</w:t>
            </w:r>
          </w:p>
        </w:tc>
        <w:tc>
          <w:tcPr>
            <w:tcW w:w="1120" w:type="dxa"/>
            <w:tcBorders>
              <w:top w:val="nil"/>
              <w:left w:val="nil"/>
              <w:bottom w:val="nil"/>
              <w:right w:val="nil"/>
            </w:tcBorders>
            <w:vAlign w:val="bottom"/>
          </w:tcPr>
          <w:p w14:paraId="2A95014F" w14:textId="327C7448"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0.700***</w:t>
            </w:r>
          </w:p>
        </w:tc>
      </w:tr>
      <w:tr w:rsidR="00514EB1" w:rsidRPr="004A792A" w14:paraId="4D4D3F09" w14:textId="31600B97" w:rsidTr="00567CCA">
        <w:tc>
          <w:tcPr>
            <w:tcW w:w="2977" w:type="dxa"/>
            <w:tcBorders>
              <w:top w:val="nil"/>
              <w:left w:val="nil"/>
              <w:bottom w:val="nil"/>
              <w:right w:val="single" w:sz="4" w:space="0" w:color="auto"/>
            </w:tcBorders>
            <w:shd w:val="clear" w:color="auto" w:fill="auto"/>
            <w:noWrap/>
            <w:vAlign w:val="bottom"/>
            <w:hideMark/>
          </w:tcPr>
          <w:p w14:paraId="45AA5D36"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33C6C46C" w14:textId="6B85BDA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(0.055)</w:t>
            </w:r>
          </w:p>
        </w:tc>
        <w:tc>
          <w:tcPr>
            <w:tcW w:w="1120" w:type="dxa"/>
            <w:tcBorders>
              <w:top w:val="nil"/>
              <w:left w:val="nil"/>
              <w:bottom w:val="nil"/>
              <w:right w:val="nil"/>
            </w:tcBorders>
            <w:vAlign w:val="bottom"/>
          </w:tcPr>
          <w:p w14:paraId="2389CA78" w14:textId="04C9A52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(0.058)</w:t>
            </w:r>
          </w:p>
        </w:tc>
        <w:tc>
          <w:tcPr>
            <w:tcW w:w="1120" w:type="dxa"/>
            <w:tcBorders>
              <w:top w:val="nil"/>
              <w:left w:val="nil"/>
              <w:bottom w:val="nil"/>
            </w:tcBorders>
            <w:shd w:val="clear" w:color="auto" w:fill="auto"/>
            <w:noWrap/>
            <w:vAlign w:val="bottom"/>
          </w:tcPr>
          <w:p w14:paraId="6B6A3AF9" w14:textId="46D1C22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(0.054)</w:t>
            </w:r>
          </w:p>
        </w:tc>
        <w:tc>
          <w:tcPr>
            <w:tcW w:w="1119" w:type="dxa"/>
            <w:tcBorders>
              <w:top w:val="nil"/>
              <w:bottom w:val="nil"/>
              <w:right w:val="single" w:sz="4" w:space="0" w:color="auto"/>
            </w:tcBorders>
            <w:vAlign w:val="bottom"/>
          </w:tcPr>
          <w:p w14:paraId="709DD72E" w14:textId="78131F9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(0.057)</w:t>
            </w:r>
          </w:p>
        </w:tc>
        <w:tc>
          <w:tcPr>
            <w:tcW w:w="1119" w:type="dxa"/>
            <w:tcBorders>
              <w:top w:val="nil"/>
              <w:left w:val="single" w:sz="4" w:space="0" w:color="auto"/>
              <w:bottom w:val="nil"/>
              <w:right w:val="nil"/>
            </w:tcBorders>
            <w:shd w:val="clear" w:color="auto" w:fill="auto"/>
            <w:noWrap/>
            <w:vAlign w:val="bottom"/>
          </w:tcPr>
          <w:p w14:paraId="65655732" w14:textId="10B015F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(0.049)</w:t>
            </w:r>
          </w:p>
        </w:tc>
        <w:tc>
          <w:tcPr>
            <w:tcW w:w="1120" w:type="dxa"/>
            <w:tcBorders>
              <w:top w:val="nil"/>
              <w:left w:val="nil"/>
              <w:bottom w:val="nil"/>
              <w:right w:val="nil"/>
            </w:tcBorders>
            <w:vAlign w:val="bottom"/>
          </w:tcPr>
          <w:p w14:paraId="19650A29" w14:textId="4E474F1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(0.049)</w:t>
            </w:r>
          </w:p>
        </w:tc>
        <w:tc>
          <w:tcPr>
            <w:tcW w:w="1120" w:type="dxa"/>
            <w:tcBorders>
              <w:top w:val="nil"/>
              <w:left w:val="nil"/>
              <w:bottom w:val="nil"/>
              <w:right w:val="nil"/>
            </w:tcBorders>
            <w:shd w:val="clear" w:color="auto" w:fill="auto"/>
            <w:noWrap/>
            <w:vAlign w:val="bottom"/>
          </w:tcPr>
          <w:p w14:paraId="7BCEF300" w14:textId="20B10AB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(0.049)</w:t>
            </w:r>
          </w:p>
        </w:tc>
        <w:tc>
          <w:tcPr>
            <w:tcW w:w="1120" w:type="dxa"/>
            <w:tcBorders>
              <w:top w:val="nil"/>
              <w:left w:val="nil"/>
              <w:bottom w:val="nil"/>
              <w:right w:val="nil"/>
            </w:tcBorders>
            <w:vAlign w:val="bottom"/>
          </w:tcPr>
          <w:p w14:paraId="4CA97C2B" w14:textId="42F478D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(0.049)</w:t>
            </w:r>
          </w:p>
        </w:tc>
      </w:tr>
      <w:tr w:rsidR="00514EB1" w:rsidRPr="004A792A" w14:paraId="1933F14E" w14:textId="1D0D4F12" w:rsidTr="00567CCA">
        <w:tc>
          <w:tcPr>
            <w:tcW w:w="2977" w:type="dxa"/>
            <w:tcBorders>
              <w:top w:val="nil"/>
              <w:left w:val="nil"/>
              <w:bottom w:val="nil"/>
              <w:right w:val="single" w:sz="4" w:space="0" w:color="auto"/>
            </w:tcBorders>
            <w:shd w:val="clear" w:color="auto" w:fill="auto"/>
            <w:noWrap/>
            <w:vAlign w:val="bottom"/>
            <w:hideMark/>
          </w:tcPr>
          <w:p w14:paraId="277815D0"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 xml:space="preserve">Upper secondary vocational </w:t>
            </w:r>
          </w:p>
        </w:tc>
        <w:tc>
          <w:tcPr>
            <w:tcW w:w="1119" w:type="dxa"/>
            <w:tcBorders>
              <w:top w:val="nil"/>
              <w:left w:val="single" w:sz="4" w:space="0" w:color="auto"/>
              <w:bottom w:val="nil"/>
              <w:right w:val="nil"/>
            </w:tcBorders>
            <w:shd w:val="clear" w:color="auto" w:fill="auto"/>
            <w:noWrap/>
            <w:vAlign w:val="bottom"/>
          </w:tcPr>
          <w:p w14:paraId="44E9825C" w14:textId="37CC23E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0.824***</w:t>
            </w:r>
          </w:p>
        </w:tc>
        <w:tc>
          <w:tcPr>
            <w:tcW w:w="1120" w:type="dxa"/>
            <w:tcBorders>
              <w:top w:val="nil"/>
              <w:left w:val="nil"/>
              <w:bottom w:val="nil"/>
              <w:right w:val="nil"/>
            </w:tcBorders>
            <w:vAlign w:val="bottom"/>
          </w:tcPr>
          <w:p w14:paraId="5AF96BC7" w14:textId="2D8A01F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1.020***</w:t>
            </w:r>
          </w:p>
        </w:tc>
        <w:tc>
          <w:tcPr>
            <w:tcW w:w="1120" w:type="dxa"/>
            <w:tcBorders>
              <w:top w:val="nil"/>
              <w:left w:val="nil"/>
              <w:bottom w:val="nil"/>
            </w:tcBorders>
            <w:shd w:val="clear" w:color="auto" w:fill="auto"/>
            <w:noWrap/>
            <w:vAlign w:val="bottom"/>
          </w:tcPr>
          <w:p w14:paraId="4D3AED4C" w14:textId="2279A77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0.848***</w:t>
            </w:r>
          </w:p>
        </w:tc>
        <w:tc>
          <w:tcPr>
            <w:tcW w:w="1119" w:type="dxa"/>
            <w:tcBorders>
              <w:top w:val="nil"/>
              <w:bottom w:val="nil"/>
              <w:right w:val="single" w:sz="4" w:space="0" w:color="auto"/>
            </w:tcBorders>
            <w:vAlign w:val="bottom"/>
          </w:tcPr>
          <w:p w14:paraId="3D7DF8B6" w14:textId="301B229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1.039***</w:t>
            </w:r>
          </w:p>
        </w:tc>
        <w:tc>
          <w:tcPr>
            <w:tcW w:w="1119" w:type="dxa"/>
            <w:tcBorders>
              <w:top w:val="nil"/>
              <w:left w:val="single" w:sz="4" w:space="0" w:color="auto"/>
              <w:bottom w:val="nil"/>
              <w:right w:val="nil"/>
            </w:tcBorders>
            <w:shd w:val="clear" w:color="auto" w:fill="auto"/>
            <w:noWrap/>
            <w:vAlign w:val="bottom"/>
          </w:tcPr>
          <w:p w14:paraId="68AE4955" w14:textId="1C0A5C2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0.750***</w:t>
            </w:r>
          </w:p>
        </w:tc>
        <w:tc>
          <w:tcPr>
            <w:tcW w:w="1120" w:type="dxa"/>
            <w:tcBorders>
              <w:top w:val="nil"/>
              <w:left w:val="nil"/>
              <w:bottom w:val="nil"/>
              <w:right w:val="nil"/>
            </w:tcBorders>
            <w:vAlign w:val="bottom"/>
          </w:tcPr>
          <w:p w14:paraId="3AB7ABD3" w14:textId="547D726C"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1.029***</w:t>
            </w:r>
          </w:p>
        </w:tc>
        <w:tc>
          <w:tcPr>
            <w:tcW w:w="1120" w:type="dxa"/>
            <w:tcBorders>
              <w:top w:val="nil"/>
              <w:left w:val="nil"/>
              <w:bottom w:val="nil"/>
              <w:right w:val="nil"/>
            </w:tcBorders>
            <w:shd w:val="clear" w:color="auto" w:fill="auto"/>
            <w:noWrap/>
            <w:vAlign w:val="bottom"/>
          </w:tcPr>
          <w:p w14:paraId="01404216" w14:textId="6B9B6C8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0.742***</w:t>
            </w:r>
          </w:p>
        </w:tc>
        <w:tc>
          <w:tcPr>
            <w:tcW w:w="1120" w:type="dxa"/>
            <w:tcBorders>
              <w:top w:val="nil"/>
              <w:left w:val="nil"/>
              <w:bottom w:val="nil"/>
              <w:right w:val="nil"/>
            </w:tcBorders>
            <w:vAlign w:val="bottom"/>
          </w:tcPr>
          <w:p w14:paraId="229F2A07" w14:textId="44A05CD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1.023***</w:t>
            </w:r>
          </w:p>
        </w:tc>
      </w:tr>
      <w:tr w:rsidR="00514EB1" w:rsidRPr="004A792A" w14:paraId="6B315F5E" w14:textId="4F1C02C4" w:rsidTr="00567CCA">
        <w:tc>
          <w:tcPr>
            <w:tcW w:w="2977" w:type="dxa"/>
            <w:tcBorders>
              <w:top w:val="nil"/>
              <w:left w:val="nil"/>
              <w:bottom w:val="nil"/>
              <w:right w:val="single" w:sz="4" w:space="0" w:color="auto"/>
            </w:tcBorders>
            <w:shd w:val="clear" w:color="auto" w:fill="auto"/>
            <w:noWrap/>
            <w:vAlign w:val="bottom"/>
            <w:hideMark/>
          </w:tcPr>
          <w:p w14:paraId="78BCF05C"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035DF984" w14:textId="5715F16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(0.056)</w:t>
            </w:r>
          </w:p>
        </w:tc>
        <w:tc>
          <w:tcPr>
            <w:tcW w:w="1120" w:type="dxa"/>
            <w:tcBorders>
              <w:top w:val="nil"/>
              <w:left w:val="nil"/>
              <w:bottom w:val="nil"/>
              <w:right w:val="nil"/>
            </w:tcBorders>
            <w:vAlign w:val="bottom"/>
          </w:tcPr>
          <w:p w14:paraId="38ABC978" w14:textId="7FD9F13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(0.059)</w:t>
            </w:r>
          </w:p>
        </w:tc>
        <w:tc>
          <w:tcPr>
            <w:tcW w:w="1120" w:type="dxa"/>
            <w:tcBorders>
              <w:top w:val="nil"/>
              <w:left w:val="nil"/>
              <w:bottom w:val="nil"/>
            </w:tcBorders>
            <w:shd w:val="clear" w:color="auto" w:fill="auto"/>
            <w:noWrap/>
            <w:vAlign w:val="bottom"/>
          </w:tcPr>
          <w:p w14:paraId="4739F107" w14:textId="67071EF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(0.055)</w:t>
            </w:r>
          </w:p>
        </w:tc>
        <w:tc>
          <w:tcPr>
            <w:tcW w:w="1119" w:type="dxa"/>
            <w:tcBorders>
              <w:top w:val="nil"/>
              <w:bottom w:val="nil"/>
              <w:right w:val="single" w:sz="4" w:space="0" w:color="auto"/>
            </w:tcBorders>
            <w:vAlign w:val="bottom"/>
          </w:tcPr>
          <w:p w14:paraId="3A78E50B" w14:textId="173D050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(0.058)</w:t>
            </w:r>
          </w:p>
        </w:tc>
        <w:tc>
          <w:tcPr>
            <w:tcW w:w="1119" w:type="dxa"/>
            <w:tcBorders>
              <w:top w:val="nil"/>
              <w:left w:val="single" w:sz="4" w:space="0" w:color="auto"/>
              <w:bottom w:val="nil"/>
              <w:right w:val="nil"/>
            </w:tcBorders>
            <w:shd w:val="clear" w:color="auto" w:fill="auto"/>
            <w:noWrap/>
            <w:vAlign w:val="bottom"/>
          </w:tcPr>
          <w:p w14:paraId="14E07C9A" w14:textId="1AF61EE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(0.047)</w:t>
            </w:r>
          </w:p>
        </w:tc>
        <w:tc>
          <w:tcPr>
            <w:tcW w:w="1120" w:type="dxa"/>
            <w:tcBorders>
              <w:top w:val="nil"/>
              <w:left w:val="nil"/>
              <w:bottom w:val="nil"/>
              <w:right w:val="nil"/>
            </w:tcBorders>
            <w:vAlign w:val="bottom"/>
          </w:tcPr>
          <w:p w14:paraId="5A91A535" w14:textId="6F0C637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(0.047)</w:t>
            </w:r>
          </w:p>
        </w:tc>
        <w:tc>
          <w:tcPr>
            <w:tcW w:w="1120" w:type="dxa"/>
            <w:tcBorders>
              <w:top w:val="nil"/>
              <w:left w:val="nil"/>
              <w:bottom w:val="nil"/>
              <w:right w:val="nil"/>
            </w:tcBorders>
            <w:shd w:val="clear" w:color="auto" w:fill="auto"/>
            <w:noWrap/>
            <w:vAlign w:val="bottom"/>
          </w:tcPr>
          <w:p w14:paraId="0318D85F" w14:textId="4950235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(0.047)</w:t>
            </w:r>
          </w:p>
        </w:tc>
        <w:tc>
          <w:tcPr>
            <w:tcW w:w="1120" w:type="dxa"/>
            <w:tcBorders>
              <w:top w:val="nil"/>
              <w:left w:val="nil"/>
              <w:bottom w:val="nil"/>
              <w:right w:val="nil"/>
            </w:tcBorders>
            <w:vAlign w:val="bottom"/>
          </w:tcPr>
          <w:p w14:paraId="00A30A33" w14:textId="2267D40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(0.047)</w:t>
            </w:r>
          </w:p>
        </w:tc>
      </w:tr>
      <w:tr w:rsidR="00514EB1" w:rsidRPr="004A792A" w14:paraId="1324B4A0" w14:textId="09CAF6B6" w:rsidTr="00567CCA">
        <w:tc>
          <w:tcPr>
            <w:tcW w:w="2977" w:type="dxa"/>
            <w:tcBorders>
              <w:top w:val="nil"/>
              <w:left w:val="nil"/>
              <w:bottom w:val="nil"/>
              <w:right w:val="single" w:sz="4" w:space="0" w:color="auto"/>
            </w:tcBorders>
            <w:shd w:val="clear" w:color="auto" w:fill="auto"/>
            <w:noWrap/>
            <w:vAlign w:val="bottom"/>
            <w:hideMark/>
          </w:tcPr>
          <w:p w14:paraId="60249575"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lastRenderedPageBreak/>
              <w:t>Post-secondary</w:t>
            </w:r>
          </w:p>
        </w:tc>
        <w:tc>
          <w:tcPr>
            <w:tcW w:w="1119" w:type="dxa"/>
            <w:tcBorders>
              <w:top w:val="nil"/>
              <w:left w:val="single" w:sz="4" w:space="0" w:color="auto"/>
              <w:bottom w:val="nil"/>
              <w:right w:val="nil"/>
            </w:tcBorders>
            <w:shd w:val="clear" w:color="auto" w:fill="auto"/>
            <w:noWrap/>
            <w:vAlign w:val="bottom"/>
          </w:tcPr>
          <w:p w14:paraId="76868118" w14:textId="043E2F8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0.978***</w:t>
            </w:r>
          </w:p>
        </w:tc>
        <w:tc>
          <w:tcPr>
            <w:tcW w:w="1120" w:type="dxa"/>
            <w:tcBorders>
              <w:top w:val="nil"/>
              <w:left w:val="nil"/>
              <w:bottom w:val="nil"/>
              <w:right w:val="nil"/>
            </w:tcBorders>
            <w:vAlign w:val="bottom"/>
          </w:tcPr>
          <w:p w14:paraId="50ECF4BD" w14:textId="60B2ABE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1.194***</w:t>
            </w:r>
          </w:p>
        </w:tc>
        <w:tc>
          <w:tcPr>
            <w:tcW w:w="1120" w:type="dxa"/>
            <w:tcBorders>
              <w:top w:val="nil"/>
              <w:left w:val="nil"/>
              <w:bottom w:val="nil"/>
            </w:tcBorders>
            <w:shd w:val="clear" w:color="auto" w:fill="auto"/>
            <w:noWrap/>
            <w:vAlign w:val="bottom"/>
          </w:tcPr>
          <w:p w14:paraId="21135C86" w14:textId="4179B6E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1.008***</w:t>
            </w:r>
          </w:p>
        </w:tc>
        <w:tc>
          <w:tcPr>
            <w:tcW w:w="1119" w:type="dxa"/>
            <w:tcBorders>
              <w:top w:val="nil"/>
              <w:bottom w:val="nil"/>
              <w:right w:val="single" w:sz="4" w:space="0" w:color="auto"/>
            </w:tcBorders>
            <w:vAlign w:val="bottom"/>
          </w:tcPr>
          <w:p w14:paraId="1992E713" w14:textId="756A8AA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1.220***</w:t>
            </w:r>
          </w:p>
        </w:tc>
        <w:tc>
          <w:tcPr>
            <w:tcW w:w="1119" w:type="dxa"/>
            <w:tcBorders>
              <w:top w:val="nil"/>
              <w:left w:val="single" w:sz="4" w:space="0" w:color="auto"/>
              <w:bottom w:val="nil"/>
              <w:right w:val="nil"/>
            </w:tcBorders>
            <w:shd w:val="clear" w:color="auto" w:fill="auto"/>
            <w:noWrap/>
            <w:vAlign w:val="bottom"/>
          </w:tcPr>
          <w:p w14:paraId="7ED13C3F" w14:textId="1356984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0.722***</w:t>
            </w:r>
          </w:p>
        </w:tc>
        <w:tc>
          <w:tcPr>
            <w:tcW w:w="1120" w:type="dxa"/>
            <w:tcBorders>
              <w:top w:val="nil"/>
              <w:left w:val="nil"/>
              <w:bottom w:val="nil"/>
              <w:right w:val="nil"/>
            </w:tcBorders>
            <w:vAlign w:val="bottom"/>
          </w:tcPr>
          <w:p w14:paraId="45507D60" w14:textId="7C1D248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0.991***</w:t>
            </w:r>
          </w:p>
        </w:tc>
        <w:tc>
          <w:tcPr>
            <w:tcW w:w="1120" w:type="dxa"/>
            <w:tcBorders>
              <w:top w:val="nil"/>
              <w:left w:val="nil"/>
              <w:bottom w:val="nil"/>
              <w:right w:val="nil"/>
            </w:tcBorders>
            <w:shd w:val="clear" w:color="auto" w:fill="auto"/>
            <w:noWrap/>
            <w:vAlign w:val="bottom"/>
          </w:tcPr>
          <w:p w14:paraId="3C01263D" w14:textId="050F1A20"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0.715***</w:t>
            </w:r>
          </w:p>
        </w:tc>
        <w:tc>
          <w:tcPr>
            <w:tcW w:w="1120" w:type="dxa"/>
            <w:tcBorders>
              <w:top w:val="nil"/>
              <w:left w:val="nil"/>
              <w:bottom w:val="nil"/>
              <w:right w:val="nil"/>
            </w:tcBorders>
            <w:vAlign w:val="bottom"/>
          </w:tcPr>
          <w:p w14:paraId="4A674FBA" w14:textId="2F69F16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0.985***</w:t>
            </w:r>
          </w:p>
        </w:tc>
      </w:tr>
      <w:tr w:rsidR="00514EB1" w:rsidRPr="004A792A" w14:paraId="2951C091" w14:textId="786A6CF8" w:rsidTr="00567CCA">
        <w:tc>
          <w:tcPr>
            <w:tcW w:w="2977" w:type="dxa"/>
            <w:tcBorders>
              <w:top w:val="nil"/>
              <w:left w:val="nil"/>
              <w:bottom w:val="nil"/>
              <w:right w:val="single" w:sz="4" w:space="0" w:color="auto"/>
            </w:tcBorders>
            <w:shd w:val="clear" w:color="auto" w:fill="auto"/>
            <w:noWrap/>
            <w:vAlign w:val="bottom"/>
            <w:hideMark/>
          </w:tcPr>
          <w:p w14:paraId="02321607"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5683AAFC" w14:textId="0E5EC39A"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(0.054)</w:t>
            </w:r>
          </w:p>
        </w:tc>
        <w:tc>
          <w:tcPr>
            <w:tcW w:w="1120" w:type="dxa"/>
            <w:tcBorders>
              <w:top w:val="nil"/>
              <w:left w:val="nil"/>
              <w:bottom w:val="nil"/>
              <w:right w:val="nil"/>
            </w:tcBorders>
            <w:vAlign w:val="bottom"/>
          </w:tcPr>
          <w:p w14:paraId="1D2580A8" w14:textId="6482B3D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(0.058)</w:t>
            </w:r>
          </w:p>
        </w:tc>
        <w:tc>
          <w:tcPr>
            <w:tcW w:w="1120" w:type="dxa"/>
            <w:tcBorders>
              <w:top w:val="nil"/>
              <w:left w:val="nil"/>
              <w:bottom w:val="nil"/>
            </w:tcBorders>
            <w:shd w:val="clear" w:color="auto" w:fill="auto"/>
            <w:noWrap/>
            <w:vAlign w:val="bottom"/>
          </w:tcPr>
          <w:p w14:paraId="14437858" w14:textId="053A81E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(0.054)</w:t>
            </w:r>
          </w:p>
        </w:tc>
        <w:tc>
          <w:tcPr>
            <w:tcW w:w="1119" w:type="dxa"/>
            <w:tcBorders>
              <w:top w:val="nil"/>
              <w:bottom w:val="nil"/>
              <w:right w:val="single" w:sz="4" w:space="0" w:color="auto"/>
            </w:tcBorders>
            <w:vAlign w:val="bottom"/>
          </w:tcPr>
          <w:p w14:paraId="223D40F6" w14:textId="3096F86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(0.057)</w:t>
            </w:r>
          </w:p>
        </w:tc>
        <w:tc>
          <w:tcPr>
            <w:tcW w:w="1119" w:type="dxa"/>
            <w:tcBorders>
              <w:top w:val="nil"/>
              <w:left w:val="single" w:sz="4" w:space="0" w:color="auto"/>
              <w:bottom w:val="nil"/>
              <w:right w:val="nil"/>
            </w:tcBorders>
            <w:shd w:val="clear" w:color="auto" w:fill="auto"/>
            <w:noWrap/>
            <w:vAlign w:val="bottom"/>
          </w:tcPr>
          <w:p w14:paraId="7B6C7692" w14:textId="2AC44DB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(0.045)</w:t>
            </w:r>
          </w:p>
        </w:tc>
        <w:tc>
          <w:tcPr>
            <w:tcW w:w="1120" w:type="dxa"/>
            <w:tcBorders>
              <w:top w:val="nil"/>
              <w:left w:val="nil"/>
              <w:bottom w:val="nil"/>
              <w:right w:val="nil"/>
            </w:tcBorders>
            <w:vAlign w:val="bottom"/>
          </w:tcPr>
          <w:p w14:paraId="1939BD1F" w14:textId="47E5B46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(0.047)</w:t>
            </w:r>
          </w:p>
        </w:tc>
        <w:tc>
          <w:tcPr>
            <w:tcW w:w="1120" w:type="dxa"/>
            <w:tcBorders>
              <w:top w:val="nil"/>
              <w:left w:val="nil"/>
              <w:bottom w:val="nil"/>
              <w:right w:val="nil"/>
            </w:tcBorders>
            <w:shd w:val="clear" w:color="auto" w:fill="auto"/>
            <w:noWrap/>
            <w:vAlign w:val="bottom"/>
          </w:tcPr>
          <w:p w14:paraId="0B0DBE7F" w14:textId="5246AE3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(0.045)</w:t>
            </w:r>
          </w:p>
        </w:tc>
        <w:tc>
          <w:tcPr>
            <w:tcW w:w="1120" w:type="dxa"/>
            <w:tcBorders>
              <w:top w:val="nil"/>
              <w:left w:val="nil"/>
              <w:bottom w:val="nil"/>
              <w:right w:val="nil"/>
            </w:tcBorders>
            <w:vAlign w:val="bottom"/>
          </w:tcPr>
          <w:p w14:paraId="25E358E3" w14:textId="7C96ECF7"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(0.047)</w:t>
            </w:r>
          </w:p>
        </w:tc>
      </w:tr>
      <w:tr w:rsidR="00514EB1" w:rsidRPr="004A792A" w14:paraId="198CFE6B" w14:textId="1DD5BA6F" w:rsidTr="00567CCA">
        <w:tc>
          <w:tcPr>
            <w:tcW w:w="2977" w:type="dxa"/>
            <w:tcBorders>
              <w:top w:val="nil"/>
              <w:left w:val="nil"/>
              <w:right w:val="single" w:sz="4" w:space="0" w:color="auto"/>
            </w:tcBorders>
            <w:shd w:val="clear" w:color="auto" w:fill="auto"/>
            <w:noWrap/>
            <w:vAlign w:val="bottom"/>
            <w:hideMark/>
          </w:tcPr>
          <w:p w14:paraId="40553785"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Tertiary</w:t>
            </w:r>
          </w:p>
        </w:tc>
        <w:tc>
          <w:tcPr>
            <w:tcW w:w="1119" w:type="dxa"/>
            <w:tcBorders>
              <w:top w:val="nil"/>
              <w:left w:val="single" w:sz="4" w:space="0" w:color="auto"/>
              <w:right w:val="nil"/>
            </w:tcBorders>
            <w:shd w:val="clear" w:color="auto" w:fill="auto"/>
            <w:noWrap/>
            <w:vAlign w:val="bottom"/>
          </w:tcPr>
          <w:p w14:paraId="203FAFAD" w14:textId="450DB04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1.252***</w:t>
            </w:r>
          </w:p>
        </w:tc>
        <w:tc>
          <w:tcPr>
            <w:tcW w:w="1120" w:type="dxa"/>
            <w:tcBorders>
              <w:top w:val="nil"/>
              <w:left w:val="nil"/>
              <w:right w:val="nil"/>
            </w:tcBorders>
            <w:vAlign w:val="bottom"/>
          </w:tcPr>
          <w:p w14:paraId="29A3E66F" w14:textId="393040AD"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1.468***</w:t>
            </w:r>
          </w:p>
        </w:tc>
        <w:tc>
          <w:tcPr>
            <w:tcW w:w="1120" w:type="dxa"/>
            <w:tcBorders>
              <w:top w:val="nil"/>
              <w:left w:val="nil"/>
            </w:tcBorders>
            <w:shd w:val="clear" w:color="auto" w:fill="auto"/>
            <w:noWrap/>
            <w:vAlign w:val="bottom"/>
          </w:tcPr>
          <w:p w14:paraId="464348D4" w14:textId="0B2DFF1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1.305***</w:t>
            </w:r>
          </w:p>
        </w:tc>
        <w:tc>
          <w:tcPr>
            <w:tcW w:w="1119" w:type="dxa"/>
            <w:tcBorders>
              <w:top w:val="nil"/>
              <w:right w:val="single" w:sz="4" w:space="0" w:color="auto"/>
            </w:tcBorders>
            <w:vAlign w:val="bottom"/>
          </w:tcPr>
          <w:p w14:paraId="35441958" w14:textId="7EA10CA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1.524***</w:t>
            </w:r>
          </w:p>
        </w:tc>
        <w:tc>
          <w:tcPr>
            <w:tcW w:w="1119" w:type="dxa"/>
            <w:tcBorders>
              <w:top w:val="nil"/>
              <w:left w:val="single" w:sz="4" w:space="0" w:color="auto"/>
              <w:right w:val="nil"/>
            </w:tcBorders>
            <w:shd w:val="clear" w:color="auto" w:fill="auto"/>
            <w:noWrap/>
            <w:vAlign w:val="bottom"/>
          </w:tcPr>
          <w:p w14:paraId="1E4DC3B6" w14:textId="036FF61C"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1.116***</w:t>
            </w:r>
          </w:p>
        </w:tc>
        <w:tc>
          <w:tcPr>
            <w:tcW w:w="1120" w:type="dxa"/>
            <w:tcBorders>
              <w:top w:val="nil"/>
              <w:left w:val="nil"/>
              <w:right w:val="nil"/>
            </w:tcBorders>
            <w:vAlign w:val="bottom"/>
          </w:tcPr>
          <w:p w14:paraId="78C89A46" w14:textId="7941388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1.404***</w:t>
            </w:r>
          </w:p>
        </w:tc>
        <w:tc>
          <w:tcPr>
            <w:tcW w:w="1120" w:type="dxa"/>
            <w:tcBorders>
              <w:top w:val="nil"/>
              <w:left w:val="nil"/>
              <w:right w:val="nil"/>
            </w:tcBorders>
            <w:shd w:val="clear" w:color="auto" w:fill="auto"/>
            <w:noWrap/>
            <w:vAlign w:val="bottom"/>
          </w:tcPr>
          <w:p w14:paraId="2859D6AA" w14:textId="56239C1E"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1.105***</w:t>
            </w:r>
          </w:p>
        </w:tc>
        <w:tc>
          <w:tcPr>
            <w:tcW w:w="1120" w:type="dxa"/>
            <w:tcBorders>
              <w:top w:val="nil"/>
              <w:left w:val="nil"/>
              <w:right w:val="nil"/>
            </w:tcBorders>
            <w:vAlign w:val="bottom"/>
          </w:tcPr>
          <w:p w14:paraId="2B5DF01E" w14:textId="2F29008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1.396***</w:t>
            </w:r>
          </w:p>
        </w:tc>
      </w:tr>
      <w:tr w:rsidR="00514EB1" w:rsidRPr="004A792A" w14:paraId="44A5C897" w14:textId="4DD186CA" w:rsidTr="00567CCA">
        <w:tc>
          <w:tcPr>
            <w:tcW w:w="2977" w:type="dxa"/>
            <w:tcBorders>
              <w:top w:val="nil"/>
              <w:left w:val="nil"/>
              <w:bottom w:val="single" w:sz="4" w:space="0" w:color="auto"/>
              <w:right w:val="single" w:sz="4" w:space="0" w:color="auto"/>
            </w:tcBorders>
            <w:shd w:val="clear" w:color="auto" w:fill="auto"/>
            <w:noWrap/>
            <w:vAlign w:val="bottom"/>
            <w:hideMark/>
          </w:tcPr>
          <w:p w14:paraId="51090D5C"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63526EFE" w14:textId="53069F93"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(0.055)</w:t>
            </w:r>
          </w:p>
        </w:tc>
        <w:tc>
          <w:tcPr>
            <w:tcW w:w="1120" w:type="dxa"/>
            <w:tcBorders>
              <w:top w:val="nil"/>
              <w:left w:val="nil"/>
              <w:bottom w:val="single" w:sz="4" w:space="0" w:color="auto"/>
              <w:right w:val="nil"/>
            </w:tcBorders>
            <w:vAlign w:val="bottom"/>
          </w:tcPr>
          <w:p w14:paraId="1F7B5848" w14:textId="4024A46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(0.059)</w:t>
            </w:r>
          </w:p>
        </w:tc>
        <w:tc>
          <w:tcPr>
            <w:tcW w:w="1120" w:type="dxa"/>
            <w:tcBorders>
              <w:top w:val="nil"/>
              <w:left w:val="nil"/>
              <w:bottom w:val="single" w:sz="4" w:space="0" w:color="auto"/>
            </w:tcBorders>
            <w:shd w:val="clear" w:color="auto" w:fill="auto"/>
            <w:noWrap/>
            <w:vAlign w:val="bottom"/>
          </w:tcPr>
          <w:p w14:paraId="6C78E7AE" w14:textId="58C36FE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(0.054)</w:t>
            </w:r>
          </w:p>
        </w:tc>
        <w:tc>
          <w:tcPr>
            <w:tcW w:w="1119" w:type="dxa"/>
            <w:tcBorders>
              <w:top w:val="nil"/>
              <w:bottom w:val="single" w:sz="4" w:space="0" w:color="auto"/>
              <w:right w:val="single" w:sz="4" w:space="0" w:color="auto"/>
            </w:tcBorders>
            <w:vAlign w:val="bottom"/>
          </w:tcPr>
          <w:p w14:paraId="0F850CA7" w14:textId="5CAA1B5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(0.057)</w:t>
            </w:r>
          </w:p>
        </w:tc>
        <w:tc>
          <w:tcPr>
            <w:tcW w:w="1119" w:type="dxa"/>
            <w:tcBorders>
              <w:top w:val="nil"/>
              <w:left w:val="single" w:sz="4" w:space="0" w:color="auto"/>
              <w:bottom w:val="single" w:sz="4" w:space="0" w:color="auto"/>
              <w:right w:val="nil"/>
            </w:tcBorders>
            <w:shd w:val="clear" w:color="auto" w:fill="auto"/>
            <w:noWrap/>
            <w:vAlign w:val="bottom"/>
          </w:tcPr>
          <w:p w14:paraId="755CDD24" w14:textId="04E7813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(0.046)</w:t>
            </w:r>
          </w:p>
        </w:tc>
        <w:tc>
          <w:tcPr>
            <w:tcW w:w="1120" w:type="dxa"/>
            <w:tcBorders>
              <w:top w:val="nil"/>
              <w:left w:val="nil"/>
              <w:bottom w:val="single" w:sz="4" w:space="0" w:color="auto"/>
              <w:right w:val="nil"/>
            </w:tcBorders>
            <w:vAlign w:val="bottom"/>
          </w:tcPr>
          <w:p w14:paraId="41D3899A" w14:textId="4055060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(0.047)</w:t>
            </w:r>
          </w:p>
        </w:tc>
        <w:tc>
          <w:tcPr>
            <w:tcW w:w="1120" w:type="dxa"/>
            <w:tcBorders>
              <w:top w:val="nil"/>
              <w:left w:val="nil"/>
              <w:bottom w:val="single" w:sz="4" w:space="0" w:color="auto"/>
              <w:right w:val="nil"/>
            </w:tcBorders>
            <w:shd w:val="clear" w:color="auto" w:fill="auto"/>
            <w:noWrap/>
            <w:vAlign w:val="bottom"/>
          </w:tcPr>
          <w:p w14:paraId="069CB3AE" w14:textId="18D6103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(0.047)</w:t>
            </w:r>
          </w:p>
        </w:tc>
        <w:tc>
          <w:tcPr>
            <w:tcW w:w="1120" w:type="dxa"/>
            <w:tcBorders>
              <w:top w:val="nil"/>
              <w:left w:val="nil"/>
              <w:bottom w:val="single" w:sz="4" w:space="0" w:color="auto"/>
              <w:right w:val="nil"/>
            </w:tcBorders>
            <w:vAlign w:val="bottom"/>
          </w:tcPr>
          <w:p w14:paraId="7A2CCFB1" w14:textId="6738F29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(0.047)</w:t>
            </w:r>
          </w:p>
        </w:tc>
      </w:tr>
      <w:tr w:rsidR="00514EB1" w:rsidRPr="004A792A" w14:paraId="021013EF" w14:textId="2428B11D" w:rsidTr="00567CCA">
        <w:tc>
          <w:tcPr>
            <w:tcW w:w="2977" w:type="dxa"/>
            <w:tcBorders>
              <w:top w:val="single" w:sz="4" w:space="0" w:color="auto"/>
              <w:left w:val="nil"/>
              <w:bottom w:val="nil"/>
              <w:right w:val="single" w:sz="4" w:space="0" w:color="auto"/>
            </w:tcBorders>
            <w:shd w:val="clear" w:color="auto" w:fill="auto"/>
            <w:noWrap/>
            <w:vAlign w:val="bottom"/>
            <w:hideMark/>
          </w:tcPr>
          <w:p w14:paraId="270D3368"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Urban</w:t>
            </w:r>
          </w:p>
        </w:tc>
        <w:tc>
          <w:tcPr>
            <w:tcW w:w="1119" w:type="dxa"/>
            <w:tcBorders>
              <w:top w:val="single" w:sz="4" w:space="0" w:color="auto"/>
              <w:left w:val="single" w:sz="4" w:space="0" w:color="auto"/>
              <w:bottom w:val="nil"/>
              <w:right w:val="nil"/>
            </w:tcBorders>
            <w:shd w:val="clear" w:color="auto" w:fill="auto"/>
            <w:noWrap/>
            <w:vAlign w:val="bottom"/>
          </w:tcPr>
          <w:p w14:paraId="4079DB7F" w14:textId="0EC0225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-0.066**</w:t>
            </w:r>
          </w:p>
        </w:tc>
        <w:tc>
          <w:tcPr>
            <w:tcW w:w="1120" w:type="dxa"/>
            <w:tcBorders>
              <w:top w:val="single" w:sz="4" w:space="0" w:color="auto"/>
              <w:left w:val="nil"/>
              <w:bottom w:val="nil"/>
              <w:right w:val="nil"/>
            </w:tcBorders>
            <w:vAlign w:val="bottom"/>
          </w:tcPr>
          <w:p w14:paraId="5F4AD6AD" w14:textId="7BF22B0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-0.140***</w:t>
            </w:r>
          </w:p>
        </w:tc>
        <w:tc>
          <w:tcPr>
            <w:tcW w:w="1120" w:type="dxa"/>
            <w:tcBorders>
              <w:top w:val="single" w:sz="4" w:space="0" w:color="auto"/>
              <w:left w:val="nil"/>
              <w:bottom w:val="nil"/>
            </w:tcBorders>
            <w:shd w:val="clear" w:color="auto" w:fill="auto"/>
            <w:noWrap/>
            <w:vAlign w:val="bottom"/>
          </w:tcPr>
          <w:p w14:paraId="1DE67240" w14:textId="1468EFE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-0.061**</w:t>
            </w:r>
          </w:p>
        </w:tc>
        <w:tc>
          <w:tcPr>
            <w:tcW w:w="1119" w:type="dxa"/>
            <w:tcBorders>
              <w:top w:val="single" w:sz="4" w:space="0" w:color="auto"/>
              <w:bottom w:val="nil"/>
              <w:right w:val="single" w:sz="4" w:space="0" w:color="auto"/>
            </w:tcBorders>
            <w:vAlign w:val="bottom"/>
          </w:tcPr>
          <w:p w14:paraId="6F3F54E7" w14:textId="18C83448"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-0.138***</w:t>
            </w:r>
          </w:p>
        </w:tc>
        <w:tc>
          <w:tcPr>
            <w:tcW w:w="1119" w:type="dxa"/>
            <w:tcBorders>
              <w:top w:val="single" w:sz="4" w:space="0" w:color="auto"/>
              <w:left w:val="single" w:sz="4" w:space="0" w:color="auto"/>
              <w:bottom w:val="nil"/>
              <w:right w:val="nil"/>
            </w:tcBorders>
            <w:shd w:val="clear" w:color="auto" w:fill="auto"/>
            <w:noWrap/>
            <w:vAlign w:val="bottom"/>
          </w:tcPr>
          <w:p w14:paraId="2CB9D64C" w14:textId="538A6CF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-0.033</w:t>
            </w:r>
          </w:p>
        </w:tc>
        <w:tc>
          <w:tcPr>
            <w:tcW w:w="1120" w:type="dxa"/>
            <w:tcBorders>
              <w:top w:val="single" w:sz="4" w:space="0" w:color="auto"/>
              <w:left w:val="nil"/>
              <w:bottom w:val="nil"/>
              <w:right w:val="nil"/>
            </w:tcBorders>
            <w:vAlign w:val="bottom"/>
          </w:tcPr>
          <w:p w14:paraId="5F28B49D" w14:textId="0082620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-0.110***</w:t>
            </w:r>
          </w:p>
        </w:tc>
        <w:tc>
          <w:tcPr>
            <w:tcW w:w="1120" w:type="dxa"/>
            <w:tcBorders>
              <w:top w:val="single" w:sz="4" w:space="0" w:color="auto"/>
              <w:left w:val="nil"/>
              <w:bottom w:val="nil"/>
              <w:right w:val="nil"/>
            </w:tcBorders>
            <w:shd w:val="clear" w:color="auto" w:fill="auto"/>
            <w:noWrap/>
            <w:vAlign w:val="bottom"/>
          </w:tcPr>
          <w:p w14:paraId="705EDB4D" w14:textId="24F64490"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-0.037</w:t>
            </w:r>
          </w:p>
        </w:tc>
        <w:tc>
          <w:tcPr>
            <w:tcW w:w="1120" w:type="dxa"/>
            <w:tcBorders>
              <w:top w:val="single" w:sz="4" w:space="0" w:color="auto"/>
              <w:left w:val="nil"/>
              <w:bottom w:val="nil"/>
              <w:right w:val="nil"/>
            </w:tcBorders>
            <w:vAlign w:val="bottom"/>
          </w:tcPr>
          <w:p w14:paraId="481F6A18" w14:textId="16B10263"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-0.114***</w:t>
            </w:r>
          </w:p>
        </w:tc>
      </w:tr>
      <w:tr w:rsidR="00514EB1" w:rsidRPr="004A792A" w14:paraId="7978F3FB" w14:textId="7835FC46" w:rsidTr="00567CCA">
        <w:tc>
          <w:tcPr>
            <w:tcW w:w="2977" w:type="dxa"/>
            <w:tcBorders>
              <w:top w:val="nil"/>
              <w:left w:val="nil"/>
              <w:bottom w:val="nil"/>
              <w:right w:val="single" w:sz="4" w:space="0" w:color="auto"/>
            </w:tcBorders>
            <w:shd w:val="clear" w:color="auto" w:fill="auto"/>
            <w:noWrap/>
            <w:vAlign w:val="bottom"/>
            <w:hideMark/>
          </w:tcPr>
          <w:p w14:paraId="3DD96E26"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596375BB" w14:textId="1FB5462E"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(0.026)</w:t>
            </w:r>
          </w:p>
        </w:tc>
        <w:tc>
          <w:tcPr>
            <w:tcW w:w="1120" w:type="dxa"/>
            <w:tcBorders>
              <w:top w:val="nil"/>
              <w:left w:val="nil"/>
              <w:bottom w:val="nil"/>
              <w:right w:val="nil"/>
            </w:tcBorders>
            <w:vAlign w:val="bottom"/>
          </w:tcPr>
          <w:p w14:paraId="78F8FC39" w14:textId="0852030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(0.030)</w:t>
            </w:r>
          </w:p>
        </w:tc>
        <w:tc>
          <w:tcPr>
            <w:tcW w:w="1120" w:type="dxa"/>
            <w:tcBorders>
              <w:top w:val="nil"/>
              <w:left w:val="nil"/>
              <w:bottom w:val="nil"/>
            </w:tcBorders>
            <w:shd w:val="clear" w:color="auto" w:fill="auto"/>
            <w:noWrap/>
            <w:vAlign w:val="bottom"/>
          </w:tcPr>
          <w:p w14:paraId="57A8742E" w14:textId="4D4A069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(0.027)</w:t>
            </w:r>
          </w:p>
        </w:tc>
        <w:tc>
          <w:tcPr>
            <w:tcW w:w="1119" w:type="dxa"/>
            <w:tcBorders>
              <w:top w:val="nil"/>
              <w:bottom w:val="nil"/>
              <w:right w:val="single" w:sz="4" w:space="0" w:color="auto"/>
            </w:tcBorders>
            <w:vAlign w:val="bottom"/>
          </w:tcPr>
          <w:p w14:paraId="519D5BDF" w14:textId="2BEC4436"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(0.030)</w:t>
            </w:r>
          </w:p>
        </w:tc>
        <w:tc>
          <w:tcPr>
            <w:tcW w:w="1119" w:type="dxa"/>
            <w:tcBorders>
              <w:top w:val="nil"/>
              <w:left w:val="single" w:sz="4" w:space="0" w:color="auto"/>
              <w:bottom w:val="nil"/>
              <w:right w:val="nil"/>
            </w:tcBorders>
            <w:shd w:val="clear" w:color="auto" w:fill="auto"/>
            <w:noWrap/>
            <w:vAlign w:val="bottom"/>
          </w:tcPr>
          <w:p w14:paraId="747DDC1A" w14:textId="220189F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(0.025)</w:t>
            </w:r>
          </w:p>
        </w:tc>
        <w:tc>
          <w:tcPr>
            <w:tcW w:w="1120" w:type="dxa"/>
            <w:tcBorders>
              <w:top w:val="nil"/>
              <w:left w:val="nil"/>
              <w:bottom w:val="nil"/>
              <w:right w:val="nil"/>
            </w:tcBorders>
            <w:vAlign w:val="bottom"/>
          </w:tcPr>
          <w:p w14:paraId="6D285AED" w14:textId="30165AA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(0.029)</w:t>
            </w:r>
          </w:p>
        </w:tc>
        <w:tc>
          <w:tcPr>
            <w:tcW w:w="1120" w:type="dxa"/>
            <w:tcBorders>
              <w:top w:val="nil"/>
              <w:left w:val="nil"/>
              <w:bottom w:val="nil"/>
              <w:right w:val="nil"/>
            </w:tcBorders>
            <w:shd w:val="clear" w:color="auto" w:fill="auto"/>
            <w:noWrap/>
            <w:vAlign w:val="bottom"/>
          </w:tcPr>
          <w:p w14:paraId="1B71D805" w14:textId="64A008DD"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(0.025)</w:t>
            </w:r>
          </w:p>
        </w:tc>
        <w:tc>
          <w:tcPr>
            <w:tcW w:w="1120" w:type="dxa"/>
            <w:tcBorders>
              <w:top w:val="nil"/>
              <w:left w:val="nil"/>
              <w:bottom w:val="nil"/>
              <w:right w:val="nil"/>
            </w:tcBorders>
            <w:vAlign w:val="bottom"/>
          </w:tcPr>
          <w:p w14:paraId="4A1BF64D" w14:textId="6A80E478"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(0.029)</w:t>
            </w:r>
          </w:p>
        </w:tc>
      </w:tr>
      <w:tr w:rsidR="00514EB1" w:rsidRPr="004A792A" w14:paraId="78FB8701" w14:textId="2DC4BEF7" w:rsidTr="00567CCA">
        <w:tc>
          <w:tcPr>
            <w:tcW w:w="2977" w:type="dxa"/>
            <w:tcBorders>
              <w:top w:val="nil"/>
              <w:left w:val="nil"/>
              <w:bottom w:val="nil"/>
              <w:right w:val="single" w:sz="4" w:space="0" w:color="auto"/>
            </w:tcBorders>
            <w:shd w:val="clear" w:color="auto" w:fill="auto"/>
            <w:noWrap/>
            <w:vAlign w:val="bottom"/>
            <w:hideMark/>
          </w:tcPr>
          <w:p w14:paraId="3034DEEB"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Center</w:t>
            </w:r>
          </w:p>
        </w:tc>
        <w:tc>
          <w:tcPr>
            <w:tcW w:w="1119" w:type="dxa"/>
            <w:tcBorders>
              <w:top w:val="nil"/>
              <w:left w:val="single" w:sz="4" w:space="0" w:color="auto"/>
              <w:bottom w:val="nil"/>
              <w:right w:val="nil"/>
            </w:tcBorders>
            <w:shd w:val="clear" w:color="auto" w:fill="auto"/>
            <w:noWrap/>
            <w:vAlign w:val="bottom"/>
          </w:tcPr>
          <w:p w14:paraId="7758A539" w14:textId="6DC9B5C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-0.094**</w:t>
            </w:r>
          </w:p>
        </w:tc>
        <w:tc>
          <w:tcPr>
            <w:tcW w:w="1120" w:type="dxa"/>
            <w:tcBorders>
              <w:top w:val="nil"/>
              <w:left w:val="nil"/>
              <w:bottom w:val="nil"/>
              <w:right w:val="nil"/>
            </w:tcBorders>
            <w:vAlign w:val="bottom"/>
          </w:tcPr>
          <w:p w14:paraId="73CF93FF" w14:textId="6E5023A8"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-0.054</w:t>
            </w:r>
          </w:p>
        </w:tc>
        <w:tc>
          <w:tcPr>
            <w:tcW w:w="1120" w:type="dxa"/>
            <w:tcBorders>
              <w:top w:val="nil"/>
              <w:left w:val="nil"/>
              <w:bottom w:val="nil"/>
            </w:tcBorders>
            <w:shd w:val="clear" w:color="auto" w:fill="auto"/>
            <w:noWrap/>
            <w:vAlign w:val="bottom"/>
          </w:tcPr>
          <w:p w14:paraId="1EC78354" w14:textId="1374C810"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-0.094**</w:t>
            </w:r>
          </w:p>
        </w:tc>
        <w:tc>
          <w:tcPr>
            <w:tcW w:w="1119" w:type="dxa"/>
            <w:tcBorders>
              <w:top w:val="nil"/>
              <w:bottom w:val="nil"/>
              <w:right w:val="single" w:sz="4" w:space="0" w:color="auto"/>
            </w:tcBorders>
            <w:vAlign w:val="bottom"/>
          </w:tcPr>
          <w:p w14:paraId="7FEF16EE" w14:textId="022BD42D"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-0.053</w:t>
            </w:r>
          </w:p>
        </w:tc>
        <w:tc>
          <w:tcPr>
            <w:tcW w:w="1119" w:type="dxa"/>
            <w:tcBorders>
              <w:top w:val="nil"/>
              <w:left w:val="single" w:sz="4" w:space="0" w:color="auto"/>
              <w:bottom w:val="nil"/>
              <w:right w:val="nil"/>
            </w:tcBorders>
            <w:shd w:val="clear" w:color="auto" w:fill="auto"/>
            <w:noWrap/>
            <w:vAlign w:val="bottom"/>
          </w:tcPr>
          <w:p w14:paraId="6705FEA9" w14:textId="667764F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-0.005</w:t>
            </w:r>
          </w:p>
        </w:tc>
        <w:tc>
          <w:tcPr>
            <w:tcW w:w="1120" w:type="dxa"/>
            <w:tcBorders>
              <w:top w:val="nil"/>
              <w:left w:val="nil"/>
              <w:bottom w:val="nil"/>
              <w:right w:val="nil"/>
            </w:tcBorders>
            <w:vAlign w:val="bottom"/>
          </w:tcPr>
          <w:p w14:paraId="4FE7ADF7" w14:textId="0D692E6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-0.025</w:t>
            </w:r>
          </w:p>
        </w:tc>
        <w:tc>
          <w:tcPr>
            <w:tcW w:w="1120" w:type="dxa"/>
            <w:tcBorders>
              <w:top w:val="nil"/>
              <w:left w:val="nil"/>
              <w:bottom w:val="nil"/>
              <w:right w:val="nil"/>
            </w:tcBorders>
            <w:shd w:val="clear" w:color="auto" w:fill="auto"/>
            <w:noWrap/>
            <w:vAlign w:val="bottom"/>
          </w:tcPr>
          <w:p w14:paraId="6C078EBB" w14:textId="1726DC2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-0.004</w:t>
            </w:r>
          </w:p>
        </w:tc>
        <w:tc>
          <w:tcPr>
            <w:tcW w:w="1120" w:type="dxa"/>
            <w:tcBorders>
              <w:top w:val="nil"/>
              <w:left w:val="nil"/>
              <w:bottom w:val="nil"/>
              <w:right w:val="nil"/>
            </w:tcBorders>
            <w:vAlign w:val="bottom"/>
          </w:tcPr>
          <w:p w14:paraId="6FDEDF25" w14:textId="48D85B65"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-0.025</w:t>
            </w:r>
          </w:p>
        </w:tc>
      </w:tr>
      <w:tr w:rsidR="00514EB1" w:rsidRPr="004A792A" w14:paraId="279C2662" w14:textId="54239157" w:rsidTr="00567CCA">
        <w:tc>
          <w:tcPr>
            <w:tcW w:w="2977" w:type="dxa"/>
            <w:tcBorders>
              <w:top w:val="nil"/>
              <w:left w:val="nil"/>
              <w:bottom w:val="nil"/>
              <w:right w:val="single" w:sz="4" w:space="0" w:color="auto"/>
            </w:tcBorders>
            <w:shd w:val="clear" w:color="auto" w:fill="auto"/>
            <w:noWrap/>
            <w:vAlign w:val="bottom"/>
            <w:hideMark/>
          </w:tcPr>
          <w:p w14:paraId="647720EE"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49373622" w14:textId="2F37175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(0.036)</w:t>
            </w:r>
          </w:p>
        </w:tc>
        <w:tc>
          <w:tcPr>
            <w:tcW w:w="1120" w:type="dxa"/>
            <w:tcBorders>
              <w:top w:val="nil"/>
              <w:left w:val="nil"/>
              <w:bottom w:val="nil"/>
              <w:right w:val="nil"/>
            </w:tcBorders>
            <w:vAlign w:val="bottom"/>
          </w:tcPr>
          <w:p w14:paraId="6E142EF8" w14:textId="6F885DA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(0.041)</w:t>
            </w:r>
          </w:p>
        </w:tc>
        <w:tc>
          <w:tcPr>
            <w:tcW w:w="1120" w:type="dxa"/>
            <w:tcBorders>
              <w:top w:val="nil"/>
              <w:left w:val="nil"/>
              <w:bottom w:val="nil"/>
            </w:tcBorders>
            <w:shd w:val="clear" w:color="auto" w:fill="auto"/>
            <w:noWrap/>
            <w:vAlign w:val="bottom"/>
          </w:tcPr>
          <w:p w14:paraId="662490DD" w14:textId="5D7D5D6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(0.037)</w:t>
            </w:r>
          </w:p>
        </w:tc>
        <w:tc>
          <w:tcPr>
            <w:tcW w:w="1119" w:type="dxa"/>
            <w:tcBorders>
              <w:top w:val="nil"/>
              <w:bottom w:val="nil"/>
              <w:right w:val="single" w:sz="4" w:space="0" w:color="auto"/>
            </w:tcBorders>
            <w:vAlign w:val="bottom"/>
          </w:tcPr>
          <w:p w14:paraId="16708336" w14:textId="2D74355F"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(0.042)</w:t>
            </w:r>
          </w:p>
        </w:tc>
        <w:tc>
          <w:tcPr>
            <w:tcW w:w="1119" w:type="dxa"/>
            <w:tcBorders>
              <w:top w:val="nil"/>
              <w:left w:val="single" w:sz="4" w:space="0" w:color="auto"/>
              <w:bottom w:val="nil"/>
              <w:right w:val="nil"/>
            </w:tcBorders>
            <w:shd w:val="clear" w:color="auto" w:fill="auto"/>
            <w:noWrap/>
            <w:vAlign w:val="bottom"/>
          </w:tcPr>
          <w:p w14:paraId="23D65850" w14:textId="5E303CE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(0.037)</w:t>
            </w:r>
          </w:p>
        </w:tc>
        <w:tc>
          <w:tcPr>
            <w:tcW w:w="1120" w:type="dxa"/>
            <w:tcBorders>
              <w:top w:val="nil"/>
              <w:left w:val="nil"/>
              <w:bottom w:val="nil"/>
              <w:right w:val="nil"/>
            </w:tcBorders>
            <w:vAlign w:val="bottom"/>
          </w:tcPr>
          <w:p w14:paraId="40F24B14" w14:textId="7B9D3704"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(0.039)</w:t>
            </w:r>
          </w:p>
        </w:tc>
        <w:tc>
          <w:tcPr>
            <w:tcW w:w="1120" w:type="dxa"/>
            <w:tcBorders>
              <w:top w:val="nil"/>
              <w:left w:val="nil"/>
              <w:bottom w:val="nil"/>
              <w:right w:val="nil"/>
            </w:tcBorders>
            <w:shd w:val="clear" w:color="auto" w:fill="auto"/>
            <w:noWrap/>
            <w:vAlign w:val="bottom"/>
          </w:tcPr>
          <w:p w14:paraId="7106A95C" w14:textId="59549122"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(0.037)</w:t>
            </w:r>
          </w:p>
        </w:tc>
        <w:tc>
          <w:tcPr>
            <w:tcW w:w="1120" w:type="dxa"/>
            <w:tcBorders>
              <w:top w:val="nil"/>
              <w:left w:val="nil"/>
              <w:bottom w:val="nil"/>
              <w:right w:val="nil"/>
            </w:tcBorders>
            <w:vAlign w:val="bottom"/>
          </w:tcPr>
          <w:p w14:paraId="738B9D08" w14:textId="1C50A8C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(0.039)</w:t>
            </w:r>
          </w:p>
        </w:tc>
      </w:tr>
      <w:tr w:rsidR="00514EB1" w:rsidRPr="004A792A" w14:paraId="0E9147CA" w14:textId="4E14215C" w:rsidTr="00567CCA">
        <w:tc>
          <w:tcPr>
            <w:tcW w:w="2977" w:type="dxa"/>
            <w:tcBorders>
              <w:top w:val="nil"/>
              <w:left w:val="nil"/>
              <w:bottom w:val="nil"/>
              <w:right w:val="single" w:sz="4" w:space="0" w:color="auto"/>
            </w:tcBorders>
            <w:shd w:val="clear" w:color="auto" w:fill="auto"/>
            <w:noWrap/>
            <w:vAlign w:val="bottom"/>
            <w:hideMark/>
          </w:tcPr>
          <w:p w14:paraId="2C795019"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South</w:t>
            </w:r>
          </w:p>
        </w:tc>
        <w:tc>
          <w:tcPr>
            <w:tcW w:w="1119" w:type="dxa"/>
            <w:tcBorders>
              <w:top w:val="nil"/>
              <w:left w:val="single" w:sz="4" w:space="0" w:color="auto"/>
              <w:bottom w:val="nil"/>
              <w:right w:val="nil"/>
            </w:tcBorders>
            <w:shd w:val="clear" w:color="auto" w:fill="auto"/>
            <w:noWrap/>
            <w:vAlign w:val="bottom"/>
          </w:tcPr>
          <w:p w14:paraId="4502A866" w14:textId="5D67DBE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-0.209***</w:t>
            </w:r>
          </w:p>
        </w:tc>
        <w:tc>
          <w:tcPr>
            <w:tcW w:w="1120" w:type="dxa"/>
            <w:tcBorders>
              <w:top w:val="nil"/>
              <w:left w:val="nil"/>
              <w:bottom w:val="nil"/>
              <w:right w:val="nil"/>
            </w:tcBorders>
            <w:vAlign w:val="bottom"/>
          </w:tcPr>
          <w:p w14:paraId="1302A4E1" w14:textId="746CA95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-0.120***</w:t>
            </w:r>
          </w:p>
        </w:tc>
        <w:tc>
          <w:tcPr>
            <w:tcW w:w="1120" w:type="dxa"/>
            <w:tcBorders>
              <w:top w:val="nil"/>
              <w:left w:val="nil"/>
              <w:bottom w:val="nil"/>
            </w:tcBorders>
            <w:shd w:val="clear" w:color="auto" w:fill="auto"/>
            <w:noWrap/>
            <w:vAlign w:val="bottom"/>
          </w:tcPr>
          <w:p w14:paraId="12031851" w14:textId="07A9B98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-0.204***</w:t>
            </w:r>
          </w:p>
        </w:tc>
        <w:tc>
          <w:tcPr>
            <w:tcW w:w="1119" w:type="dxa"/>
            <w:tcBorders>
              <w:top w:val="nil"/>
              <w:bottom w:val="nil"/>
              <w:right w:val="single" w:sz="4" w:space="0" w:color="auto"/>
            </w:tcBorders>
            <w:vAlign w:val="bottom"/>
          </w:tcPr>
          <w:p w14:paraId="77743A5B" w14:textId="153EABF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-0.109**</w:t>
            </w:r>
          </w:p>
        </w:tc>
        <w:tc>
          <w:tcPr>
            <w:tcW w:w="1119" w:type="dxa"/>
            <w:tcBorders>
              <w:top w:val="nil"/>
              <w:left w:val="single" w:sz="4" w:space="0" w:color="auto"/>
              <w:bottom w:val="nil"/>
              <w:right w:val="nil"/>
            </w:tcBorders>
            <w:shd w:val="clear" w:color="auto" w:fill="auto"/>
            <w:noWrap/>
            <w:vAlign w:val="bottom"/>
          </w:tcPr>
          <w:p w14:paraId="1BC884F0" w14:textId="2056C565"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-0.154***</w:t>
            </w:r>
          </w:p>
        </w:tc>
        <w:tc>
          <w:tcPr>
            <w:tcW w:w="1120" w:type="dxa"/>
            <w:tcBorders>
              <w:top w:val="nil"/>
              <w:left w:val="nil"/>
              <w:bottom w:val="nil"/>
              <w:right w:val="nil"/>
            </w:tcBorders>
            <w:vAlign w:val="bottom"/>
          </w:tcPr>
          <w:p w14:paraId="1D150776" w14:textId="3BDF77CD"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-0.143***</w:t>
            </w:r>
          </w:p>
        </w:tc>
        <w:tc>
          <w:tcPr>
            <w:tcW w:w="1120" w:type="dxa"/>
            <w:tcBorders>
              <w:top w:val="nil"/>
              <w:left w:val="nil"/>
              <w:bottom w:val="nil"/>
              <w:right w:val="nil"/>
            </w:tcBorders>
            <w:shd w:val="clear" w:color="auto" w:fill="auto"/>
            <w:noWrap/>
            <w:vAlign w:val="bottom"/>
          </w:tcPr>
          <w:p w14:paraId="76A0B6CA" w14:textId="0703D19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-0.154***</w:t>
            </w:r>
          </w:p>
        </w:tc>
        <w:tc>
          <w:tcPr>
            <w:tcW w:w="1120" w:type="dxa"/>
            <w:tcBorders>
              <w:top w:val="nil"/>
              <w:left w:val="nil"/>
              <w:bottom w:val="nil"/>
              <w:right w:val="nil"/>
            </w:tcBorders>
            <w:vAlign w:val="bottom"/>
          </w:tcPr>
          <w:p w14:paraId="75509E29" w14:textId="388C205D"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-0.143***</w:t>
            </w:r>
          </w:p>
        </w:tc>
      </w:tr>
      <w:tr w:rsidR="00514EB1" w:rsidRPr="004A792A" w14:paraId="2563C8FF" w14:textId="30D07FA2" w:rsidTr="00567CCA">
        <w:tc>
          <w:tcPr>
            <w:tcW w:w="2977" w:type="dxa"/>
            <w:tcBorders>
              <w:top w:val="nil"/>
              <w:left w:val="nil"/>
              <w:bottom w:val="nil"/>
              <w:right w:val="single" w:sz="4" w:space="0" w:color="auto"/>
            </w:tcBorders>
            <w:shd w:val="clear" w:color="auto" w:fill="auto"/>
            <w:noWrap/>
            <w:vAlign w:val="bottom"/>
            <w:hideMark/>
          </w:tcPr>
          <w:p w14:paraId="767BD324"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nil"/>
              <w:right w:val="nil"/>
            </w:tcBorders>
            <w:shd w:val="clear" w:color="auto" w:fill="auto"/>
            <w:noWrap/>
            <w:vAlign w:val="bottom"/>
          </w:tcPr>
          <w:p w14:paraId="07600637" w14:textId="72C26474"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(0.038)</w:t>
            </w:r>
          </w:p>
        </w:tc>
        <w:tc>
          <w:tcPr>
            <w:tcW w:w="1120" w:type="dxa"/>
            <w:tcBorders>
              <w:top w:val="nil"/>
              <w:left w:val="nil"/>
              <w:bottom w:val="nil"/>
              <w:right w:val="nil"/>
            </w:tcBorders>
            <w:vAlign w:val="bottom"/>
          </w:tcPr>
          <w:p w14:paraId="1B53CEA5" w14:textId="269499B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(0.042)</w:t>
            </w:r>
          </w:p>
        </w:tc>
        <w:tc>
          <w:tcPr>
            <w:tcW w:w="1120" w:type="dxa"/>
            <w:tcBorders>
              <w:top w:val="nil"/>
              <w:left w:val="nil"/>
              <w:bottom w:val="nil"/>
            </w:tcBorders>
            <w:shd w:val="clear" w:color="auto" w:fill="auto"/>
            <w:noWrap/>
            <w:vAlign w:val="bottom"/>
          </w:tcPr>
          <w:p w14:paraId="09DB2275" w14:textId="2DDA111F"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(0.039)</w:t>
            </w:r>
          </w:p>
        </w:tc>
        <w:tc>
          <w:tcPr>
            <w:tcW w:w="1119" w:type="dxa"/>
            <w:tcBorders>
              <w:top w:val="nil"/>
              <w:bottom w:val="nil"/>
              <w:right w:val="single" w:sz="4" w:space="0" w:color="auto"/>
            </w:tcBorders>
            <w:vAlign w:val="bottom"/>
          </w:tcPr>
          <w:p w14:paraId="477C97EA" w14:textId="21CF8D9B"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(0.043)</w:t>
            </w:r>
          </w:p>
        </w:tc>
        <w:tc>
          <w:tcPr>
            <w:tcW w:w="1119" w:type="dxa"/>
            <w:tcBorders>
              <w:top w:val="nil"/>
              <w:left w:val="single" w:sz="4" w:space="0" w:color="auto"/>
              <w:bottom w:val="nil"/>
              <w:right w:val="nil"/>
            </w:tcBorders>
            <w:shd w:val="clear" w:color="auto" w:fill="auto"/>
            <w:noWrap/>
            <w:vAlign w:val="bottom"/>
          </w:tcPr>
          <w:p w14:paraId="36C59801" w14:textId="327847C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(0.041)</w:t>
            </w:r>
          </w:p>
        </w:tc>
        <w:tc>
          <w:tcPr>
            <w:tcW w:w="1120" w:type="dxa"/>
            <w:tcBorders>
              <w:top w:val="nil"/>
              <w:left w:val="nil"/>
              <w:bottom w:val="nil"/>
              <w:right w:val="nil"/>
            </w:tcBorders>
            <w:vAlign w:val="bottom"/>
          </w:tcPr>
          <w:p w14:paraId="0BE73FF2" w14:textId="4B6585C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(0.044)</w:t>
            </w:r>
          </w:p>
        </w:tc>
        <w:tc>
          <w:tcPr>
            <w:tcW w:w="1120" w:type="dxa"/>
            <w:tcBorders>
              <w:top w:val="nil"/>
              <w:left w:val="nil"/>
              <w:bottom w:val="nil"/>
              <w:right w:val="nil"/>
            </w:tcBorders>
            <w:shd w:val="clear" w:color="auto" w:fill="auto"/>
            <w:noWrap/>
            <w:vAlign w:val="bottom"/>
          </w:tcPr>
          <w:p w14:paraId="55652C5D" w14:textId="10CA659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(0.041)</w:t>
            </w:r>
          </w:p>
        </w:tc>
        <w:tc>
          <w:tcPr>
            <w:tcW w:w="1120" w:type="dxa"/>
            <w:tcBorders>
              <w:top w:val="nil"/>
              <w:left w:val="nil"/>
              <w:bottom w:val="nil"/>
              <w:right w:val="nil"/>
            </w:tcBorders>
            <w:vAlign w:val="bottom"/>
          </w:tcPr>
          <w:p w14:paraId="49BD43B1" w14:textId="3FA7DEBE"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(0.045)</w:t>
            </w:r>
          </w:p>
        </w:tc>
      </w:tr>
      <w:tr w:rsidR="00514EB1" w:rsidRPr="004A792A" w14:paraId="66B886E7" w14:textId="7CDAAEF8" w:rsidTr="00567CCA">
        <w:tc>
          <w:tcPr>
            <w:tcW w:w="2977" w:type="dxa"/>
            <w:tcBorders>
              <w:top w:val="nil"/>
              <w:left w:val="nil"/>
              <w:right w:val="single" w:sz="4" w:space="0" w:color="auto"/>
            </w:tcBorders>
            <w:shd w:val="clear" w:color="auto" w:fill="auto"/>
            <w:noWrap/>
            <w:vAlign w:val="bottom"/>
            <w:hideMark/>
          </w:tcPr>
          <w:p w14:paraId="0022B6FB" w14:textId="77777777" w:rsidR="00514EB1" w:rsidRPr="004A792A" w:rsidRDefault="00514EB1" w:rsidP="00514EB1">
            <w:pPr>
              <w:spacing w:before="0"/>
              <w:contextualSpacing/>
              <w:rPr>
                <w:rFonts w:eastAsia="Times New Roman" w:cstheme="minorHAnsi"/>
                <w:sz w:val="20"/>
                <w:szCs w:val="20"/>
                <w:lang w:val="en-US"/>
              </w:rPr>
            </w:pPr>
            <w:r w:rsidRPr="004A792A">
              <w:rPr>
                <w:rFonts w:eastAsia="Times New Roman" w:cstheme="minorHAnsi"/>
                <w:sz w:val="20"/>
                <w:szCs w:val="20"/>
                <w:lang w:val="en-US"/>
              </w:rPr>
              <w:t>Chisinau</w:t>
            </w:r>
          </w:p>
        </w:tc>
        <w:tc>
          <w:tcPr>
            <w:tcW w:w="1119" w:type="dxa"/>
            <w:tcBorders>
              <w:top w:val="nil"/>
              <w:left w:val="single" w:sz="4" w:space="0" w:color="auto"/>
              <w:right w:val="nil"/>
            </w:tcBorders>
            <w:shd w:val="clear" w:color="auto" w:fill="auto"/>
            <w:noWrap/>
            <w:vAlign w:val="bottom"/>
          </w:tcPr>
          <w:p w14:paraId="4ED27494" w14:textId="26190228"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0.095***</w:t>
            </w:r>
          </w:p>
        </w:tc>
        <w:tc>
          <w:tcPr>
            <w:tcW w:w="1120" w:type="dxa"/>
            <w:tcBorders>
              <w:top w:val="nil"/>
              <w:left w:val="nil"/>
              <w:right w:val="nil"/>
            </w:tcBorders>
            <w:vAlign w:val="bottom"/>
          </w:tcPr>
          <w:p w14:paraId="0F8EE5F7" w14:textId="287477EC"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0.054</w:t>
            </w:r>
          </w:p>
        </w:tc>
        <w:tc>
          <w:tcPr>
            <w:tcW w:w="1120" w:type="dxa"/>
            <w:tcBorders>
              <w:top w:val="nil"/>
              <w:left w:val="nil"/>
            </w:tcBorders>
            <w:shd w:val="clear" w:color="auto" w:fill="auto"/>
            <w:noWrap/>
            <w:vAlign w:val="bottom"/>
          </w:tcPr>
          <w:p w14:paraId="7ACF30D9" w14:textId="172965D7"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0.106***</w:t>
            </w:r>
          </w:p>
        </w:tc>
        <w:tc>
          <w:tcPr>
            <w:tcW w:w="1119" w:type="dxa"/>
            <w:tcBorders>
              <w:top w:val="nil"/>
              <w:right w:val="single" w:sz="4" w:space="0" w:color="auto"/>
            </w:tcBorders>
            <w:vAlign w:val="bottom"/>
          </w:tcPr>
          <w:p w14:paraId="5CE40FE9" w14:textId="2A34991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0.065*</w:t>
            </w:r>
          </w:p>
        </w:tc>
        <w:tc>
          <w:tcPr>
            <w:tcW w:w="1119" w:type="dxa"/>
            <w:tcBorders>
              <w:top w:val="nil"/>
              <w:left w:val="single" w:sz="4" w:space="0" w:color="auto"/>
              <w:right w:val="nil"/>
            </w:tcBorders>
            <w:shd w:val="clear" w:color="auto" w:fill="auto"/>
            <w:noWrap/>
            <w:vAlign w:val="bottom"/>
          </w:tcPr>
          <w:p w14:paraId="7991F050" w14:textId="3EE0B7E1"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0.482***</w:t>
            </w:r>
          </w:p>
        </w:tc>
        <w:tc>
          <w:tcPr>
            <w:tcW w:w="1120" w:type="dxa"/>
            <w:tcBorders>
              <w:top w:val="nil"/>
              <w:left w:val="nil"/>
              <w:right w:val="nil"/>
            </w:tcBorders>
            <w:vAlign w:val="bottom"/>
          </w:tcPr>
          <w:p w14:paraId="55E4C601" w14:textId="4DFB0E0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0.384***</w:t>
            </w:r>
          </w:p>
        </w:tc>
        <w:tc>
          <w:tcPr>
            <w:tcW w:w="1120" w:type="dxa"/>
            <w:tcBorders>
              <w:top w:val="nil"/>
              <w:left w:val="nil"/>
              <w:right w:val="nil"/>
            </w:tcBorders>
            <w:shd w:val="clear" w:color="auto" w:fill="auto"/>
            <w:noWrap/>
            <w:vAlign w:val="bottom"/>
          </w:tcPr>
          <w:p w14:paraId="6EBD1416" w14:textId="3354F8FB"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0.480***</w:t>
            </w:r>
          </w:p>
        </w:tc>
        <w:tc>
          <w:tcPr>
            <w:tcW w:w="1120" w:type="dxa"/>
            <w:tcBorders>
              <w:top w:val="nil"/>
              <w:left w:val="nil"/>
              <w:right w:val="nil"/>
            </w:tcBorders>
            <w:vAlign w:val="bottom"/>
          </w:tcPr>
          <w:p w14:paraId="6C775FD8" w14:textId="5DE08D00"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0.382***</w:t>
            </w:r>
          </w:p>
        </w:tc>
      </w:tr>
      <w:tr w:rsidR="00514EB1" w:rsidRPr="004A792A" w14:paraId="1554ECE3" w14:textId="3AA4D622" w:rsidTr="00567CCA">
        <w:tc>
          <w:tcPr>
            <w:tcW w:w="2977" w:type="dxa"/>
            <w:tcBorders>
              <w:top w:val="nil"/>
              <w:left w:val="nil"/>
              <w:bottom w:val="single" w:sz="4" w:space="0" w:color="auto"/>
              <w:right w:val="single" w:sz="4" w:space="0" w:color="auto"/>
            </w:tcBorders>
            <w:shd w:val="clear" w:color="auto" w:fill="auto"/>
            <w:noWrap/>
            <w:vAlign w:val="bottom"/>
            <w:hideMark/>
          </w:tcPr>
          <w:p w14:paraId="501C2FF2" w14:textId="77777777" w:rsidR="00514EB1" w:rsidRPr="004A792A" w:rsidRDefault="00514EB1" w:rsidP="00514EB1">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6468438F" w14:textId="0A8E0E59"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(0.035)</w:t>
            </w:r>
          </w:p>
        </w:tc>
        <w:tc>
          <w:tcPr>
            <w:tcW w:w="1120" w:type="dxa"/>
            <w:tcBorders>
              <w:top w:val="nil"/>
              <w:left w:val="nil"/>
              <w:bottom w:val="single" w:sz="4" w:space="0" w:color="auto"/>
              <w:right w:val="nil"/>
            </w:tcBorders>
            <w:vAlign w:val="bottom"/>
          </w:tcPr>
          <w:p w14:paraId="6D5A98E4" w14:textId="06C91B8A"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(0.038)</w:t>
            </w:r>
          </w:p>
        </w:tc>
        <w:tc>
          <w:tcPr>
            <w:tcW w:w="1120" w:type="dxa"/>
            <w:tcBorders>
              <w:top w:val="nil"/>
              <w:left w:val="nil"/>
              <w:bottom w:val="single" w:sz="4" w:space="0" w:color="auto"/>
            </w:tcBorders>
            <w:shd w:val="clear" w:color="auto" w:fill="auto"/>
            <w:noWrap/>
            <w:vAlign w:val="bottom"/>
          </w:tcPr>
          <w:p w14:paraId="0EF4AD54" w14:textId="6C32413E"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(0.036)</w:t>
            </w:r>
          </w:p>
        </w:tc>
        <w:tc>
          <w:tcPr>
            <w:tcW w:w="1119" w:type="dxa"/>
            <w:tcBorders>
              <w:top w:val="nil"/>
              <w:bottom w:val="single" w:sz="4" w:space="0" w:color="auto"/>
              <w:right w:val="single" w:sz="4" w:space="0" w:color="auto"/>
            </w:tcBorders>
            <w:vAlign w:val="bottom"/>
          </w:tcPr>
          <w:p w14:paraId="118943A9" w14:textId="5EFDC5A2"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(0.038)</w:t>
            </w:r>
          </w:p>
        </w:tc>
        <w:tc>
          <w:tcPr>
            <w:tcW w:w="1119" w:type="dxa"/>
            <w:tcBorders>
              <w:top w:val="nil"/>
              <w:left w:val="single" w:sz="4" w:space="0" w:color="auto"/>
              <w:bottom w:val="single" w:sz="4" w:space="0" w:color="auto"/>
              <w:right w:val="nil"/>
            </w:tcBorders>
            <w:shd w:val="clear" w:color="auto" w:fill="auto"/>
            <w:noWrap/>
            <w:vAlign w:val="bottom"/>
          </w:tcPr>
          <w:p w14:paraId="5BAA23F7" w14:textId="4893B716"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(0.034)</w:t>
            </w:r>
          </w:p>
        </w:tc>
        <w:tc>
          <w:tcPr>
            <w:tcW w:w="1120" w:type="dxa"/>
            <w:tcBorders>
              <w:top w:val="nil"/>
              <w:left w:val="nil"/>
              <w:bottom w:val="single" w:sz="4" w:space="0" w:color="auto"/>
              <w:right w:val="nil"/>
            </w:tcBorders>
            <w:vAlign w:val="bottom"/>
          </w:tcPr>
          <w:p w14:paraId="6FE2984F" w14:textId="65E39BA9"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(0.040)</w:t>
            </w:r>
          </w:p>
        </w:tc>
        <w:tc>
          <w:tcPr>
            <w:tcW w:w="1120" w:type="dxa"/>
            <w:tcBorders>
              <w:top w:val="nil"/>
              <w:left w:val="nil"/>
              <w:bottom w:val="single" w:sz="4" w:space="0" w:color="auto"/>
              <w:right w:val="nil"/>
            </w:tcBorders>
            <w:shd w:val="clear" w:color="auto" w:fill="auto"/>
            <w:noWrap/>
            <w:vAlign w:val="bottom"/>
          </w:tcPr>
          <w:p w14:paraId="29329A44" w14:textId="67D785F9" w:rsidR="00514EB1" w:rsidRPr="004A792A" w:rsidRDefault="00514EB1" w:rsidP="00514EB1">
            <w:pPr>
              <w:spacing w:before="0"/>
              <w:contextualSpacing/>
              <w:jc w:val="center"/>
              <w:rPr>
                <w:rFonts w:eastAsia="Times New Roman" w:cstheme="minorHAnsi"/>
                <w:sz w:val="20"/>
                <w:szCs w:val="20"/>
                <w:lang w:val="en-US"/>
              </w:rPr>
            </w:pPr>
            <w:r>
              <w:rPr>
                <w:rFonts w:ascii="Calibri" w:hAnsi="Calibri" w:cs="Calibri"/>
                <w:color w:val="000000"/>
                <w:sz w:val="20"/>
                <w:szCs w:val="20"/>
              </w:rPr>
              <w:t>(0.034)</w:t>
            </w:r>
          </w:p>
        </w:tc>
        <w:tc>
          <w:tcPr>
            <w:tcW w:w="1120" w:type="dxa"/>
            <w:tcBorders>
              <w:top w:val="nil"/>
              <w:left w:val="nil"/>
              <w:bottom w:val="single" w:sz="4" w:space="0" w:color="auto"/>
              <w:right w:val="nil"/>
            </w:tcBorders>
            <w:vAlign w:val="bottom"/>
          </w:tcPr>
          <w:p w14:paraId="60B7A925" w14:textId="523B8AA8" w:rsidR="00514EB1" w:rsidRPr="004A792A" w:rsidRDefault="00514EB1" w:rsidP="00514EB1">
            <w:pPr>
              <w:spacing w:before="0"/>
              <w:contextualSpacing/>
              <w:jc w:val="center"/>
              <w:rPr>
                <w:rFonts w:ascii="Calibri" w:hAnsi="Calibri" w:cs="Calibri"/>
                <w:sz w:val="20"/>
                <w:szCs w:val="20"/>
                <w:lang w:val="en-US"/>
              </w:rPr>
            </w:pPr>
            <w:r>
              <w:rPr>
                <w:rFonts w:ascii="Calibri" w:hAnsi="Calibri" w:cs="Calibri"/>
                <w:color w:val="000000"/>
                <w:sz w:val="20"/>
                <w:szCs w:val="20"/>
              </w:rPr>
              <w:t>(0.040)</w:t>
            </w:r>
          </w:p>
        </w:tc>
      </w:tr>
      <w:tr w:rsidR="00EF0F46" w:rsidRPr="004A792A" w14:paraId="38DD2B6E" w14:textId="00E0E5A2" w:rsidTr="00567CCA">
        <w:tc>
          <w:tcPr>
            <w:tcW w:w="2977" w:type="dxa"/>
            <w:tcBorders>
              <w:top w:val="single" w:sz="4" w:space="0" w:color="auto"/>
              <w:left w:val="nil"/>
              <w:right w:val="single" w:sz="4" w:space="0" w:color="auto"/>
            </w:tcBorders>
            <w:shd w:val="clear" w:color="auto" w:fill="auto"/>
            <w:noWrap/>
            <w:vAlign w:val="bottom"/>
            <w:hideMark/>
          </w:tcPr>
          <w:p w14:paraId="76106D32" w14:textId="77777777" w:rsidR="00EF0F46" w:rsidRPr="004A792A" w:rsidRDefault="00EF0F46" w:rsidP="00EF0F46">
            <w:pPr>
              <w:spacing w:before="0"/>
              <w:contextualSpacing/>
              <w:rPr>
                <w:rFonts w:eastAsia="Times New Roman" w:cstheme="minorHAnsi"/>
                <w:sz w:val="20"/>
                <w:szCs w:val="20"/>
                <w:lang w:val="en-US"/>
              </w:rPr>
            </w:pPr>
            <w:r w:rsidRPr="004A792A">
              <w:rPr>
                <w:rFonts w:eastAsia="Times New Roman" w:cstheme="minorHAnsi"/>
                <w:sz w:val="20"/>
                <w:szCs w:val="20"/>
                <w:lang w:val="en-US"/>
              </w:rPr>
              <w:t>Constant</w:t>
            </w:r>
          </w:p>
        </w:tc>
        <w:tc>
          <w:tcPr>
            <w:tcW w:w="1119" w:type="dxa"/>
            <w:tcBorders>
              <w:top w:val="single" w:sz="4" w:space="0" w:color="auto"/>
              <w:left w:val="single" w:sz="4" w:space="0" w:color="auto"/>
              <w:right w:val="nil"/>
            </w:tcBorders>
            <w:shd w:val="clear" w:color="auto" w:fill="auto"/>
            <w:noWrap/>
            <w:vAlign w:val="bottom"/>
          </w:tcPr>
          <w:p w14:paraId="6F3A01DC" w14:textId="59110B95"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-4.831***</w:t>
            </w:r>
          </w:p>
        </w:tc>
        <w:tc>
          <w:tcPr>
            <w:tcW w:w="1120" w:type="dxa"/>
            <w:tcBorders>
              <w:top w:val="single" w:sz="4" w:space="0" w:color="auto"/>
              <w:left w:val="nil"/>
              <w:right w:val="nil"/>
            </w:tcBorders>
            <w:vAlign w:val="bottom"/>
          </w:tcPr>
          <w:p w14:paraId="1F96168E" w14:textId="7DF63F06"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-5.472***</w:t>
            </w:r>
          </w:p>
        </w:tc>
        <w:tc>
          <w:tcPr>
            <w:tcW w:w="1120" w:type="dxa"/>
            <w:tcBorders>
              <w:top w:val="single" w:sz="4" w:space="0" w:color="auto"/>
              <w:left w:val="nil"/>
            </w:tcBorders>
            <w:shd w:val="clear" w:color="auto" w:fill="auto"/>
            <w:noWrap/>
            <w:vAlign w:val="bottom"/>
          </w:tcPr>
          <w:p w14:paraId="1F6647F0" w14:textId="6ADCB899"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-4.615***</w:t>
            </w:r>
          </w:p>
        </w:tc>
        <w:tc>
          <w:tcPr>
            <w:tcW w:w="1119" w:type="dxa"/>
            <w:tcBorders>
              <w:top w:val="single" w:sz="4" w:space="0" w:color="auto"/>
              <w:right w:val="single" w:sz="4" w:space="0" w:color="auto"/>
            </w:tcBorders>
            <w:vAlign w:val="bottom"/>
          </w:tcPr>
          <w:p w14:paraId="38917DFB" w14:textId="30A2A352"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-5.253***</w:t>
            </w:r>
          </w:p>
        </w:tc>
        <w:tc>
          <w:tcPr>
            <w:tcW w:w="1119" w:type="dxa"/>
            <w:tcBorders>
              <w:top w:val="single" w:sz="4" w:space="0" w:color="auto"/>
              <w:left w:val="single" w:sz="4" w:space="0" w:color="auto"/>
              <w:right w:val="nil"/>
            </w:tcBorders>
            <w:shd w:val="clear" w:color="auto" w:fill="auto"/>
            <w:noWrap/>
            <w:vAlign w:val="bottom"/>
          </w:tcPr>
          <w:p w14:paraId="31E29522" w14:textId="6A603D41"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-2.985***</w:t>
            </w:r>
          </w:p>
        </w:tc>
        <w:tc>
          <w:tcPr>
            <w:tcW w:w="1120" w:type="dxa"/>
            <w:tcBorders>
              <w:top w:val="single" w:sz="4" w:space="0" w:color="auto"/>
              <w:left w:val="nil"/>
              <w:right w:val="nil"/>
            </w:tcBorders>
            <w:vAlign w:val="bottom"/>
          </w:tcPr>
          <w:p w14:paraId="29661BC7" w14:textId="091AD6DC"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-3.562***</w:t>
            </w:r>
          </w:p>
        </w:tc>
        <w:tc>
          <w:tcPr>
            <w:tcW w:w="1120" w:type="dxa"/>
            <w:tcBorders>
              <w:top w:val="single" w:sz="4" w:space="0" w:color="auto"/>
              <w:left w:val="nil"/>
              <w:right w:val="nil"/>
            </w:tcBorders>
            <w:shd w:val="clear" w:color="auto" w:fill="auto"/>
            <w:noWrap/>
            <w:vAlign w:val="bottom"/>
          </w:tcPr>
          <w:p w14:paraId="5C80161D" w14:textId="65B16D24"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-3.055***</w:t>
            </w:r>
          </w:p>
        </w:tc>
        <w:tc>
          <w:tcPr>
            <w:tcW w:w="1120" w:type="dxa"/>
            <w:tcBorders>
              <w:top w:val="single" w:sz="4" w:space="0" w:color="auto"/>
              <w:left w:val="nil"/>
              <w:right w:val="nil"/>
            </w:tcBorders>
            <w:vAlign w:val="bottom"/>
          </w:tcPr>
          <w:p w14:paraId="4ED62EA0" w14:textId="62B4F942"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-3.620***</w:t>
            </w:r>
          </w:p>
        </w:tc>
      </w:tr>
      <w:tr w:rsidR="00EF0F46" w:rsidRPr="004A792A" w14:paraId="5741376D" w14:textId="09C78180" w:rsidTr="00567CCA">
        <w:tc>
          <w:tcPr>
            <w:tcW w:w="2977" w:type="dxa"/>
            <w:tcBorders>
              <w:top w:val="nil"/>
              <w:left w:val="nil"/>
              <w:bottom w:val="single" w:sz="4" w:space="0" w:color="auto"/>
              <w:right w:val="single" w:sz="4" w:space="0" w:color="auto"/>
            </w:tcBorders>
            <w:shd w:val="clear" w:color="auto" w:fill="auto"/>
            <w:noWrap/>
            <w:vAlign w:val="bottom"/>
            <w:hideMark/>
          </w:tcPr>
          <w:p w14:paraId="17D7ED16" w14:textId="77777777" w:rsidR="00EF0F46" w:rsidRPr="004A792A" w:rsidRDefault="00EF0F46" w:rsidP="00EF0F46">
            <w:pPr>
              <w:spacing w:before="0"/>
              <w:contextualSpacing/>
              <w:jc w:val="center"/>
              <w:rPr>
                <w:rFonts w:eastAsia="Times New Roman" w:cstheme="minorHAnsi"/>
                <w:sz w:val="20"/>
                <w:szCs w:val="20"/>
                <w:lang w:val="en-US"/>
              </w:rPr>
            </w:pPr>
          </w:p>
        </w:tc>
        <w:tc>
          <w:tcPr>
            <w:tcW w:w="1119" w:type="dxa"/>
            <w:tcBorders>
              <w:top w:val="nil"/>
              <w:left w:val="single" w:sz="4" w:space="0" w:color="auto"/>
              <w:bottom w:val="single" w:sz="4" w:space="0" w:color="auto"/>
              <w:right w:val="nil"/>
            </w:tcBorders>
            <w:shd w:val="clear" w:color="auto" w:fill="auto"/>
            <w:noWrap/>
            <w:vAlign w:val="bottom"/>
          </w:tcPr>
          <w:p w14:paraId="51AF1B77" w14:textId="53CB4A7E"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(0.092)</w:t>
            </w:r>
          </w:p>
        </w:tc>
        <w:tc>
          <w:tcPr>
            <w:tcW w:w="1120" w:type="dxa"/>
            <w:tcBorders>
              <w:top w:val="nil"/>
              <w:left w:val="nil"/>
              <w:bottom w:val="single" w:sz="4" w:space="0" w:color="auto"/>
              <w:right w:val="nil"/>
            </w:tcBorders>
            <w:vAlign w:val="bottom"/>
          </w:tcPr>
          <w:p w14:paraId="09B2AA7A" w14:textId="38F5A4BB"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(0.093)</w:t>
            </w:r>
          </w:p>
        </w:tc>
        <w:tc>
          <w:tcPr>
            <w:tcW w:w="1120" w:type="dxa"/>
            <w:tcBorders>
              <w:top w:val="nil"/>
              <w:left w:val="nil"/>
              <w:bottom w:val="single" w:sz="4" w:space="0" w:color="auto"/>
            </w:tcBorders>
            <w:shd w:val="clear" w:color="auto" w:fill="auto"/>
            <w:noWrap/>
            <w:vAlign w:val="bottom"/>
          </w:tcPr>
          <w:p w14:paraId="45BD8018" w14:textId="42BD756C"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(0.094)</w:t>
            </w:r>
          </w:p>
        </w:tc>
        <w:tc>
          <w:tcPr>
            <w:tcW w:w="1119" w:type="dxa"/>
            <w:tcBorders>
              <w:top w:val="nil"/>
              <w:bottom w:val="single" w:sz="4" w:space="0" w:color="auto"/>
              <w:right w:val="single" w:sz="4" w:space="0" w:color="auto"/>
            </w:tcBorders>
            <w:vAlign w:val="bottom"/>
          </w:tcPr>
          <w:p w14:paraId="109F7735" w14:textId="794E81C1"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(0.096)</w:t>
            </w:r>
          </w:p>
        </w:tc>
        <w:tc>
          <w:tcPr>
            <w:tcW w:w="1119" w:type="dxa"/>
            <w:tcBorders>
              <w:top w:val="nil"/>
              <w:left w:val="single" w:sz="4" w:space="0" w:color="auto"/>
              <w:bottom w:val="single" w:sz="4" w:space="0" w:color="auto"/>
              <w:right w:val="nil"/>
            </w:tcBorders>
            <w:shd w:val="clear" w:color="auto" w:fill="auto"/>
            <w:noWrap/>
            <w:vAlign w:val="bottom"/>
          </w:tcPr>
          <w:p w14:paraId="11E7E6B9" w14:textId="53D4BAEE"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(0.080)</w:t>
            </w:r>
          </w:p>
        </w:tc>
        <w:tc>
          <w:tcPr>
            <w:tcW w:w="1120" w:type="dxa"/>
            <w:tcBorders>
              <w:top w:val="nil"/>
              <w:left w:val="nil"/>
              <w:bottom w:val="single" w:sz="4" w:space="0" w:color="auto"/>
              <w:right w:val="nil"/>
            </w:tcBorders>
            <w:vAlign w:val="bottom"/>
          </w:tcPr>
          <w:p w14:paraId="5731B927" w14:textId="23141301"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(0.083)</w:t>
            </w:r>
          </w:p>
        </w:tc>
        <w:tc>
          <w:tcPr>
            <w:tcW w:w="1120" w:type="dxa"/>
            <w:tcBorders>
              <w:top w:val="nil"/>
              <w:left w:val="nil"/>
              <w:bottom w:val="single" w:sz="4" w:space="0" w:color="auto"/>
              <w:right w:val="nil"/>
            </w:tcBorders>
            <w:shd w:val="clear" w:color="auto" w:fill="auto"/>
            <w:noWrap/>
            <w:vAlign w:val="bottom"/>
          </w:tcPr>
          <w:p w14:paraId="088AFE0F" w14:textId="5429DF55"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(0.082)</w:t>
            </w:r>
          </w:p>
        </w:tc>
        <w:tc>
          <w:tcPr>
            <w:tcW w:w="1120" w:type="dxa"/>
            <w:tcBorders>
              <w:top w:val="nil"/>
              <w:left w:val="nil"/>
              <w:bottom w:val="single" w:sz="4" w:space="0" w:color="auto"/>
              <w:right w:val="nil"/>
            </w:tcBorders>
            <w:vAlign w:val="bottom"/>
          </w:tcPr>
          <w:p w14:paraId="45BFD47B" w14:textId="6569B524"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(0.085)</w:t>
            </w:r>
          </w:p>
        </w:tc>
      </w:tr>
      <w:tr w:rsidR="00EF0F46" w:rsidRPr="004A792A" w14:paraId="7286DE64" w14:textId="6B474960" w:rsidTr="00567CCA">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BF8305A" w14:textId="77777777" w:rsidR="00EF0F46" w:rsidRPr="004A792A" w:rsidRDefault="00EF0F46" w:rsidP="00EF0F46">
            <w:pPr>
              <w:spacing w:before="0"/>
              <w:contextualSpacing/>
              <w:rPr>
                <w:rFonts w:eastAsia="Times New Roman" w:cstheme="minorHAnsi"/>
                <w:sz w:val="20"/>
                <w:szCs w:val="20"/>
                <w:lang w:val="en-US"/>
              </w:rPr>
            </w:pPr>
            <w:r w:rsidRPr="004A792A">
              <w:rPr>
                <w:rFonts w:eastAsia="Times New Roman" w:cstheme="minorHAnsi"/>
                <w:sz w:val="20"/>
                <w:szCs w:val="20"/>
                <w:lang w:val="en-US"/>
              </w:rPr>
              <w:t>N cases</w:t>
            </w:r>
          </w:p>
        </w:tc>
        <w:tc>
          <w:tcPr>
            <w:tcW w:w="1119" w:type="dxa"/>
            <w:tcBorders>
              <w:top w:val="single" w:sz="4" w:space="0" w:color="auto"/>
              <w:left w:val="single" w:sz="4" w:space="0" w:color="auto"/>
              <w:bottom w:val="single" w:sz="4" w:space="0" w:color="auto"/>
              <w:right w:val="nil"/>
            </w:tcBorders>
            <w:shd w:val="clear" w:color="auto" w:fill="auto"/>
            <w:noWrap/>
            <w:vAlign w:val="bottom"/>
          </w:tcPr>
          <w:p w14:paraId="7B63F224" w14:textId="23570A2F"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268,124</w:t>
            </w:r>
          </w:p>
        </w:tc>
        <w:tc>
          <w:tcPr>
            <w:tcW w:w="1120" w:type="dxa"/>
            <w:tcBorders>
              <w:top w:val="single" w:sz="4" w:space="0" w:color="auto"/>
              <w:left w:val="nil"/>
              <w:bottom w:val="single" w:sz="4" w:space="0" w:color="auto"/>
              <w:right w:val="nil"/>
            </w:tcBorders>
            <w:vAlign w:val="bottom"/>
          </w:tcPr>
          <w:p w14:paraId="67F3FE3D" w14:textId="5D2E7A53"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243,664</w:t>
            </w:r>
          </w:p>
        </w:tc>
        <w:tc>
          <w:tcPr>
            <w:tcW w:w="1120" w:type="dxa"/>
            <w:tcBorders>
              <w:top w:val="single" w:sz="4" w:space="0" w:color="auto"/>
              <w:left w:val="nil"/>
              <w:bottom w:val="single" w:sz="4" w:space="0" w:color="auto"/>
            </w:tcBorders>
            <w:shd w:val="clear" w:color="auto" w:fill="auto"/>
            <w:noWrap/>
            <w:vAlign w:val="bottom"/>
          </w:tcPr>
          <w:p w14:paraId="444D3C40" w14:textId="5B17A668"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268,124</w:t>
            </w:r>
          </w:p>
        </w:tc>
        <w:tc>
          <w:tcPr>
            <w:tcW w:w="1119" w:type="dxa"/>
            <w:tcBorders>
              <w:top w:val="single" w:sz="4" w:space="0" w:color="auto"/>
              <w:bottom w:val="single" w:sz="4" w:space="0" w:color="auto"/>
              <w:right w:val="single" w:sz="4" w:space="0" w:color="auto"/>
            </w:tcBorders>
            <w:vAlign w:val="bottom"/>
          </w:tcPr>
          <w:p w14:paraId="15A7DCBC" w14:textId="3557BEF8"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243,664</w:t>
            </w:r>
          </w:p>
        </w:tc>
        <w:tc>
          <w:tcPr>
            <w:tcW w:w="1119" w:type="dxa"/>
            <w:tcBorders>
              <w:top w:val="single" w:sz="4" w:space="0" w:color="auto"/>
              <w:left w:val="single" w:sz="4" w:space="0" w:color="auto"/>
              <w:bottom w:val="single" w:sz="4" w:space="0" w:color="auto"/>
              <w:right w:val="nil"/>
            </w:tcBorders>
            <w:shd w:val="clear" w:color="auto" w:fill="auto"/>
            <w:noWrap/>
            <w:vAlign w:val="bottom"/>
          </w:tcPr>
          <w:p w14:paraId="620D2FC0" w14:textId="02460C1C"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253,161</w:t>
            </w:r>
          </w:p>
        </w:tc>
        <w:tc>
          <w:tcPr>
            <w:tcW w:w="1120" w:type="dxa"/>
            <w:tcBorders>
              <w:top w:val="single" w:sz="4" w:space="0" w:color="auto"/>
              <w:left w:val="nil"/>
              <w:bottom w:val="single" w:sz="4" w:space="0" w:color="auto"/>
              <w:right w:val="nil"/>
            </w:tcBorders>
            <w:vAlign w:val="bottom"/>
          </w:tcPr>
          <w:p w14:paraId="6A6FE30F" w14:textId="544B43BF"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212,543</w:t>
            </w:r>
          </w:p>
        </w:tc>
        <w:tc>
          <w:tcPr>
            <w:tcW w:w="1120" w:type="dxa"/>
            <w:tcBorders>
              <w:top w:val="single" w:sz="4" w:space="0" w:color="auto"/>
              <w:left w:val="nil"/>
              <w:bottom w:val="single" w:sz="4" w:space="0" w:color="auto"/>
              <w:right w:val="nil"/>
            </w:tcBorders>
            <w:shd w:val="clear" w:color="auto" w:fill="auto"/>
            <w:noWrap/>
            <w:vAlign w:val="bottom"/>
          </w:tcPr>
          <w:p w14:paraId="2EEDC40C" w14:textId="6672CB5B" w:rsidR="00EF0F46" w:rsidRPr="004A792A" w:rsidRDefault="00EF0F46" w:rsidP="00EF0F46">
            <w:pPr>
              <w:spacing w:before="0"/>
              <w:contextualSpacing/>
              <w:jc w:val="center"/>
              <w:rPr>
                <w:rFonts w:eastAsia="Times New Roman" w:cstheme="minorHAnsi"/>
                <w:sz w:val="20"/>
                <w:szCs w:val="20"/>
                <w:lang w:val="en-US"/>
              </w:rPr>
            </w:pPr>
            <w:r>
              <w:rPr>
                <w:rFonts w:ascii="Calibri" w:hAnsi="Calibri" w:cs="Calibri"/>
                <w:color w:val="000000"/>
                <w:sz w:val="20"/>
                <w:szCs w:val="20"/>
              </w:rPr>
              <w:t>253,161</w:t>
            </w:r>
          </w:p>
        </w:tc>
        <w:tc>
          <w:tcPr>
            <w:tcW w:w="1120" w:type="dxa"/>
            <w:tcBorders>
              <w:top w:val="single" w:sz="4" w:space="0" w:color="auto"/>
              <w:left w:val="nil"/>
              <w:bottom w:val="single" w:sz="4" w:space="0" w:color="auto"/>
              <w:right w:val="nil"/>
            </w:tcBorders>
            <w:vAlign w:val="bottom"/>
          </w:tcPr>
          <w:p w14:paraId="28D6C7C9" w14:textId="5CF05226" w:rsidR="00EF0F46" w:rsidRPr="004A792A" w:rsidRDefault="00EF0F46" w:rsidP="00EF0F46">
            <w:pPr>
              <w:spacing w:before="0"/>
              <w:contextualSpacing/>
              <w:jc w:val="center"/>
              <w:rPr>
                <w:rFonts w:ascii="Calibri" w:hAnsi="Calibri" w:cs="Calibri"/>
                <w:sz w:val="20"/>
                <w:szCs w:val="20"/>
                <w:lang w:val="en-US"/>
              </w:rPr>
            </w:pPr>
            <w:r>
              <w:rPr>
                <w:rFonts w:ascii="Calibri" w:hAnsi="Calibri" w:cs="Calibri"/>
                <w:color w:val="000000"/>
                <w:sz w:val="20"/>
                <w:szCs w:val="20"/>
              </w:rPr>
              <w:t>212,543</w:t>
            </w:r>
          </w:p>
        </w:tc>
      </w:tr>
    </w:tbl>
    <w:p w14:paraId="3B0EA0F5" w14:textId="37081B0B" w:rsidR="00B812D3" w:rsidRPr="004A792A" w:rsidRDefault="00B812D3" w:rsidP="00B812D3">
      <w:pPr>
        <w:pStyle w:val="a"/>
        <w:numPr>
          <w:ilvl w:val="0"/>
          <w:numId w:val="0"/>
        </w:numPr>
        <w:rPr>
          <w:i/>
          <w:sz w:val="20"/>
          <w:szCs w:val="20"/>
        </w:rPr>
      </w:pPr>
      <w:r w:rsidRPr="004A792A">
        <w:rPr>
          <w:i/>
          <w:sz w:val="20"/>
          <w:szCs w:val="20"/>
        </w:rPr>
        <w:t>Note: Dependent variable is a dummy variable for being in the labor force</w:t>
      </w:r>
      <w:r w:rsidRPr="00474FA5">
        <w:rPr>
          <w:i/>
          <w:sz w:val="20"/>
          <w:szCs w:val="20"/>
        </w:rPr>
        <w:t xml:space="preserve">. </w:t>
      </w:r>
      <w:r w:rsidR="00474FA5" w:rsidRPr="00474FA5">
        <w:rPr>
          <w:i/>
          <w:sz w:val="20"/>
          <w:szCs w:val="20"/>
        </w:rPr>
        <w:t>Specifications a) include all individuals aged 15-64 years; specifications b) exclude international migrants (which are classified by NBS as inactive).</w:t>
      </w:r>
      <w:r w:rsidR="00514EB1" w:rsidRPr="00474FA5">
        <w:rPr>
          <w:i/>
          <w:sz w:val="20"/>
          <w:szCs w:val="20"/>
        </w:rPr>
        <w:t xml:space="preserve"> </w:t>
      </w:r>
      <w:r w:rsidRPr="00474FA5">
        <w:rPr>
          <w:i/>
          <w:sz w:val="20"/>
          <w:szCs w:val="20"/>
        </w:rPr>
        <w:t xml:space="preserve">Standard errors </w:t>
      </w:r>
      <w:r w:rsidR="002C0A7E" w:rsidRPr="00474FA5">
        <w:rPr>
          <w:i/>
          <w:sz w:val="20"/>
          <w:szCs w:val="20"/>
        </w:rPr>
        <w:t xml:space="preserve">in parentheses, estimated with </w:t>
      </w:r>
      <w:r w:rsidRPr="00474FA5">
        <w:rPr>
          <w:i/>
          <w:sz w:val="20"/>
          <w:szCs w:val="20"/>
        </w:rPr>
        <w:t xml:space="preserve">the </w:t>
      </w:r>
      <w:proofErr w:type="spellStart"/>
      <w:r w:rsidRPr="00474FA5">
        <w:rPr>
          <w:i/>
          <w:sz w:val="20"/>
          <w:szCs w:val="20"/>
        </w:rPr>
        <w:t>svy</w:t>
      </w:r>
      <w:proofErr w:type="spellEnd"/>
      <w:r w:rsidRPr="00474FA5">
        <w:rPr>
          <w:i/>
          <w:sz w:val="20"/>
          <w:szCs w:val="20"/>
        </w:rPr>
        <w:t xml:space="preserve"> command </w:t>
      </w:r>
      <w:r w:rsidR="002C0A7E" w:rsidRPr="00474FA5">
        <w:rPr>
          <w:i/>
          <w:sz w:val="20"/>
          <w:szCs w:val="20"/>
        </w:rPr>
        <w:t xml:space="preserve">using </w:t>
      </w:r>
      <w:r w:rsidRPr="00474FA5">
        <w:rPr>
          <w:i/>
          <w:sz w:val="20"/>
          <w:szCs w:val="20"/>
        </w:rPr>
        <w:t>clusters and sample weights. *** p&lt;0.01, ** p&lt;0.05, * p&lt;0.1. Reference categories: No children under 7 years; No children unde</w:t>
      </w:r>
      <w:r w:rsidRPr="004A792A">
        <w:rPr>
          <w:i/>
          <w:sz w:val="20"/>
          <w:szCs w:val="20"/>
        </w:rPr>
        <w:t>r 18 years; Single; Primary education and less; Rural; North.</w:t>
      </w:r>
      <w:r w:rsidR="00C14A4A" w:rsidRPr="004A792A">
        <w:rPr>
          <w:i/>
          <w:sz w:val="20"/>
          <w:szCs w:val="20"/>
        </w:rPr>
        <w:t xml:space="preserve"> Year dummies are included in all specifications</w:t>
      </w:r>
      <w:r w:rsidR="00B92593" w:rsidRPr="004A792A">
        <w:rPr>
          <w:i/>
          <w:sz w:val="20"/>
          <w:szCs w:val="20"/>
        </w:rPr>
        <w:t>.</w:t>
      </w:r>
    </w:p>
    <w:p w14:paraId="0E346D75" w14:textId="77777777" w:rsidR="00C4055D" w:rsidRDefault="00C4055D" w:rsidP="00524160">
      <w:pPr>
        <w:pStyle w:val="ad"/>
        <w:jc w:val="left"/>
        <w:rPr>
          <w:lang w:val="en-US"/>
        </w:rPr>
        <w:sectPr w:rsidR="00C4055D" w:rsidSect="00C4055D">
          <w:pgSz w:w="16834" w:h="11909" w:orient="landscape" w:code="9"/>
          <w:pgMar w:top="1440" w:right="1440" w:bottom="1440" w:left="1440" w:header="720" w:footer="720" w:gutter="0"/>
          <w:cols w:space="720"/>
          <w:docGrid w:linePitch="360"/>
        </w:sectPr>
      </w:pPr>
      <w:bookmarkStart w:id="163" w:name="_Ref519274196"/>
    </w:p>
    <w:p w14:paraId="3B41AFF2" w14:textId="19F12E30" w:rsidR="00524160" w:rsidRPr="004A792A" w:rsidRDefault="00474FA5" w:rsidP="00524160">
      <w:pPr>
        <w:pStyle w:val="ad"/>
        <w:jc w:val="left"/>
        <w:rPr>
          <w:lang w:val="en-US"/>
        </w:rPr>
      </w:pPr>
      <w:bookmarkStart w:id="164" w:name="_Toc533185140"/>
      <w:r>
        <w:lastRenderedPageBreak/>
        <w:t>Table A-</w:t>
      </w:r>
      <w:r>
        <w:fldChar w:fldCharType="begin"/>
      </w:r>
      <w:r>
        <w:instrText xml:space="preserve"> SEQ Table_A- \* ARABIC </w:instrText>
      </w:r>
      <w:r>
        <w:fldChar w:fldCharType="separate"/>
      </w:r>
      <w:r>
        <w:rPr>
          <w:noProof/>
        </w:rPr>
        <w:t>11</w:t>
      </w:r>
      <w:r>
        <w:fldChar w:fldCharType="end"/>
      </w:r>
      <w:bookmarkEnd w:id="163"/>
      <w:r w:rsidR="00524160" w:rsidRPr="004A792A">
        <w:rPr>
          <w:lang w:val="en-US"/>
        </w:rPr>
        <w:t xml:space="preserve">: Determinants of self-employment and informal employment of women (15-64 years): </w:t>
      </w:r>
      <w:proofErr w:type="spellStart"/>
      <w:r w:rsidR="00524160" w:rsidRPr="004A792A">
        <w:rPr>
          <w:lang w:val="en-US"/>
        </w:rPr>
        <w:t>probit</w:t>
      </w:r>
      <w:proofErr w:type="spellEnd"/>
      <w:r w:rsidR="00524160" w:rsidRPr="004A792A">
        <w:rPr>
          <w:lang w:val="en-US"/>
        </w:rPr>
        <w:t xml:space="preserve"> model, 2016</w:t>
      </w:r>
      <w:bookmarkEnd w:id="164"/>
    </w:p>
    <w:tbl>
      <w:tblPr>
        <w:tblW w:w="9072" w:type="dxa"/>
        <w:tblLayout w:type="fixed"/>
        <w:tblLook w:val="04A0" w:firstRow="1" w:lastRow="0" w:firstColumn="1" w:lastColumn="0" w:noHBand="0" w:noVBand="1"/>
      </w:tblPr>
      <w:tblGrid>
        <w:gridCol w:w="2694"/>
        <w:gridCol w:w="1063"/>
        <w:gridCol w:w="1063"/>
        <w:gridCol w:w="1063"/>
        <w:gridCol w:w="1063"/>
        <w:gridCol w:w="1063"/>
        <w:gridCol w:w="1063"/>
      </w:tblGrid>
      <w:tr w:rsidR="00524160" w:rsidRPr="004A792A" w14:paraId="66927E9D" w14:textId="77777777" w:rsidTr="00260189">
        <w:tc>
          <w:tcPr>
            <w:tcW w:w="2694" w:type="dxa"/>
            <w:tcBorders>
              <w:top w:val="single" w:sz="4" w:space="0" w:color="auto"/>
              <w:left w:val="nil"/>
              <w:right w:val="single" w:sz="4" w:space="0" w:color="auto"/>
            </w:tcBorders>
            <w:shd w:val="clear" w:color="auto" w:fill="auto"/>
            <w:noWrap/>
            <w:vAlign w:val="bottom"/>
          </w:tcPr>
          <w:p w14:paraId="6207A1B1" w14:textId="77777777" w:rsidR="00524160" w:rsidRPr="004A792A" w:rsidRDefault="00524160" w:rsidP="00260189">
            <w:pPr>
              <w:spacing w:before="0"/>
              <w:rPr>
                <w:rFonts w:eastAsia="Times New Roman" w:cstheme="minorHAnsi"/>
                <w:color w:val="000000"/>
                <w:sz w:val="20"/>
                <w:szCs w:val="20"/>
                <w:lang w:val="en-US"/>
              </w:rPr>
            </w:pPr>
          </w:p>
        </w:tc>
        <w:tc>
          <w:tcPr>
            <w:tcW w:w="3189" w:type="dxa"/>
            <w:gridSpan w:val="3"/>
            <w:tcBorders>
              <w:top w:val="single" w:sz="4" w:space="0" w:color="auto"/>
              <w:left w:val="single" w:sz="4" w:space="0" w:color="auto"/>
              <w:right w:val="nil"/>
            </w:tcBorders>
            <w:shd w:val="clear" w:color="auto" w:fill="auto"/>
            <w:noWrap/>
            <w:vAlign w:val="bottom"/>
          </w:tcPr>
          <w:p w14:paraId="59D2E7C7" w14:textId="77777777" w:rsidR="00524160" w:rsidRPr="004A792A" w:rsidRDefault="00524160" w:rsidP="00260189">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Self-employment</w:t>
            </w:r>
          </w:p>
        </w:tc>
        <w:tc>
          <w:tcPr>
            <w:tcW w:w="3189" w:type="dxa"/>
            <w:gridSpan w:val="3"/>
            <w:tcBorders>
              <w:top w:val="single" w:sz="4" w:space="0" w:color="auto"/>
              <w:left w:val="nil"/>
              <w:right w:val="nil"/>
            </w:tcBorders>
            <w:shd w:val="clear" w:color="auto" w:fill="auto"/>
            <w:noWrap/>
            <w:vAlign w:val="bottom"/>
          </w:tcPr>
          <w:p w14:paraId="0B12AD64" w14:textId="77777777" w:rsidR="00524160" w:rsidRPr="004A792A" w:rsidRDefault="00524160" w:rsidP="00260189">
            <w:pPr>
              <w:spacing w:before="0"/>
              <w:jc w:val="center"/>
              <w:rPr>
                <w:rFonts w:eastAsia="Times New Roman" w:cstheme="minorHAnsi"/>
                <w:b/>
                <w:color w:val="000000"/>
                <w:sz w:val="20"/>
                <w:szCs w:val="20"/>
                <w:lang w:val="en-US"/>
              </w:rPr>
            </w:pPr>
            <w:r w:rsidRPr="004A792A">
              <w:rPr>
                <w:rFonts w:eastAsia="Times New Roman" w:cstheme="minorHAnsi"/>
                <w:b/>
                <w:color w:val="000000"/>
                <w:sz w:val="20"/>
                <w:szCs w:val="20"/>
                <w:lang w:val="en-US"/>
              </w:rPr>
              <w:t>Informal employment</w:t>
            </w:r>
          </w:p>
        </w:tc>
      </w:tr>
      <w:tr w:rsidR="00524160" w:rsidRPr="004A792A" w14:paraId="2730D9AE" w14:textId="77777777" w:rsidTr="00260189">
        <w:tc>
          <w:tcPr>
            <w:tcW w:w="2694" w:type="dxa"/>
            <w:tcBorders>
              <w:left w:val="nil"/>
              <w:bottom w:val="single" w:sz="4" w:space="0" w:color="auto"/>
              <w:right w:val="single" w:sz="4" w:space="0" w:color="auto"/>
            </w:tcBorders>
            <w:shd w:val="clear" w:color="auto" w:fill="auto"/>
            <w:noWrap/>
            <w:vAlign w:val="bottom"/>
            <w:hideMark/>
          </w:tcPr>
          <w:p w14:paraId="1D102A19" w14:textId="77777777" w:rsidR="00524160" w:rsidRPr="004A792A" w:rsidRDefault="00524160" w:rsidP="00260189">
            <w:pPr>
              <w:spacing w:before="0"/>
              <w:rPr>
                <w:rFonts w:eastAsia="Times New Roman" w:cstheme="minorHAnsi"/>
                <w:color w:val="000000"/>
                <w:sz w:val="20"/>
                <w:szCs w:val="20"/>
                <w:lang w:val="en-US"/>
              </w:rPr>
            </w:pPr>
          </w:p>
        </w:tc>
        <w:tc>
          <w:tcPr>
            <w:tcW w:w="1063" w:type="dxa"/>
            <w:tcBorders>
              <w:left w:val="single" w:sz="4" w:space="0" w:color="auto"/>
              <w:bottom w:val="single" w:sz="4" w:space="0" w:color="auto"/>
              <w:right w:val="nil"/>
            </w:tcBorders>
            <w:shd w:val="clear" w:color="auto" w:fill="auto"/>
            <w:noWrap/>
            <w:vAlign w:val="bottom"/>
            <w:hideMark/>
          </w:tcPr>
          <w:p w14:paraId="102BCB7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All</w:t>
            </w:r>
          </w:p>
        </w:tc>
        <w:tc>
          <w:tcPr>
            <w:tcW w:w="1063" w:type="dxa"/>
            <w:tcBorders>
              <w:left w:val="nil"/>
              <w:bottom w:val="single" w:sz="4" w:space="0" w:color="auto"/>
              <w:right w:val="nil"/>
            </w:tcBorders>
            <w:shd w:val="clear" w:color="auto" w:fill="auto"/>
            <w:noWrap/>
            <w:vAlign w:val="bottom"/>
            <w:hideMark/>
          </w:tcPr>
          <w:p w14:paraId="7B2A3C0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Urban</w:t>
            </w:r>
          </w:p>
        </w:tc>
        <w:tc>
          <w:tcPr>
            <w:tcW w:w="1063" w:type="dxa"/>
            <w:tcBorders>
              <w:left w:val="nil"/>
              <w:bottom w:val="single" w:sz="4" w:space="0" w:color="auto"/>
              <w:right w:val="nil"/>
            </w:tcBorders>
            <w:shd w:val="clear" w:color="auto" w:fill="auto"/>
            <w:noWrap/>
            <w:vAlign w:val="bottom"/>
            <w:hideMark/>
          </w:tcPr>
          <w:p w14:paraId="1E4E76B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Rural</w:t>
            </w:r>
          </w:p>
        </w:tc>
        <w:tc>
          <w:tcPr>
            <w:tcW w:w="1063" w:type="dxa"/>
            <w:tcBorders>
              <w:left w:val="nil"/>
              <w:bottom w:val="single" w:sz="4" w:space="0" w:color="auto"/>
              <w:right w:val="nil"/>
            </w:tcBorders>
            <w:shd w:val="clear" w:color="auto" w:fill="auto"/>
            <w:noWrap/>
            <w:vAlign w:val="bottom"/>
            <w:hideMark/>
          </w:tcPr>
          <w:p w14:paraId="432C588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All</w:t>
            </w:r>
          </w:p>
        </w:tc>
        <w:tc>
          <w:tcPr>
            <w:tcW w:w="1063" w:type="dxa"/>
            <w:tcBorders>
              <w:left w:val="nil"/>
              <w:bottom w:val="single" w:sz="4" w:space="0" w:color="auto"/>
              <w:right w:val="nil"/>
            </w:tcBorders>
            <w:shd w:val="clear" w:color="auto" w:fill="auto"/>
            <w:noWrap/>
            <w:vAlign w:val="bottom"/>
            <w:hideMark/>
          </w:tcPr>
          <w:p w14:paraId="174C8F3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Urban</w:t>
            </w:r>
          </w:p>
        </w:tc>
        <w:tc>
          <w:tcPr>
            <w:tcW w:w="1063" w:type="dxa"/>
            <w:tcBorders>
              <w:left w:val="nil"/>
              <w:bottom w:val="single" w:sz="4" w:space="0" w:color="auto"/>
              <w:right w:val="nil"/>
            </w:tcBorders>
            <w:shd w:val="clear" w:color="auto" w:fill="auto"/>
            <w:noWrap/>
            <w:vAlign w:val="bottom"/>
            <w:hideMark/>
          </w:tcPr>
          <w:p w14:paraId="6F1F84A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eastAsia="Times New Roman" w:cstheme="minorHAnsi"/>
                <w:color w:val="000000"/>
                <w:sz w:val="20"/>
                <w:szCs w:val="20"/>
                <w:lang w:val="en-US"/>
              </w:rPr>
              <w:t>Rural</w:t>
            </w:r>
          </w:p>
        </w:tc>
      </w:tr>
      <w:tr w:rsidR="00524160" w:rsidRPr="004A792A" w14:paraId="7DEDC178" w14:textId="77777777" w:rsidTr="00260189">
        <w:tc>
          <w:tcPr>
            <w:tcW w:w="2694" w:type="dxa"/>
            <w:tcBorders>
              <w:top w:val="nil"/>
              <w:left w:val="nil"/>
              <w:bottom w:val="nil"/>
              <w:right w:val="single" w:sz="4" w:space="0" w:color="auto"/>
            </w:tcBorders>
            <w:shd w:val="clear" w:color="auto" w:fill="auto"/>
            <w:noWrap/>
            <w:vAlign w:val="bottom"/>
          </w:tcPr>
          <w:p w14:paraId="181BA7FA" w14:textId="77777777" w:rsidR="00524160" w:rsidRPr="004A792A" w:rsidRDefault="00524160" w:rsidP="00260189">
            <w:pPr>
              <w:spacing w:before="0"/>
              <w:rPr>
                <w:rFonts w:eastAsia="Times New Roman" w:cstheme="minorHAnsi"/>
                <w:i/>
                <w:sz w:val="20"/>
                <w:szCs w:val="20"/>
                <w:lang w:val="en-US"/>
              </w:rPr>
            </w:pPr>
            <w:r w:rsidRPr="004A792A">
              <w:rPr>
                <w:rFonts w:eastAsia="Times New Roman" w:cstheme="minorHAnsi"/>
                <w:i/>
                <w:sz w:val="20"/>
                <w:szCs w:val="20"/>
                <w:lang w:val="en-US"/>
              </w:rPr>
              <w:t>Age of the youngest child</w:t>
            </w:r>
          </w:p>
        </w:tc>
        <w:tc>
          <w:tcPr>
            <w:tcW w:w="1063" w:type="dxa"/>
            <w:tcBorders>
              <w:top w:val="nil"/>
              <w:left w:val="single" w:sz="4" w:space="0" w:color="auto"/>
              <w:bottom w:val="nil"/>
              <w:right w:val="nil"/>
            </w:tcBorders>
            <w:shd w:val="clear" w:color="auto" w:fill="auto"/>
            <w:noWrap/>
            <w:vAlign w:val="bottom"/>
          </w:tcPr>
          <w:p w14:paraId="7807EB66"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62DE9021"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0F4C275F"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778F11C5"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46A99D7D"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740BA60A" w14:textId="77777777" w:rsidR="00524160" w:rsidRPr="004A792A" w:rsidRDefault="00524160" w:rsidP="00260189">
            <w:pPr>
              <w:spacing w:before="0"/>
              <w:jc w:val="center"/>
              <w:rPr>
                <w:rFonts w:eastAsia="Times New Roman" w:cstheme="minorHAnsi"/>
                <w:color w:val="000000"/>
                <w:sz w:val="20"/>
                <w:szCs w:val="20"/>
                <w:lang w:val="en-US"/>
              </w:rPr>
            </w:pPr>
          </w:p>
        </w:tc>
      </w:tr>
      <w:tr w:rsidR="00524160" w:rsidRPr="004A792A" w14:paraId="4DD485A1" w14:textId="77777777" w:rsidTr="00260189">
        <w:tc>
          <w:tcPr>
            <w:tcW w:w="2694" w:type="dxa"/>
            <w:tcBorders>
              <w:top w:val="nil"/>
              <w:left w:val="nil"/>
              <w:bottom w:val="nil"/>
              <w:right w:val="single" w:sz="4" w:space="0" w:color="auto"/>
            </w:tcBorders>
            <w:shd w:val="clear" w:color="auto" w:fill="auto"/>
            <w:noWrap/>
            <w:vAlign w:val="bottom"/>
            <w:hideMark/>
          </w:tcPr>
          <w:p w14:paraId="252411E8"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0-2 years</w:t>
            </w:r>
          </w:p>
        </w:tc>
        <w:tc>
          <w:tcPr>
            <w:tcW w:w="1063" w:type="dxa"/>
            <w:tcBorders>
              <w:top w:val="nil"/>
              <w:left w:val="single" w:sz="4" w:space="0" w:color="auto"/>
              <w:bottom w:val="nil"/>
              <w:right w:val="nil"/>
            </w:tcBorders>
            <w:shd w:val="clear" w:color="auto" w:fill="auto"/>
            <w:noWrap/>
            <w:vAlign w:val="bottom"/>
          </w:tcPr>
          <w:p w14:paraId="73CFA7C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0.077</w:t>
            </w:r>
          </w:p>
        </w:tc>
        <w:tc>
          <w:tcPr>
            <w:tcW w:w="1063" w:type="dxa"/>
            <w:tcBorders>
              <w:top w:val="nil"/>
              <w:left w:val="nil"/>
              <w:bottom w:val="nil"/>
              <w:right w:val="nil"/>
            </w:tcBorders>
            <w:shd w:val="clear" w:color="auto" w:fill="auto"/>
            <w:noWrap/>
            <w:vAlign w:val="bottom"/>
          </w:tcPr>
          <w:p w14:paraId="006372F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0.302</w:t>
            </w:r>
          </w:p>
        </w:tc>
        <w:tc>
          <w:tcPr>
            <w:tcW w:w="1063" w:type="dxa"/>
            <w:tcBorders>
              <w:top w:val="nil"/>
              <w:left w:val="nil"/>
              <w:bottom w:val="nil"/>
              <w:right w:val="nil"/>
            </w:tcBorders>
            <w:shd w:val="clear" w:color="auto" w:fill="auto"/>
            <w:noWrap/>
            <w:vAlign w:val="bottom"/>
          </w:tcPr>
          <w:p w14:paraId="023EAEF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-0.069</w:t>
            </w:r>
          </w:p>
        </w:tc>
        <w:tc>
          <w:tcPr>
            <w:tcW w:w="1063" w:type="dxa"/>
            <w:tcBorders>
              <w:top w:val="nil"/>
              <w:left w:val="nil"/>
              <w:bottom w:val="nil"/>
              <w:right w:val="nil"/>
            </w:tcBorders>
            <w:shd w:val="clear" w:color="auto" w:fill="auto"/>
            <w:noWrap/>
            <w:vAlign w:val="bottom"/>
          </w:tcPr>
          <w:p w14:paraId="39CB4B3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0.304**</w:t>
            </w:r>
          </w:p>
        </w:tc>
        <w:tc>
          <w:tcPr>
            <w:tcW w:w="1063" w:type="dxa"/>
            <w:tcBorders>
              <w:top w:val="nil"/>
              <w:left w:val="nil"/>
              <w:bottom w:val="nil"/>
              <w:right w:val="nil"/>
            </w:tcBorders>
            <w:shd w:val="clear" w:color="auto" w:fill="auto"/>
            <w:noWrap/>
            <w:vAlign w:val="bottom"/>
          </w:tcPr>
          <w:p w14:paraId="471267F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0.015</w:t>
            </w:r>
          </w:p>
        </w:tc>
        <w:tc>
          <w:tcPr>
            <w:tcW w:w="1063" w:type="dxa"/>
            <w:tcBorders>
              <w:top w:val="nil"/>
              <w:left w:val="nil"/>
              <w:bottom w:val="nil"/>
              <w:right w:val="nil"/>
            </w:tcBorders>
            <w:shd w:val="clear" w:color="auto" w:fill="auto"/>
            <w:noWrap/>
            <w:vAlign w:val="bottom"/>
          </w:tcPr>
          <w:p w14:paraId="282C7D6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0.376**</w:t>
            </w:r>
          </w:p>
        </w:tc>
      </w:tr>
      <w:tr w:rsidR="00524160" w:rsidRPr="004A792A" w14:paraId="6C4DA32E" w14:textId="77777777" w:rsidTr="00260189">
        <w:tc>
          <w:tcPr>
            <w:tcW w:w="2694" w:type="dxa"/>
            <w:tcBorders>
              <w:top w:val="nil"/>
              <w:left w:val="nil"/>
              <w:bottom w:val="nil"/>
              <w:right w:val="single" w:sz="4" w:space="0" w:color="auto"/>
            </w:tcBorders>
            <w:shd w:val="clear" w:color="auto" w:fill="auto"/>
            <w:noWrap/>
            <w:vAlign w:val="bottom"/>
            <w:hideMark/>
          </w:tcPr>
          <w:p w14:paraId="6D1752D1"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32D11A4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(0.135)</w:t>
            </w:r>
          </w:p>
        </w:tc>
        <w:tc>
          <w:tcPr>
            <w:tcW w:w="1063" w:type="dxa"/>
            <w:tcBorders>
              <w:top w:val="nil"/>
              <w:left w:val="nil"/>
              <w:bottom w:val="nil"/>
              <w:right w:val="nil"/>
            </w:tcBorders>
            <w:shd w:val="clear" w:color="auto" w:fill="auto"/>
            <w:noWrap/>
            <w:vAlign w:val="bottom"/>
          </w:tcPr>
          <w:p w14:paraId="1AE9130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(0.256)</w:t>
            </w:r>
          </w:p>
        </w:tc>
        <w:tc>
          <w:tcPr>
            <w:tcW w:w="1063" w:type="dxa"/>
            <w:tcBorders>
              <w:top w:val="nil"/>
              <w:left w:val="nil"/>
              <w:bottom w:val="nil"/>
              <w:right w:val="nil"/>
            </w:tcBorders>
            <w:shd w:val="clear" w:color="auto" w:fill="auto"/>
            <w:noWrap/>
            <w:vAlign w:val="bottom"/>
          </w:tcPr>
          <w:p w14:paraId="7A8C684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(0.148)</w:t>
            </w:r>
          </w:p>
        </w:tc>
        <w:tc>
          <w:tcPr>
            <w:tcW w:w="1063" w:type="dxa"/>
            <w:tcBorders>
              <w:top w:val="nil"/>
              <w:left w:val="nil"/>
              <w:bottom w:val="nil"/>
              <w:right w:val="nil"/>
            </w:tcBorders>
            <w:shd w:val="clear" w:color="auto" w:fill="auto"/>
            <w:noWrap/>
            <w:vAlign w:val="bottom"/>
          </w:tcPr>
          <w:p w14:paraId="77888EF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(0.133)</w:t>
            </w:r>
          </w:p>
        </w:tc>
        <w:tc>
          <w:tcPr>
            <w:tcW w:w="1063" w:type="dxa"/>
            <w:tcBorders>
              <w:top w:val="nil"/>
              <w:left w:val="nil"/>
              <w:bottom w:val="nil"/>
              <w:right w:val="nil"/>
            </w:tcBorders>
            <w:shd w:val="clear" w:color="auto" w:fill="auto"/>
            <w:noWrap/>
            <w:vAlign w:val="bottom"/>
          </w:tcPr>
          <w:p w14:paraId="4CE124E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(0.239)</w:t>
            </w:r>
          </w:p>
        </w:tc>
        <w:tc>
          <w:tcPr>
            <w:tcW w:w="1063" w:type="dxa"/>
            <w:tcBorders>
              <w:top w:val="nil"/>
              <w:left w:val="nil"/>
              <w:bottom w:val="nil"/>
              <w:right w:val="nil"/>
            </w:tcBorders>
            <w:shd w:val="clear" w:color="auto" w:fill="auto"/>
            <w:noWrap/>
            <w:vAlign w:val="bottom"/>
          </w:tcPr>
          <w:p w14:paraId="7451419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(0.168)</w:t>
            </w:r>
          </w:p>
        </w:tc>
      </w:tr>
      <w:tr w:rsidR="00524160" w:rsidRPr="004A792A" w14:paraId="013B06D0" w14:textId="77777777" w:rsidTr="00260189">
        <w:tc>
          <w:tcPr>
            <w:tcW w:w="2694" w:type="dxa"/>
            <w:tcBorders>
              <w:top w:val="nil"/>
              <w:left w:val="nil"/>
              <w:bottom w:val="nil"/>
              <w:right w:val="single" w:sz="4" w:space="0" w:color="auto"/>
            </w:tcBorders>
            <w:shd w:val="clear" w:color="auto" w:fill="auto"/>
            <w:noWrap/>
            <w:vAlign w:val="bottom"/>
            <w:hideMark/>
          </w:tcPr>
          <w:p w14:paraId="797A026F"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3-6 years</w:t>
            </w:r>
          </w:p>
        </w:tc>
        <w:tc>
          <w:tcPr>
            <w:tcW w:w="1063" w:type="dxa"/>
            <w:tcBorders>
              <w:top w:val="nil"/>
              <w:left w:val="single" w:sz="4" w:space="0" w:color="auto"/>
              <w:bottom w:val="nil"/>
              <w:right w:val="nil"/>
            </w:tcBorders>
            <w:shd w:val="clear" w:color="auto" w:fill="auto"/>
            <w:noWrap/>
            <w:vAlign w:val="bottom"/>
          </w:tcPr>
          <w:p w14:paraId="58BC5DB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0.065</w:t>
            </w:r>
          </w:p>
        </w:tc>
        <w:tc>
          <w:tcPr>
            <w:tcW w:w="1063" w:type="dxa"/>
            <w:tcBorders>
              <w:top w:val="nil"/>
              <w:left w:val="nil"/>
              <w:bottom w:val="nil"/>
              <w:right w:val="nil"/>
            </w:tcBorders>
            <w:shd w:val="clear" w:color="auto" w:fill="auto"/>
            <w:noWrap/>
            <w:vAlign w:val="bottom"/>
          </w:tcPr>
          <w:p w14:paraId="4D6476B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-0.054</w:t>
            </w:r>
          </w:p>
        </w:tc>
        <w:tc>
          <w:tcPr>
            <w:tcW w:w="1063" w:type="dxa"/>
            <w:tcBorders>
              <w:top w:val="nil"/>
              <w:left w:val="nil"/>
              <w:bottom w:val="nil"/>
              <w:right w:val="nil"/>
            </w:tcBorders>
            <w:shd w:val="clear" w:color="auto" w:fill="auto"/>
            <w:noWrap/>
            <w:vAlign w:val="bottom"/>
          </w:tcPr>
          <w:p w14:paraId="222B5BF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0.095</w:t>
            </w:r>
          </w:p>
        </w:tc>
        <w:tc>
          <w:tcPr>
            <w:tcW w:w="1063" w:type="dxa"/>
            <w:tcBorders>
              <w:top w:val="nil"/>
              <w:left w:val="nil"/>
              <w:bottom w:val="nil"/>
              <w:right w:val="nil"/>
            </w:tcBorders>
            <w:shd w:val="clear" w:color="auto" w:fill="auto"/>
            <w:noWrap/>
            <w:vAlign w:val="bottom"/>
          </w:tcPr>
          <w:p w14:paraId="7474EF5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0.043</w:t>
            </w:r>
          </w:p>
        </w:tc>
        <w:tc>
          <w:tcPr>
            <w:tcW w:w="1063" w:type="dxa"/>
            <w:tcBorders>
              <w:top w:val="nil"/>
              <w:left w:val="nil"/>
              <w:bottom w:val="nil"/>
              <w:right w:val="nil"/>
            </w:tcBorders>
            <w:shd w:val="clear" w:color="auto" w:fill="auto"/>
            <w:noWrap/>
            <w:vAlign w:val="bottom"/>
          </w:tcPr>
          <w:p w14:paraId="450FF00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-0.060</w:t>
            </w:r>
          </w:p>
        </w:tc>
        <w:tc>
          <w:tcPr>
            <w:tcW w:w="1063" w:type="dxa"/>
            <w:tcBorders>
              <w:top w:val="nil"/>
              <w:left w:val="nil"/>
              <w:bottom w:val="nil"/>
              <w:right w:val="nil"/>
            </w:tcBorders>
            <w:shd w:val="clear" w:color="auto" w:fill="auto"/>
            <w:noWrap/>
            <w:vAlign w:val="bottom"/>
          </w:tcPr>
          <w:p w14:paraId="0F77C7D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0.062</w:t>
            </w:r>
          </w:p>
        </w:tc>
      </w:tr>
      <w:tr w:rsidR="00524160" w:rsidRPr="004A792A" w14:paraId="14125CFC" w14:textId="77777777" w:rsidTr="00260189">
        <w:tc>
          <w:tcPr>
            <w:tcW w:w="2694" w:type="dxa"/>
            <w:tcBorders>
              <w:top w:val="nil"/>
              <w:left w:val="nil"/>
              <w:bottom w:val="nil"/>
              <w:right w:val="single" w:sz="4" w:space="0" w:color="auto"/>
            </w:tcBorders>
            <w:shd w:val="clear" w:color="auto" w:fill="auto"/>
            <w:noWrap/>
            <w:vAlign w:val="bottom"/>
          </w:tcPr>
          <w:p w14:paraId="5080FC67" w14:textId="77777777" w:rsidR="00524160" w:rsidRPr="004A792A" w:rsidRDefault="00524160" w:rsidP="00260189">
            <w:pPr>
              <w:spacing w:before="0"/>
              <w:jc w:val="center"/>
              <w:rPr>
                <w:rFonts w:eastAsia="Times New Roman" w:cstheme="minorHAnsi"/>
                <w:sz w:val="20"/>
                <w:szCs w:val="20"/>
                <w:lang w:val="en-US"/>
              </w:rPr>
            </w:pPr>
          </w:p>
        </w:tc>
        <w:tc>
          <w:tcPr>
            <w:tcW w:w="1063" w:type="dxa"/>
            <w:tcBorders>
              <w:top w:val="nil"/>
              <w:left w:val="single" w:sz="4" w:space="0" w:color="auto"/>
              <w:bottom w:val="nil"/>
              <w:right w:val="nil"/>
            </w:tcBorders>
            <w:shd w:val="clear" w:color="auto" w:fill="auto"/>
            <w:noWrap/>
            <w:vAlign w:val="bottom"/>
          </w:tcPr>
          <w:p w14:paraId="7F5FE70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(0.096)</w:t>
            </w:r>
          </w:p>
        </w:tc>
        <w:tc>
          <w:tcPr>
            <w:tcW w:w="1063" w:type="dxa"/>
            <w:tcBorders>
              <w:top w:val="nil"/>
              <w:left w:val="nil"/>
              <w:bottom w:val="nil"/>
              <w:right w:val="nil"/>
            </w:tcBorders>
            <w:shd w:val="clear" w:color="auto" w:fill="auto"/>
            <w:noWrap/>
            <w:vAlign w:val="bottom"/>
          </w:tcPr>
          <w:p w14:paraId="1D2E637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(0.188)</w:t>
            </w:r>
          </w:p>
        </w:tc>
        <w:tc>
          <w:tcPr>
            <w:tcW w:w="1063" w:type="dxa"/>
            <w:tcBorders>
              <w:top w:val="nil"/>
              <w:left w:val="nil"/>
              <w:bottom w:val="nil"/>
              <w:right w:val="nil"/>
            </w:tcBorders>
            <w:shd w:val="clear" w:color="auto" w:fill="auto"/>
            <w:noWrap/>
            <w:vAlign w:val="bottom"/>
          </w:tcPr>
          <w:p w14:paraId="17AA8BF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(0.108)</w:t>
            </w:r>
          </w:p>
        </w:tc>
        <w:tc>
          <w:tcPr>
            <w:tcW w:w="1063" w:type="dxa"/>
            <w:tcBorders>
              <w:top w:val="nil"/>
              <w:left w:val="nil"/>
              <w:bottom w:val="nil"/>
              <w:right w:val="nil"/>
            </w:tcBorders>
            <w:shd w:val="clear" w:color="auto" w:fill="auto"/>
            <w:noWrap/>
            <w:vAlign w:val="bottom"/>
          </w:tcPr>
          <w:p w14:paraId="04C97F3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(0.082)</w:t>
            </w:r>
          </w:p>
        </w:tc>
        <w:tc>
          <w:tcPr>
            <w:tcW w:w="1063" w:type="dxa"/>
            <w:tcBorders>
              <w:top w:val="nil"/>
              <w:left w:val="nil"/>
              <w:bottom w:val="nil"/>
              <w:right w:val="nil"/>
            </w:tcBorders>
            <w:shd w:val="clear" w:color="auto" w:fill="auto"/>
            <w:noWrap/>
            <w:vAlign w:val="bottom"/>
          </w:tcPr>
          <w:p w14:paraId="4122490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(0.134)</w:t>
            </w:r>
          </w:p>
        </w:tc>
        <w:tc>
          <w:tcPr>
            <w:tcW w:w="1063" w:type="dxa"/>
            <w:tcBorders>
              <w:top w:val="nil"/>
              <w:left w:val="nil"/>
              <w:bottom w:val="nil"/>
              <w:right w:val="nil"/>
            </w:tcBorders>
            <w:shd w:val="clear" w:color="auto" w:fill="auto"/>
            <w:noWrap/>
            <w:vAlign w:val="bottom"/>
          </w:tcPr>
          <w:p w14:paraId="5B59836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(0.106)</w:t>
            </w:r>
          </w:p>
        </w:tc>
      </w:tr>
      <w:tr w:rsidR="00524160" w:rsidRPr="004A792A" w14:paraId="344EE724" w14:textId="77777777" w:rsidTr="00260189">
        <w:tc>
          <w:tcPr>
            <w:tcW w:w="2694" w:type="dxa"/>
            <w:tcBorders>
              <w:top w:val="nil"/>
              <w:left w:val="nil"/>
              <w:bottom w:val="nil"/>
              <w:right w:val="single" w:sz="4" w:space="0" w:color="auto"/>
            </w:tcBorders>
            <w:shd w:val="clear" w:color="auto" w:fill="auto"/>
            <w:noWrap/>
            <w:vAlign w:val="bottom"/>
          </w:tcPr>
          <w:p w14:paraId="1F85F83B"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7-14 years</w:t>
            </w:r>
          </w:p>
        </w:tc>
        <w:tc>
          <w:tcPr>
            <w:tcW w:w="1063" w:type="dxa"/>
            <w:tcBorders>
              <w:top w:val="nil"/>
              <w:left w:val="single" w:sz="4" w:space="0" w:color="auto"/>
              <w:bottom w:val="nil"/>
              <w:right w:val="nil"/>
            </w:tcBorders>
            <w:shd w:val="clear" w:color="auto" w:fill="auto"/>
            <w:noWrap/>
            <w:vAlign w:val="bottom"/>
          </w:tcPr>
          <w:p w14:paraId="7190AA4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0.089</w:t>
            </w:r>
          </w:p>
        </w:tc>
        <w:tc>
          <w:tcPr>
            <w:tcW w:w="1063" w:type="dxa"/>
            <w:tcBorders>
              <w:top w:val="nil"/>
              <w:left w:val="nil"/>
              <w:bottom w:val="nil"/>
              <w:right w:val="nil"/>
            </w:tcBorders>
            <w:shd w:val="clear" w:color="auto" w:fill="auto"/>
            <w:noWrap/>
            <w:vAlign w:val="bottom"/>
          </w:tcPr>
          <w:p w14:paraId="55E049A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0.185</w:t>
            </w:r>
          </w:p>
        </w:tc>
        <w:tc>
          <w:tcPr>
            <w:tcW w:w="1063" w:type="dxa"/>
            <w:tcBorders>
              <w:top w:val="nil"/>
              <w:left w:val="nil"/>
              <w:bottom w:val="nil"/>
              <w:right w:val="nil"/>
            </w:tcBorders>
            <w:shd w:val="clear" w:color="auto" w:fill="auto"/>
            <w:noWrap/>
            <w:vAlign w:val="bottom"/>
          </w:tcPr>
          <w:p w14:paraId="1876041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0.029</w:t>
            </w:r>
          </w:p>
        </w:tc>
        <w:tc>
          <w:tcPr>
            <w:tcW w:w="1063" w:type="dxa"/>
            <w:tcBorders>
              <w:top w:val="nil"/>
              <w:left w:val="nil"/>
              <w:bottom w:val="nil"/>
              <w:right w:val="nil"/>
            </w:tcBorders>
            <w:shd w:val="clear" w:color="auto" w:fill="auto"/>
            <w:noWrap/>
            <w:vAlign w:val="bottom"/>
          </w:tcPr>
          <w:p w14:paraId="0288260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0.031</w:t>
            </w:r>
          </w:p>
        </w:tc>
        <w:tc>
          <w:tcPr>
            <w:tcW w:w="1063" w:type="dxa"/>
            <w:tcBorders>
              <w:top w:val="nil"/>
              <w:left w:val="nil"/>
              <w:bottom w:val="nil"/>
              <w:right w:val="nil"/>
            </w:tcBorders>
            <w:shd w:val="clear" w:color="auto" w:fill="auto"/>
            <w:noWrap/>
            <w:vAlign w:val="bottom"/>
          </w:tcPr>
          <w:p w14:paraId="3C27801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0.149</w:t>
            </w:r>
          </w:p>
        </w:tc>
        <w:tc>
          <w:tcPr>
            <w:tcW w:w="1063" w:type="dxa"/>
            <w:tcBorders>
              <w:top w:val="nil"/>
              <w:left w:val="nil"/>
              <w:bottom w:val="nil"/>
              <w:right w:val="nil"/>
            </w:tcBorders>
            <w:shd w:val="clear" w:color="auto" w:fill="auto"/>
            <w:noWrap/>
            <w:vAlign w:val="bottom"/>
          </w:tcPr>
          <w:p w14:paraId="52697F8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-0.025</w:t>
            </w:r>
          </w:p>
        </w:tc>
      </w:tr>
      <w:tr w:rsidR="00524160" w:rsidRPr="004A792A" w14:paraId="25029C92" w14:textId="77777777" w:rsidTr="00260189">
        <w:tc>
          <w:tcPr>
            <w:tcW w:w="2694" w:type="dxa"/>
            <w:tcBorders>
              <w:top w:val="nil"/>
              <w:left w:val="nil"/>
              <w:right w:val="single" w:sz="4" w:space="0" w:color="auto"/>
            </w:tcBorders>
            <w:shd w:val="clear" w:color="auto" w:fill="auto"/>
            <w:noWrap/>
            <w:vAlign w:val="bottom"/>
            <w:hideMark/>
          </w:tcPr>
          <w:p w14:paraId="52061C48"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right w:val="nil"/>
            </w:tcBorders>
            <w:shd w:val="clear" w:color="auto" w:fill="auto"/>
            <w:noWrap/>
            <w:vAlign w:val="bottom"/>
          </w:tcPr>
          <w:p w14:paraId="4F77C59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(0.072)</w:t>
            </w:r>
          </w:p>
        </w:tc>
        <w:tc>
          <w:tcPr>
            <w:tcW w:w="1063" w:type="dxa"/>
            <w:tcBorders>
              <w:top w:val="nil"/>
              <w:left w:val="nil"/>
              <w:right w:val="nil"/>
            </w:tcBorders>
            <w:shd w:val="clear" w:color="auto" w:fill="auto"/>
            <w:noWrap/>
            <w:vAlign w:val="bottom"/>
          </w:tcPr>
          <w:p w14:paraId="40E3AD4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(0.134)</w:t>
            </w:r>
          </w:p>
        </w:tc>
        <w:tc>
          <w:tcPr>
            <w:tcW w:w="1063" w:type="dxa"/>
            <w:tcBorders>
              <w:top w:val="nil"/>
              <w:left w:val="nil"/>
              <w:right w:val="nil"/>
            </w:tcBorders>
            <w:shd w:val="clear" w:color="auto" w:fill="auto"/>
            <w:noWrap/>
            <w:vAlign w:val="bottom"/>
          </w:tcPr>
          <w:p w14:paraId="797BA04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(0.083)</w:t>
            </w:r>
          </w:p>
        </w:tc>
        <w:tc>
          <w:tcPr>
            <w:tcW w:w="1063" w:type="dxa"/>
            <w:tcBorders>
              <w:top w:val="nil"/>
              <w:left w:val="nil"/>
              <w:right w:val="nil"/>
            </w:tcBorders>
            <w:shd w:val="clear" w:color="auto" w:fill="auto"/>
            <w:noWrap/>
            <w:vAlign w:val="bottom"/>
          </w:tcPr>
          <w:p w14:paraId="16C0F76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(0.072)</w:t>
            </w:r>
          </w:p>
        </w:tc>
        <w:tc>
          <w:tcPr>
            <w:tcW w:w="1063" w:type="dxa"/>
            <w:tcBorders>
              <w:top w:val="nil"/>
              <w:left w:val="nil"/>
              <w:right w:val="nil"/>
            </w:tcBorders>
            <w:shd w:val="clear" w:color="auto" w:fill="auto"/>
            <w:noWrap/>
            <w:vAlign w:val="bottom"/>
          </w:tcPr>
          <w:p w14:paraId="03DFC6A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(0.130)</w:t>
            </w:r>
          </w:p>
        </w:tc>
        <w:tc>
          <w:tcPr>
            <w:tcW w:w="1063" w:type="dxa"/>
            <w:tcBorders>
              <w:top w:val="nil"/>
              <w:left w:val="nil"/>
              <w:right w:val="nil"/>
            </w:tcBorders>
            <w:shd w:val="clear" w:color="auto" w:fill="auto"/>
            <w:noWrap/>
            <w:vAlign w:val="bottom"/>
          </w:tcPr>
          <w:p w14:paraId="3AD553F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(0.081)</w:t>
            </w:r>
          </w:p>
        </w:tc>
      </w:tr>
      <w:tr w:rsidR="00524160" w:rsidRPr="004A792A" w14:paraId="3CE6FF22" w14:textId="77777777" w:rsidTr="00FE30E6">
        <w:tc>
          <w:tcPr>
            <w:tcW w:w="2694" w:type="dxa"/>
            <w:vMerge w:val="restart"/>
            <w:tcBorders>
              <w:top w:val="nil"/>
              <w:left w:val="nil"/>
              <w:right w:val="single" w:sz="4" w:space="0" w:color="auto"/>
            </w:tcBorders>
            <w:shd w:val="clear" w:color="auto" w:fill="auto"/>
            <w:noWrap/>
            <w:hideMark/>
          </w:tcPr>
          <w:p w14:paraId="703D5A36" w14:textId="77777777" w:rsidR="00524160" w:rsidRPr="004A792A" w:rsidRDefault="00524160" w:rsidP="00FE30E6">
            <w:pPr>
              <w:spacing w:before="0"/>
              <w:rPr>
                <w:rFonts w:eastAsia="Times New Roman" w:cstheme="minorHAnsi"/>
                <w:sz w:val="20"/>
                <w:szCs w:val="20"/>
                <w:lang w:val="en-US"/>
              </w:rPr>
            </w:pPr>
            <w:r w:rsidRPr="004A792A">
              <w:rPr>
                <w:rFonts w:eastAsia="Times New Roman" w:cstheme="minorHAnsi"/>
                <w:sz w:val="20"/>
                <w:szCs w:val="20"/>
                <w:lang w:val="en-US"/>
              </w:rPr>
              <w:t>15-17 years</w:t>
            </w:r>
          </w:p>
        </w:tc>
        <w:tc>
          <w:tcPr>
            <w:tcW w:w="1063" w:type="dxa"/>
            <w:tcBorders>
              <w:top w:val="nil"/>
              <w:left w:val="single" w:sz="4" w:space="0" w:color="auto"/>
              <w:bottom w:val="nil"/>
              <w:right w:val="nil"/>
            </w:tcBorders>
            <w:shd w:val="clear" w:color="auto" w:fill="auto"/>
            <w:noWrap/>
            <w:vAlign w:val="bottom"/>
          </w:tcPr>
          <w:p w14:paraId="7CBACD4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-0.014</w:t>
            </w:r>
          </w:p>
        </w:tc>
        <w:tc>
          <w:tcPr>
            <w:tcW w:w="1063" w:type="dxa"/>
            <w:tcBorders>
              <w:top w:val="nil"/>
              <w:left w:val="nil"/>
              <w:bottom w:val="nil"/>
              <w:right w:val="nil"/>
            </w:tcBorders>
            <w:shd w:val="clear" w:color="auto" w:fill="auto"/>
            <w:noWrap/>
            <w:vAlign w:val="bottom"/>
          </w:tcPr>
          <w:p w14:paraId="2561891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-0.048</w:t>
            </w:r>
          </w:p>
        </w:tc>
        <w:tc>
          <w:tcPr>
            <w:tcW w:w="1063" w:type="dxa"/>
            <w:tcBorders>
              <w:top w:val="nil"/>
              <w:left w:val="nil"/>
              <w:bottom w:val="nil"/>
              <w:right w:val="nil"/>
            </w:tcBorders>
            <w:shd w:val="clear" w:color="auto" w:fill="auto"/>
            <w:noWrap/>
            <w:vAlign w:val="bottom"/>
          </w:tcPr>
          <w:p w14:paraId="29D4F3A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-0.021</w:t>
            </w:r>
          </w:p>
        </w:tc>
        <w:tc>
          <w:tcPr>
            <w:tcW w:w="1063" w:type="dxa"/>
            <w:tcBorders>
              <w:top w:val="nil"/>
              <w:left w:val="nil"/>
              <w:bottom w:val="nil"/>
              <w:right w:val="nil"/>
            </w:tcBorders>
            <w:shd w:val="clear" w:color="auto" w:fill="auto"/>
            <w:noWrap/>
            <w:vAlign w:val="bottom"/>
          </w:tcPr>
          <w:p w14:paraId="6994EFC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0.125</w:t>
            </w:r>
          </w:p>
        </w:tc>
        <w:tc>
          <w:tcPr>
            <w:tcW w:w="1063" w:type="dxa"/>
            <w:tcBorders>
              <w:top w:val="nil"/>
              <w:left w:val="nil"/>
              <w:bottom w:val="nil"/>
              <w:right w:val="nil"/>
            </w:tcBorders>
            <w:shd w:val="clear" w:color="auto" w:fill="auto"/>
            <w:noWrap/>
            <w:vAlign w:val="bottom"/>
          </w:tcPr>
          <w:p w14:paraId="11BFFE3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0.209</w:t>
            </w:r>
          </w:p>
        </w:tc>
        <w:tc>
          <w:tcPr>
            <w:tcW w:w="1063" w:type="dxa"/>
            <w:tcBorders>
              <w:top w:val="nil"/>
              <w:left w:val="nil"/>
              <w:bottom w:val="nil"/>
              <w:right w:val="nil"/>
            </w:tcBorders>
            <w:shd w:val="clear" w:color="auto" w:fill="auto"/>
            <w:noWrap/>
            <w:vAlign w:val="bottom"/>
          </w:tcPr>
          <w:p w14:paraId="0D8831B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0.091</w:t>
            </w:r>
          </w:p>
        </w:tc>
      </w:tr>
      <w:tr w:rsidR="00524160" w:rsidRPr="004A792A" w14:paraId="68396032" w14:textId="77777777" w:rsidTr="00260189">
        <w:tc>
          <w:tcPr>
            <w:tcW w:w="2694" w:type="dxa"/>
            <w:vMerge/>
            <w:tcBorders>
              <w:left w:val="nil"/>
              <w:bottom w:val="single" w:sz="4" w:space="0" w:color="auto"/>
              <w:right w:val="single" w:sz="4" w:space="0" w:color="auto"/>
            </w:tcBorders>
            <w:shd w:val="clear" w:color="auto" w:fill="auto"/>
            <w:noWrap/>
            <w:vAlign w:val="bottom"/>
            <w:hideMark/>
          </w:tcPr>
          <w:p w14:paraId="04D69F29"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single" w:sz="4" w:space="0" w:color="auto"/>
              <w:right w:val="nil"/>
            </w:tcBorders>
            <w:shd w:val="clear" w:color="auto" w:fill="auto"/>
            <w:noWrap/>
            <w:vAlign w:val="bottom"/>
          </w:tcPr>
          <w:p w14:paraId="38A4994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(0.098)</w:t>
            </w:r>
          </w:p>
        </w:tc>
        <w:tc>
          <w:tcPr>
            <w:tcW w:w="1063" w:type="dxa"/>
            <w:tcBorders>
              <w:top w:val="nil"/>
              <w:left w:val="nil"/>
              <w:bottom w:val="single" w:sz="4" w:space="0" w:color="auto"/>
              <w:right w:val="nil"/>
            </w:tcBorders>
            <w:shd w:val="clear" w:color="auto" w:fill="auto"/>
            <w:noWrap/>
            <w:vAlign w:val="bottom"/>
          </w:tcPr>
          <w:p w14:paraId="1D98E0C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(0.173)</w:t>
            </w:r>
          </w:p>
        </w:tc>
        <w:tc>
          <w:tcPr>
            <w:tcW w:w="1063" w:type="dxa"/>
            <w:tcBorders>
              <w:top w:val="nil"/>
              <w:left w:val="nil"/>
              <w:bottom w:val="single" w:sz="4" w:space="0" w:color="auto"/>
              <w:right w:val="nil"/>
            </w:tcBorders>
            <w:shd w:val="clear" w:color="auto" w:fill="auto"/>
            <w:noWrap/>
            <w:vAlign w:val="bottom"/>
          </w:tcPr>
          <w:p w14:paraId="0CF5188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(0.114)</w:t>
            </w:r>
          </w:p>
        </w:tc>
        <w:tc>
          <w:tcPr>
            <w:tcW w:w="1063" w:type="dxa"/>
            <w:tcBorders>
              <w:top w:val="nil"/>
              <w:left w:val="nil"/>
              <w:bottom w:val="single" w:sz="4" w:space="0" w:color="auto"/>
              <w:right w:val="nil"/>
            </w:tcBorders>
            <w:shd w:val="clear" w:color="auto" w:fill="auto"/>
            <w:noWrap/>
            <w:vAlign w:val="bottom"/>
          </w:tcPr>
          <w:p w14:paraId="31BAB6C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(0.103)</w:t>
            </w:r>
          </w:p>
        </w:tc>
        <w:tc>
          <w:tcPr>
            <w:tcW w:w="1063" w:type="dxa"/>
            <w:tcBorders>
              <w:top w:val="nil"/>
              <w:left w:val="nil"/>
              <w:bottom w:val="single" w:sz="4" w:space="0" w:color="auto"/>
              <w:right w:val="nil"/>
            </w:tcBorders>
            <w:shd w:val="clear" w:color="auto" w:fill="auto"/>
            <w:noWrap/>
            <w:vAlign w:val="bottom"/>
          </w:tcPr>
          <w:p w14:paraId="6302D1E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(0.165)</w:t>
            </w:r>
          </w:p>
        </w:tc>
        <w:tc>
          <w:tcPr>
            <w:tcW w:w="1063" w:type="dxa"/>
            <w:tcBorders>
              <w:top w:val="nil"/>
              <w:left w:val="nil"/>
              <w:bottom w:val="single" w:sz="4" w:space="0" w:color="auto"/>
              <w:right w:val="nil"/>
            </w:tcBorders>
            <w:shd w:val="clear" w:color="auto" w:fill="auto"/>
            <w:noWrap/>
            <w:vAlign w:val="bottom"/>
          </w:tcPr>
          <w:p w14:paraId="7E3C3E9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(0.121)</w:t>
            </w:r>
          </w:p>
        </w:tc>
      </w:tr>
      <w:tr w:rsidR="00524160" w:rsidRPr="004A792A" w14:paraId="2F5AEEC0" w14:textId="77777777" w:rsidTr="00260189">
        <w:tc>
          <w:tcPr>
            <w:tcW w:w="2694" w:type="dxa"/>
            <w:tcBorders>
              <w:top w:val="single" w:sz="4" w:space="0" w:color="auto"/>
              <w:left w:val="nil"/>
              <w:bottom w:val="nil"/>
              <w:right w:val="single" w:sz="4" w:space="0" w:color="auto"/>
            </w:tcBorders>
            <w:shd w:val="clear" w:color="auto" w:fill="auto"/>
            <w:noWrap/>
            <w:vAlign w:val="bottom"/>
            <w:hideMark/>
          </w:tcPr>
          <w:p w14:paraId="7C2C536C"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Respondent's age</w:t>
            </w:r>
          </w:p>
        </w:tc>
        <w:tc>
          <w:tcPr>
            <w:tcW w:w="1063" w:type="dxa"/>
            <w:tcBorders>
              <w:top w:val="single" w:sz="4" w:space="0" w:color="auto"/>
              <w:left w:val="single" w:sz="4" w:space="0" w:color="auto"/>
              <w:bottom w:val="nil"/>
              <w:right w:val="nil"/>
            </w:tcBorders>
            <w:shd w:val="clear" w:color="auto" w:fill="auto"/>
            <w:noWrap/>
            <w:vAlign w:val="bottom"/>
          </w:tcPr>
          <w:p w14:paraId="4B8960B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-0.027</w:t>
            </w:r>
          </w:p>
        </w:tc>
        <w:tc>
          <w:tcPr>
            <w:tcW w:w="1063" w:type="dxa"/>
            <w:tcBorders>
              <w:top w:val="single" w:sz="4" w:space="0" w:color="auto"/>
              <w:left w:val="nil"/>
              <w:bottom w:val="nil"/>
              <w:right w:val="nil"/>
            </w:tcBorders>
            <w:shd w:val="clear" w:color="auto" w:fill="auto"/>
            <w:noWrap/>
            <w:vAlign w:val="bottom"/>
          </w:tcPr>
          <w:p w14:paraId="704FA6A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0.007</w:t>
            </w:r>
          </w:p>
        </w:tc>
        <w:tc>
          <w:tcPr>
            <w:tcW w:w="1063" w:type="dxa"/>
            <w:tcBorders>
              <w:top w:val="single" w:sz="4" w:space="0" w:color="auto"/>
              <w:left w:val="nil"/>
              <w:bottom w:val="nil"/>
              <w:right w:val="nil"/>
            </w:tcBorders>
            <w:shd w:val="clear" w:color="auto" w:fill="auto"/>
            <w:noWrap/>
            <w:vAlign w:val="bottom"/>
          </w:tcPr>
          <w:p w14:paraId="3AB8C5D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-0.055***</w:t>
            </w:r>
          </w:p>
        </w:tc>
        <w:tc>
          <w:tcPr>
            <w:tcW w:w="1063" w:type="dxa"/>
            <w:tcBorders>
              <w:top w:val="single" w:sz="4" w:space="0" w:color="auto"/>
              <w:left w:val="nil"/>
              <w:bottom w:val="nil"/>
              <w:right w:val="nil"/>
            </w:tcBorders>
            <w:shd w:val="clear" w:color="auto" w:fill="auto"/>
            <w:noWrap/>
            <w:vAlign w:val="bottom"/>
          </w:tcPr>
          <w:p w14:paraId="5D8A57B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-0.071***</w:t>
            </w:r>
          </w:p>
        </w:tc>
        <w:tc>
          <w:tcPr>
            <w:tcW w:w="1063" w:type="dxa"/>
            <w:tcBorders>
              <w:top w:val="single" w:sz="4" w:space="0" w:color="auto"/>
              <w:left w:val="nil"/>
              <w:bottom w:val="nil"/>
              <w:right w:val="nil"/>
            </w:tcBorders>
            <w:shd w:val="clear" w:color="auto" w:fill="auto"/>
            <w:noWrap/>
            <w:vAlign w:val="bottom"/>
          </w:tcPr>
          <w:p w14:paraId="1F53F16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-0.004</w:t>
            </w:r>
          </w:p>
        </w:tc>
        <w:tc>
          <w:tcPr>
            <w:tcW w:w="1063" w:type="dxa"/>
            <w:tcBorders>
              <w:top w:val="single" w:sz="4" w:space="0" w:color="auto"/>
              <w:left w:val="nil"/>
              <w:bottom w:val="nil"/>
              <w:right w:val="nil"/>
            </w:tcBorders>
            <w:shd w:val="clear" w:color="auto" w:fill="auto"/>
            <w:noWrap/>
            <w:vAlign w:val="bottom"/>
          </w:tcPr>
          <w:p w14:paraId="7261DCA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-0.119***</w:t>
            </w:r>
          </w:p>
        </w:tc>
      </w:tr>
      <w:tr w:rsidR="00524160" w:rsidRPr="004A792A" w14:paraId="27BB4BCB" w14:textId="77777777" w:rsidTr="00260189">
        <w:tc>
          <w:tcPr>
            <w:tcW w:w="2694" w:type="dxa"/>
            <w:tcBorders>
              <w:top w:val="nil"/>
              <w:left w:val="nil"/>
              <w:right w:val="single" w:sz="4" w:space="0" w:color="auto"/>
            </w:tcBorders>
            <w:shd w:val="clear" w:color="auto" w:fill="auto"/>
            <w:noWrap/>
            <w:vAlign w:val="bottom"/>
            <w:hideMark/>
          </w:tcPr>
          <w:p w14:paraId="4E860DCC"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right w:val="nil"/>
            </w:tcBorders>
            <w:shd w:val="clear" w:color="auto" w:fill="auto"/>
            <w:noWrap/>
            <w:vAlign w:val="bottom"/>
          </w:tcPr>
          <w:p w14:paraId="07CC20F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(0.017)</w:t>
            </w:r>
          </w:p>
        </w:tc>
        <w:tc>
          <w:tcPr>
            <w:tcW w:w="1063" w:type="dxa"/>
            <w:tcBorders>
              <w:top w:val="nil"/>
              <w:left w:val="nil"/>
              <w:right w:val="nil"/>
            </w:tcBorders>
            <w:shd w:val="clear" w:color="auto" w:fill="auto"/>
            <w:noWrap/>
            <w:vAlign w:val="bottom"/>
          </w:tcPr>
          <w:p w14:paraId="3D19F6C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(0.034)</w:t>
            </w:r>
          </w:p>
        </w:tc>
        <w:tc>
          <w:tcPr>
            <w:tcW w:w="1063" w:type="dxa"/>
            <w:tcBorders>
              <w:top w:val="nil"/>
              <w:left w:val="nil"/>
              <w:right w:val="nil"/>
            </w:tcBorders>
            <w:shd w:val="clear" w:color="auto" w:fill="auto"/>
            <w:noWrap/>
            <w:vAlign w:val="bottom"/>
          </w:tcPr>
          <w:p w14:paraId="281E0A7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(0.018)</w:t>
            </w:r>
          </w:p>
        </w:tc>
        <w:tc>
          <w:tcPr>
            <w:tcW w:w="1063" w:type="dxa"/>
            <w:tcBorders>
              <w:top w:val="nil"/>
              <w:left w:val="nil"/>
              <w:right w:val="nil"/>
            </w:tcBorders>
            <w:shd w:val="clear" w:color="auto" w:fill="auto"/>
            <w:noWrap/>
            <w:vAlign w:val="bottom"/>
          </w:tcPr>
          <w:p w14:paraId="2384319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(0.019)</w:t>
            </w:r>
          </w:p>
        </w:tc>
        <w:tc>
          <w:tcPr>
            <w:tcW w:w="1063" w:type="dxa"/>
            <w:tcBorders>
              <w:top w:val="nil"/>
              <w:left w:val="nil"/>
              <w:right w:val="nil"/>
            </w:tcBorders>
            <w:shd w:val="clear" w:color="auto" w:fill="auto"/>
            <w:noWrap/>
            <w:vAlign w:val="bottom"/>
          </w:tcPr>
          <w:p w14:paraId="216FA78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(0.035)</w:t>
            </w:r>
          </w:p>
        </w:tc>
        <w:tc>
          <w:tcPr>
            <w:tcW w:w="1063" w:type="dxa"/>
            <w:tcBorders>
              <w:top w:val="nil"/>
              <w:left w:val="nil"/>
              <w:right w:val="nil"/>
            </w:tcBorders>
            <w:shd w:val="clear" w:color="auto" w:fill="auto"/>
            <w:noWrap/>
            <w:vAlign w:val="bottom"/>
          </w:tcPr>
          <w:p w14:paraId="537AC3E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(0.021)</w:t>
            </w:r>
          </w:p>
        </w:tc>
      </w:tr>
      <w:tr w:rsidR="00524160" w:rsidRPr="004A792A" w14:paraId="5D8F57B3" w14:textId="77777777" w:rsidTr="00260189">
        <w:tc>
          <w:tcPr>
            <w:tcW w:w="2694" w:type="dxa"/>
            <w:tcBorders>
              <w:top w:val="nil"/>
              <w:left w:val="nil"/>
              <w:bottom w:val="nil"/>
              <w:right w:val="single" w:sz="4" w:space="0" w:color="auto"/>
            </w:tcBorders>
            <w:shd w:val="clear" w:color="auto" w:fill="auto"/>
            <w:noWrap/>
            <w:vAlign w:val="bottom"/>
            <w:hideMark/>
          </w:tcPr>
          <w:p w14:paraId="5757656A"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Age squared (divided by 100)</w:t>
            </w:r>
          </w:p>
        </w:tc>
        <w:tc>
          <w:tcPr>
            <w:tcW w:w="1063" w:type="dxa"/>
            <w:tcBorders>
              <w:top w:val="nil"/>
              <w:left w:val="single" w:sz="4" w:space="0" w:color="auto"/>
              <w:bottom w:val="nil"/>
              <w:right w:val="nil"/>
            </w:tcBorders>
            <w:shd w:val="clear" w:color="auto" w:fill="auto"/>
            <w:noWrap/>
            <w:vAlign w:val="bottom"/>
          </w:tcPr>
          <w:p w14:paraId="4EDA75F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0.047**</w:t>
            </w:r>
          </w:p>
        </w:tc>
        <w:tc>
          <w:tcPr>
            <w:tcW w:w="1063" w:type="dxa"/>
            <w:tcBorders>
              <w:top w:val="nil"/>
              <w:left w:val="nil"/>
              <w:bottom w:val="nil"/>
              <w:right w:val="nil"/>
            </w:tcBorders>
            <w:shd w:val="clear" w:color="auto" w:fill="auto"/>
            <w:noWrap/>
            <w:vAlign w:val="bottom"/>
          </w:tcPr>
          <w:p w14:paraId="2DEC522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-0.003</w:t>
            </w:r>
          </w:p>
        </w:tc>
        <w:tc>
          <w:tcPr>
            <w:tcW w:w="1063" w:type="dxa"/>
            <w:tcBorders>
              <w:top w:val="nil"/>
              <w:left w:val="nil"/>
              <w:bottom w:val="nil"/>
              <w:right w:val="nil"/>
            </w:tcBorders>
            <w:shd w:val="clear" w:color="auto" w:fill="auto"/>
            <w:noWrap/>
            <w:vAlign w:val="bottom"/>
          </w:tcPr>
          <w:p w14:paraId="5E17AE2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0.083***</w:t>
            </w:r>
          </w:p>
        </w:tc>
        <w:tc>
          <w:tcPr>
            <w:tcW w:w="1063" w:type="dxa"/>
            <w:tcBorders>
              <w:top w:val="nil"/>
              <w:left w:val="nil"/>
              <w:bottom w:val="nil"/>
              <w:right w:val="nil"/>
            </w:tcBorders>
            <w:shd w:val="clear" w:color="auto" w:fill="auto"/>
            <w:noWrap/>
            <w:vAlign w:val="bottom"/>
          </w:tcPr>
          <w:p w14:paraId="4D81EDA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0.092***</w:t>
            </w:r>
          </w:p>
        </w:tc>
        <w:tc>
          <w:tcPr>
            <w:tcW w:w="1063" w:type="dxa"/>
            <w:tcBorders>
              <w:top w:val="nil"/>
              <w:left w:val="nil"/>
              <w:bottom w:val="nil"/>
              <w:right w:val="nil"/>
            </w:tcBorders>
            <w:shd w:val="clear" w:color="auto" w:fill="auto"/>
            <w:noWrap/>
            <w:vAlign w:val="bottom"/>
          </w:tcPr>
          <w:p w14:paraId="0C8722C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0.006</w:t>
            </w:r>
          </w:p>
        </w:tc>
        <w:tc>
          <w:tcPr>
            <w:tcW w:w="1063" w:type="dxa"/>
            <w:tcBorders>
              <w:top w:val="nil"/>
              <w:left w:val="nil"/>
              <w:bottom w:val="nil"/>
              <w:right w:val="nil"/>
            </w:tcBorders>
            <w:shd w:val="clear" w:color="auto" w:fill="auto"/>
            <w:noWrap/>
            <w:vAlign w:val="bottom"/>
          </w:tcPr>
          <w:p w14:paraId="374E9AA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0.149***</w:t>
            </w:r>
          </w:p>
        </w:tc>
      </w:tr>
      <w:tr w:rsidR="00524160" w:rsidRPr="004A792A" w14:paraId="4FFB95F9" w14:textId="77777777" w:rsidTr="00260189">
        <w:tc>
          <w:tcPr>
            <w:tcW w:w="2694" w:type="dxa"/>
            <w:tcBorders>
              <w:top w:val="nil"/>
              <w:left w:val="nil"/>
              <w:bottom w:val="single" w:sz="4" w:space="0" w:color="auto"/>
              <w:right w:val="single" w:sz="4" w:space="0" w:color="auto"/>
            </w:tcBorders>
            <w:shd w:val="clear" w:color="auto" w:fill="auto"/>
            <w:noWrap/>
            <w:vAlign w:val="bottom"/>
            <w:hideMark/>
          </w:tcPr>
          <w:p w14:paraId="5F244ADD"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single" w:sz="4" w:space="0" w:color="auto"/>
              <w:right w:val="nil"/>
            </w:tcBorders>
            <w:shd w:val="clear" w:color="auto" w:fill="auto"/>
            <w:noWrap/>
            <w:vAlign w:val="bottom"/>
          </w:tcPr>
          <w:p w14:paraId="0E58DC2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(0.020)</w:t>
            </w:r>
          </w:p>
        </w:tc>
        <w:tc>
          <w:tcPr>
            <w:tcW w:w="1063" w:type="dxa"/>
            <w:tcBorders>
              <w:top w:val="nil"/>
              <w:left w:val="nil"/>
              <w:bottom w:val="single" w:sz="4" w:space="0" w:color="auto"/>
              <w:right w:val="nil"/>
            </w:tcBorders>
            <w:shd w:val="clear" w:color="auto" w:fill="auto"/>
            <w:noWrap/>
            <w:vAlign w:val="bottom"/>
          </w:tcPr>
          <w:p w14:paraId="02026BC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(0.041)</w:t>
            </w:r>
          </w:p>
        </w:tc>
        <w:tc>
          <w:tcPr>
            <w:tcW w:w="1063" w:type="dxa"/>
            <w:tcBorders>
              <w:top w:val="nil"/>
              <w:left w:val="nil"/>
              <w:bottom w:val="single" w:sz="4" w:space="0" w:color="auto"/>
              <w:right w:val="nil"/>
            </w:tcBorders>
            <w:shd w:val="clear" w:color="auto" w:fill="auto"/>
            <w:noWrap/>
            <w:vAlign w:val="bottom"/>
          </w:tcPr>
          <w:p w14:paraId="31EE9B0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(0.022)</w:t>
            </w:r>
          </w:p>
        </w:tc>
        <w:tc>
          <w:tcPr>
            <w:tcW w:w="1063" w:type="dxa"/>
            <w:tcBorders>
              <w:top w:val="nil"/>
              <w:left w:val="nil"/>
              <w:bottom w:val="single" w:sz="4" w:space="0" w:color="auto"/>
              <w:right w:val="nil"/>
            </w:tcBorders>
            <w:shd w:val="clear" w:color="auto" w:fill="auto"/>
            <w:noWrap/>
            <w:vAlign w:val="bottom"/>
          </w:tcPr>
          <w:p w14:paraId="29BEF3B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(0.021)</w:t>
            </w:r>
          </w:p>
        </w:tc>
        <w:tc>
          <w:tcPr>
            <w:tcW w:w="1063" w:type="dxa"/>
            <w:tcBorders>
              <w:top w:val="nil"/>
              <w:left w:val="nil"/>
              <w:bottom w:val="single" w:sz="4" w:space="0" w:color="auto"/>
              <w:right w:val="nil"/>
            </w:tcBorders>
            <w:shd w:val="clear" w:color="auto" w:fill="auto"/>
            <w:noWrap/>
            <w:vAlign w:val="bottom"/>
          </w:tcPr>
          <w:p w14:paraId="1D9810C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(0.042)</w:t>
            </w:r>
          </w:p>
        </w:tc>
        <w:tc>
          <w:tcPr>
            <w:tcW w:w="1063" w:type="dxa"/>
            <w:tcBorders>
              <w:top w:val="nil"/>
              <w:left w:val="nil"/>
              <w:bottom w:val="single" w:sz="4" w:space="0" w:color="auto"/>
              <w:right w:val="nil"/>
            </w:tcBorders>
            <w:shd w:val="clear" w:color="auto" w:fill="auto"/>
            <w:noWrap/>
            <w:vAlign w:val="bottom"/>
          </w:tcPr>
          <w:p w14:paraId="6DC8EB6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(0.023)</w:t>
            </w:r>
          </w:p>
        </w:tc>
      </w:tr>
      <w:tr w:rsidR="00524160" w:rsidRPr="004A792A" w14:paraId="13A03278" w14:textId="77777777" w:rsidTr="00260189">
        <w:tc>
          <w:tcPr>
            <w:tcW w:w="2694" w:type="dxa"/>
            <w:tcBorders>
              <w:top w:val="single" w:sz="4" w:space="0" w:color="auto"/>
              <w:left w:val="nil"/>
              <w:bottom w:val="nil"/>
              <w:right w:val="single" w:sz="4" w:space="0" w:color="auto"/>
            </w:tcBorders>
            <w:shd w:val="clear" w:color="auto" w:fill="auto"/>
            <w:noWrap/>
            <w:vAlign w:val="bottom"/>
            <w:hideMark/>
          </w:tcPr>
          <w:p w14:paraId="01B55D48"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Married</w:t>
            </w:r>
          </w:p>
        </w:tc>
        <w:tc>
          <w:tcPr>
            <w:tcW w:w="1063" w:type="dxa"/>
            <w:tcBorders>
              <w:top w:val="single" w:sz="4" w:space="0" w:color="auto"/>
              <w:left w:val="single" w:sz="4" w:space="0" w:color="auto"/>
              <w:bottom w:val="nil"/>
              <w:right w:val="nil"/>
            </w:tcBorders>
            <w:shd w:val="clear" w:color="auto" w:fill="auto"/>
            <w:noWrap/>
            <w:vAlign w:val="bottom"/>
          </w:tcPr>
          <w:p w14:paraId="25C8553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-0.003</w:t>
            </w:r>
          </w:p>
        </w:tc>
        <w:tc>
          <w:tcPr>
            <w:tcW w:w="1063" w:type="dxa"/>
            <w:tcBorders>
              <w:top w:val="single" w:sz="4" w:space="0" w:color="auto"/>
              <w:left w:val="nil"/>
              <w:bottom w:val="nil"/>
              <w:right w:val="nil"/>
            </w:tcBorders>
            <w:shd w:val="clear" w:color="auto" w:fill="auto"/>
            <w:noWrap/>
            <w:vAlign w:val="bottom"/>
          </w:tcPr>
          <w:p w14:paraId="117B0D4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-0.138</w:t>
            </w:r>
          </w:p>
        </w:tc>
        <w:tc>
          <w:tcPr>
            <w:tcW w:w="1063" w:type="dxa"/>
            <w:tcBorders>
              <w:top w:val="single" w:sz="4" w:space="0" w:color="auto"/>
              <w:left w:val="nil"/>
              <w:bottom w:val="nil"/>
              <w:right w:val="nil"/>
            </w:tcBorders>
            <w:shd w:val="clear" w:color="auto" w:fill="auto"/>
            <w:noWrap/>
            <w:vAlign w:val="bottom"/>
          </w:tcPr>
          <w:p w14:paraId="38BA5BC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0.221</w:t>
            </w:r>
          </w:p>
        </w:tc>
        <w:tc>
          <w:tcPr>
            <w:tcW w:w="1063" w:type="dxa"/>
            <w:tcBorders>
              <w:top w:val="single" w:sz="4" w:space="0" w:color="auto"/>
              <w:left w:val="nil"/>
              <w:bottom w:val="nil"/>
              <w:right w:val="nil"/>
            </w:tcBorders>
            <w:shd w:val="clear" w:color="auto" w:fill="auto"/>
            <w:noWrap/>
            <w:vAlign w:val="bottom"/>
          </w:tcPr>
          <w:p w14:paraId="605EBC9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-0.217</w:t>
            </w:r>
          </w:p>
        </w:tc>
        <w:tc>
          <w:tcPr>
            <w:tcW w:w="1063" w:type="dxa"/>
            <w:tcBorders>
              <w:top w:val="single" w:sz="4" w:space="0" w:color="auto"/>
              <w:left w:val="nil"/>
              <w:bottom w:val="nil"/>
              <w:right w:val="nil"/>
            </w:tcBorders>
            <w:shd w:val="clear" w:color="auto" w:fill="auto"/>
            <w:noWrap/>
            <w:vAlign w:val="bottom"/>
          </w:tcPr>
          <w:p w14:paraId="2D76305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-0.464***</w:t>
            </w:r>
          </w:p>
        </w:tc>
        <w:tc>
          <w:tcPr>
            <w:tcW w:w="1063" w:type="dxa"/>
            <w:tcBorders>
              <w:top w:val="single" w:sz="4" w:space="0" w:color="auto"/>
              <w:left w:val="nil"/>
              <w:bottom w:val="nil"/>
              <w:right w:val="nil"/>
            </w:tcBorders>
            <w:shd w:val="clear" w:color="auto" w:fill="auto"/>
            <w:noWrap/>
            <w:vAlign w:val="bottom"/>
          </w:tcPr>
          <w:p w14:paraId="2A2975F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0.150</w:t>
            </w:r>
          </w:p>
        </w:tc>
      </w:tr>
      <w:tr w:rsidR="00524160" w:rsidRPr="004A792A" w14:paraId="6D4189EE" w14:textId="77777777" w:rsidTr="00260189">
        <w:tc>
          <w:tcPr>
            <w:tcW w:w="2694" w:type="dxa"/>
            <w:tcBorders>
              <w:top w:val="nil"/>
              <w:left w:val="nil"/>
              <w:bottom w:val="nil"/>
              <w:right w:val="single" w:sz="4" w:space="0" w:color="auto"/>
            </w:tcBorders>
            <w:shd w:val="clear" w:color="auto" w:fill="auto"/>
            <w:noWrap/>
            <w:vAlign w:val="bottom"/>
            <w:hideMark/>
          </w:tcPr>
          <w:p w14:paraId="03BCEAFB"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018F5A4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(0.127)</w:t>
            </w:r>
          </w:p>
        </w:tc>
        <w:tc>
          <w:tcPr>
            <w:tcW w:w="1063" w:type="dxa"/>
            <w:tcBorders>
              <w:top w:val="nil"/>
              <w:left w:val="nil"/>
              <w:bottom w:val="nil"/>
              <w:right w:val="nil"/>
            </w:tcBorders>
            <w:shd w:val="clear" w:color="auto" w:fill="auto"/>
            <w:noWrap/>
            <w:vAlign w:val="bottom"/>
          </w:tcPr>
          <w:p w14:paraId="738821D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(0.167)</w:t>
            </w:r>
          </w:p>
        </w:tc>
        <w:tc>
          <w:tcPr>
            <w:tcW w:w="1063" w:type="dxa"/>
            <w:tcBorders>
              <w:top w:val="nil"/>
              <w:left w:val="nil"/>
              <w:bottom w:val="nil"/>
              <w:right w:val="nil"/>
            </w:tcBorders>
            <w:shd w:val="clear" w:color="auto" w:fill="auto"/>
            <w:noWrap/>
            <w:vAlign w:val="bottom"/>
          </w:tcPr>
          <w:p w14:paraId="4888696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(0.147)</w:t>
            </w:r>
          </w:p>
        </w:tc>
        <w:tc>
          <w:tcPr>
            <w:tcW w:w="1063" w:type="dxa"/>
            <w:tcBorders>
              <w:top w:val="nil"/>
              <w:left w:val="nil"/>
              <w:bottom w:val="nil"/>
              <w:right w:val="nil"/>
            </w:tcBorders>
            <w:shd w:val="clear" w:color="auto" w:fill="auto"/>
            <w:noWrap/>
            <w:vAlign w:val="bottom"/>
          </w:tcPr>
          <w:p w14:paraId="3440E13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(0.137)</w:t>
            </w:r>
          </w:p>
        </w:tc>
        <w:tc>
          <w:tcPr>
            <w:tcW w:w="1063" w:type="dxa"/>
            <w:tcBorders>
              <w:top w:val="nil"/>
              <w:left w:val="nil"/>
              <w:bottom w:val="nil"/>
              <w:right w:val="nil"/>
            </w:tcBorders>
            <w:shd w:val="clear" w:color="auto" w:fill="auto"/>
            <w:noWrap/>
            <w:vAlign w:val="bottom"/>
          </w:tcPr>
          <w:p w14:paraId="380C254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(0.167)</w:t>
            </w:r>
          </w:p>
        </w:tc>
        <w:tc>
          <w:tcPr>
            <w:tcW w:w="1063" w:type="dxa"/>
            <w:tcBorders>
              <w:top w:val="nil"/>
              <w:left w:val="nil"/>
              <w:bottom w:val="nil"/>
              <w:right w:val="nil"/>
            </w:tcBorders>
            <w:shd w:val="clear" w:color="auto" w:fill="auto"/>
            <w:noWrap/>
            <w:vAlign w:val="bottom"/>
          </w:tcPr>
          <w:p w14:paraId="44FE5CF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(0.163)</w:t>
            </w:r>
          </w:p>
        </w:tc>
      </w:tr>
      <w:tr w:rsidR="00524160" w:rsidRPr="004A792A" w14:paraId="134AC177" w14:textId="77777777" w:rsidTr="00260189">
        <w:tc>
          <w:tcPr>
            <w:tcW w:w="2694" w:type="dxa"/>
            <w:tcBorders>
              <w:top w:val="nil"/>
              <w:left w:val="nil"/>
              <w:bottom w:val="nil"/>
              <w:right w:val="single" w:sz="4" w:space="0" w:color="auto"/>
            </w:tcBorders>
            <w:shd w:val="clear" w:color="auto" w:fill="auto"/>
            <w:noWrap/>
            <w:vAlign w:val="bottom"/>
            <w:hideMark/>
          </w:tcPr>
          <w:p w14:paraId="065568A0"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Widowed</w:t>
            </w:r>
          </w:p>
        </w:tc>
        <w:tc>
          <w:tcPr>
            <w:tcW w:w="1063" w:type="dxa"/>
            <w:tcBorders>
              <w:top w:val="nil"/>
              <w:left w:val="single" w:sz="4" w:space="0" w:color="auto"/>
              <w:bottom w:val="nil"/>
              <w:right w:val="nil"/>
            </w:tcBorders>
            <w:shd w:val="clear" w:color="auto" w:fill="auto"/>
            <w:noWrap/>
            <w:vAlign w:val="bottom"/>
          </w:tcPr>
          <w:p w14:paraId="159B6AA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0.258</w:t>
            </w:r>
          </w:p>
        </w:tc>
        <w:tc>
          <w:tcPr>
            <w:tcW w:w="1063" w:type="dxa"/>
            <w:tcBorders>
              <w:top w:val="nil"/>
              <w:left w:val="nil"/>
              <w:bottom w:val="nil"/>
              <w:right w:val="nil"/>
            </w:tcBorders>
            <w:shd w:val="clear" w:color="auto" w:fill="auto"/>
            <w:noWrap/>
            <w:vAlign w:val="bottom"/>
          </w:tcPr>
          <w:p w14:paraId="0657B98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0.179</w:t>
            </w:r>
          </w:p>
        </w:tc>
        <w:tc>
          <w:tcPr>
            <w:tcW w:w="1063" w:type="dxa"/>
            <w:tcBorders>
              <w:top w:val="nil"/>
              <w:left w:val="nil"/>
              <w:bottom w:val="nil"/>
              <w:right w:val="nil"/>
            </w:tcBorders>
            <w:shd w:val="clear" w:color="auto" w:fill="auto"/>
            <w:noWrap/>
            <w:vAlign w:val="bottom"/>
          </w:tcPr>
          <w:p w14:paraId="6E7430C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0.476***</w:t>
            </w:r>
          </w:p>
        </w:tc>
        <w:tc>
          <w:tcPr>
            <w:tcW w:w="1063" w:type="dxa"/>
            <w:tcBorders>
              <w:top w:val="nil"/>
              <w:left w:val="nil"/>
              <w:bottom w:val="nil"/>
              <w:right w:val="nil"/>
            </w:tcBorders>
            <w:shd w:val="clear" w:color="auto" w:fill="auto"/>
            <w:noWrap/>
            <w:vAlign w:val="bottom"/>
          </w:tcPr>
          <w:p w14:paraId="7A7F1A0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-0.129</w:t>
            </w:r>
          </w:p>
        </w:tc>
        <w:tc>
          <w:tcPr>
            <w:tcW w:w="1063" w:type="dxa"/>
            <w:tcBorders>
              <w:top w:val="nil"/>
              <w:left w:val="nil"/>
              <w:bottom w:val="nil"/>
              <w:right w:val="nil"/>
            </w:tcBorders>
            <w:shd w:val="clear" w:color="auto" w:fill="auto"/>
            <w:noWrap/>
            <w:vAlign w:val="bottom"/>
          </w:tcPr>
          <w:p w14:paraId="791573B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-0.284</w:t>
            </w:r>
          </w:p>
        </w:tc>
        <w:tc>
          <w:tcPr>
            <w:tcW w:w="1063" w:type="dxa"/>
            <w:tcBorders>
              <w:top w:val="nil"/>
              <w:left w:val="nil"/>
              <w:bottom w:val="nil"/>
              <w:right w:val="nil"/>
            </w:tcBorders>
            <w:shd w:val="clear" w:color="auto" w:fill="auto"/>
            <w:noWrap/>
            <w:vAlign w:val="bottom"/>
          </w:tcPr>
          <w:p w14:paraId="4704840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0.211</w:t>
            </w:r>
          </w:p>
        </w:tc>
      </w:tr>
      <w:tr w:rsidR="00524160" w:rsidRPr="004A792A" w14:paraId="28F5046F" w14:textId="77777777" w:rsidTr="00260189">
        <w:tc>
          <w:tcPr>
            <w:tcW w:w="2694" w:type="dxa"/>
            <w:tcBorders>
              <w:top w:val="nil"/>
              <w:left w:val="nil"/>
              <w:bottom w:val="nil"/>
              <w:right w:val="single" w:sz="4" w:space="0" w:color="auto"/>
            </w:tcBorders>
            <w:shd w:val="clear" w:color="auto" w:fill="auto"/>
            <w:noWrap/>
            <w:vAlign w:val="bottom"/>
            <w:hideMark/>
          </w:tcPr>
          <w:p w14:paraId="35ECA46F"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526D04A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(0.160)</w:t>
            </w:r>
          </w:p>
        </w:tc>
        <w:tc>
          <w:tcPr>
            <w:tcW w:w="1063" w:type="dxa"/>
            <w:tcBorders>
              <w:top w:val="nil"/>
              <w:left w:val="nil"/>
              <w:bottom w:val="nil"/>
              <w:right w:val="nil"/>
            </w:tcBorders>
            <w:shd w:val="clear" w:color="auto" w:fill="auto"/>
            <w:noWrap/>
            <w:vAlign w:val="bottom"/>
          </w:tcPr>
          <w:p w14:paraId="3B5740D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(0.251)</w:t>
            </w:r>
          </w:p>
        </w:tc>
        <w:tc>
          <w:tcPr>
            <w:tcW w:w="1063" w:type="dxa"/>
            <w:tcBorders>
              <w:top w:val="nil"/>
              <w:left w:val="nil"/>
              <w:bottom w:val="nil"/>
              <w:right w:val="nil"/>
            </w:tcBorders>
            <w:shd w:val="clear" w:color="auto" w:fill="auto"/>
            <w:noWrap/>
            <w:vAlign w:val="bottom"/>
          </w:tcPr>
          <w:p w14:paraId="1D5F8CB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(0.175)</w:t>
            </w:r>
          </w:p>
        </w:tc>
        <w:tc>
          <w:tcPr>
            <w:tcW w:w="1063" w:type="dxa"/>
            <w:tcBorders>
              <w:top w:val="nil"/>
              <w:left w:val="nil"/>
              <w:bottom w:val="nil"/>
              <w:right w:val="nil"/>
            </w:tcBorders>
            <w:shd w:val="clear" w:color="auto" w:fill="auto"/>
            <w:noWrap/>
            <w:vAlign w:val="bottom"/>
          </w:tcPr>
          <w:p w14:paraId="75A51D3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(0.166)</w:t>
            </w:r>
          </w:p>
        </w:tc>
        <w:tc>
          <w:tcPr>
            <w:tcW w:w="1063" w:type="dxa"/>
            <w:tcBorders>
              <w:top w:val="nil"/>
              <w:left w:val="nil"/>
              <w:bottom w:val="nil"/>
              <w:right w:val="nil"/>
            </w:tcBorders>
            <w:shd w:val="clear" w:color="auto" w:fill="auto"/>
            <w:noWrap/>
            <w:vAlign w:val="bottom"/>
          </w:tcPr>
          <w:p w14:paraId="5A5DD82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(0.240)</w:t>
            </w:r>
          </w:p>
        </w:tc>
        <w:tc>
          <w:tcPr>
            <w:tcW w:w="1063" w:type="dxa"/>
            <w:tcBorders>
              <w:top w:val="nil"/>
              <w:left w:val="nil"/>
              <w:bottom w:val="nil"/>
              <w:right w:val="nil"/>
            </w:tcBorders>
            <w:shd w:val="clear" w:color="auto" w:fill="auto"/>
            <w:noWrap/>
            <w:vAlign w:val="bottom"/>
          </w:tcPr>
          <w:p w14:paraId="5D3A845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(0.199)</w:t>
            </w:r>
          </w:p>
        </w:tc>
      </w:tr>
      <w:tr w:rsidR="00524160" w:rsidRPr="004A792A" w14:paraId="6B814CFF" w14:textId="77777777" w:rsidTr="00260189">
        <w:tc>
          <w:tcPr>
            <w:tcW w:w="2694" w:type="dxa"/>
            <w:tcBorders>
              <w:top w:val="nil"/>
              <w:left w:val="nil"/>
              <w:bottom w:val="nil"/>
              <w:right w:val="single" w:sz="4" w:space="0" w:color="auto"/>
            </w:tcBorders>
            <w:shd w:val="clear" w:color="auto" w:fill="auto"/>
            <w:noWrap/>
            <w:vAlign w:val="bottom"/>
            <w:hideMark/>
          </w:tcPr>
          <w:p w14:paraId="5AB7DA95"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Divorced</w:t>
            </w:r>
          </w:p>
        </w:tc>
        <w:tc>
          <w:tcPr>
            <w:tcW w:w="1063" w:type="dxa"/>
            <w:tcBorders>
              <w:top w:val="nil"/>
              <w:left w:val="single" w:sz="4" w:space="0" w:color="auto"/>
              <w:bottom w:val="nil"/>
              <w:right w:val="nil"/>
            </w:tcBorders>
            <w:shd w:val="clear" w:color="auto" w:fill="auto"/>
            <w:noWrap/>
            <w:vAlign w:val="bottom"/>
          </w:tcPr>
          <w:p w14:paraId="5A49722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0.063</w:t>
            </w:r>
          </w:p>
        </w:tc>
        <w:tc>
          <w:tcPr>
            <w:tcW w:w="1063" w:type="dxa"/>
            <w:tcBorders>
              <w:top w:val="nil"/>
              <w:left w:val="nil"/>
              <w:bottom w:val="nil"/>
              <w:right w:val="nil"/>
            </w:tcBorders>
            <w:shd w:val="clear" w:color="auto" w:fill="auto"/>
            <w:noWrap/>
            <w:vAlign w:val="bottom"/>
          </w:tcPr>
          <w:p w14:paraId="4EADFF5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-0.208</w:t>
            </w:r>
          </w:p>
        </w:tc>
        <w:tc>
          <w:tcPr>
            <w:tcW w:w="1063" w:type="dxa"/>
            <w:tcBorders>
              <w:top w:val="nil"/>
              <w:left w:val="nil"/>
              <w:bottom w:val="nil"/>
              <w:right w:val="nil"/>
            </w:tcBorders>
            <w:shd w:val="clear" w:color="auto" w:fill="auto"/>
            <w:noWrap/>
            <w:vAlign w:val="bottom"/>
          </w:tcPr>
          <w:p w14:paraId="0429820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0.462***</w:t>
            </w:r>
          </w:p>
        </w:tc>
        <w:tc>
          <w:tcPr>
            <w:tcW w:w="1063" w:type="dxa"/>
            <w:tcBorders>
              <w:top w:val="nil"/>
              <w:left w:val="nil"/>
              <w:bottom w:val="nil"/>
              <w:right w:val="nil"/>
            </w:tcBorders>
            <w:shd w:val="clear" w:color="auto" w:fill="auto"/>
            <w:noWrap/>
            <w:vAlign w:val="bottom"/>
          </w:tcPr>
          <w:p w14:paraId="476DFCB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-0.193</w:t>
            </w:r>
          </w:p>
        </w:tc>
        <w:tc>
          <w:tcPr>
            <w:tcW w:w="1063" w:type="dxa"/>
            <w:tcBorders>
              <w:top w:val="nil"/>
              <w:left w:val="nil"/>
              <w:bottom w:val="nil"/>
              <w:right w:val="nil"/>
            </w:tcBorders>
            <w:shd w:val="clear" w:color="auto" w:fill="auto"/>
            <w:noWrap/>
            <w:vAlign w:val="bottom"/>
          </w:tcPr>
          <w:p w14:paraId="6184DED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-0.491**</w:t>
            </w:r>
          </w:p>
        </w:tc>
        <w:tc>
          <w:tcPr>
            <w:tcW w:w="1063" w:type="dxa"/>
            <w:tcBorders>
              <w:top w:val="nil"/>
              <w:left w:val="nil"/>
              <w:bottom w:val="nil"/>
              <w:right w:val="nil"/>
            </w:tcBorders>
            <w:shd w:val="clear" w:color="auto" w:fill="auto"/>
            <w:noWrap/>
            <w:vAlign w:val="bottom"/>
          </w:tcPr>
          <w:p w14:paraId="41656FD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0.258</w:t>
            </w:r>
          </w:p>
        </w:tc>
      </w:tr>
      <w:tr w:rsidR="00524160" w:rsidRPr="004A792A" w14:paraId="7C0534A5" w14:textId="77777777" w:rsidTr="00260189">
        <w:tc>
          <w:tcPr>
            <w:tcW w:w="2694" w:type="dxa"/>
            <w:tcBorders>
              <w:top w:val="nil"/>
              <w:left w:val="nil"/>
              <w:right w:val="single" w:sz="4" w:space="0" w:color="auto"/>
            </w:tcBorders>
            <w:shd w:val="clear" w:color="auto" w:fill="auto"/>
            <w:noWrap/>
            <w:vAlign w:val="bottom"/>
            <w:hideMark/>
          </w:tcPr>
          <w:p w14:paraId="5A73B910"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right w:val="nil"/>
            </w:tcBorders>
            <w:shd w:val="clear" w:color="auto" w:fill="auto"/>
            <w:noWrap/>
            <w:vAlign w:val="bottom"/>
          </w:tcPr>
          <w:p w14:paraId="248F805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(0.154)</w:t>
            </w:r>
          </w:p>
        </w:tc>
        <w:tc>
          <w:tcPr>
            <w:tcW w:w="1063" w:type="dxa"/>
            <w:tcBorders>
              <w:top w:val="nil"/>
              <w:left w:val="nil"/>
              <w:right w:val="nil"/>
            </w:tcBorders>
            <w:shd w:val="clear" w:color="auto" w:fill="auto"/>
            <w:noWrap/>
            <w:vAlign w:val="bottom"/>
          </w:tcPr>
          <w:p w14:paraId="303B682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(0.214)</w:t>
            </w:r>
          </w:p>
        </w:tc>
        <w:tc>
          <w:tcPr>
            <w:tcW w:w="1063" w:type="dxa"/>
            <w:tcBorders>
              <w:top w:val="nil"/>
              <w:left w:val="nil"/>
              <w:right w:val="nil"/>
            </w:tcBorders>
            <w:shd w:val="clear" w:color="auto" w:fill="auto"/>
            <w:noWrap/>
            <w:vAlign w:val="bottom"/>
          </w:tcPr>
          <w:p w14:paraId="7217F5F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(0.173)</w:t>
            </w:r>
          </w:p>
        </w:tc>
        <w:tc>
          <w:tcPr>
            <w:tcW w:w="1063" w:type="dxa"/>
            <w:tcBorders>
              <w:top w:val="nil"/>
              <w:left w:val="nil"/>
              <w:right w:val="nil"/>
            </w:tcBorders>
            <w:shd w:val="clear" w:color="auto" w:fill="auto"/>
            <w:noWrap/>
            <w:vAlign w:val="bottom"/>
          </w:tcPr>
          <w:p w14:paraId="1C42DA7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(0.161)</w:t>
            </w:r>
          </w:p>
        </w:tc>
        <w:tc>
          <w:tcPr>
            <w:tcW w:w="1063" w:type="dxa"/>
            <w:tcBorders>
              <w:top w:val="nil"/>
              <w:left w:val="nil"/>
              <w:right w:val="nil"/>
            </w:tcBorders>
            <w:shd w:val="clear" w:color="auto" w:fill="auto"/>
            <w:noWrap/>
            <w:vAlign w:val="bottom"/>
          </w:tcPr>
          <w:p w14:paraId="4BC4F99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(0.215)</w:t>
            </w:r>
          </w:p>
        </w:tc>
        <w:tc>
          <w:tcPr>
            <w:tcW w:w="1063" w:type="dxa"/>
            <w:tcBorders>
              <w:top w:val="nil"/>
              <w:left w:val="nil"/>
              <w:right w:val="nil"/>
            </w:tcBorders>
            <w:shd w:val="clear" w:color="auto" w:fill="auto"/>
            <w:noWrap/>
            <w:vAlign w:val="bottom"/>
          </w:tcPr>
          <w:p w14:paraId="5EA85D0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(0.198)</w:t>
            </w:r>
          </w:p>
        </w:tc>
      </w:tr>
      <w:tr w:rsidR="00524160" w:rsidRPr="004A792A" w14:paraId="76AAAB1E" w14:textId="77777777" w:rsidTr="00260189">
        <w:tc>
          <w:tcPr>
            <w:tcW w:w="2694" w:type="dxa"/>
            <w:tcBorders>
              <w:top w:val="nil"/>
              <w:left w:val="nil"/>
              <w:bottom w:val="nil"/>
              <w:right w:val="single" w:sz="4" w:space="0" w:color="auto"/>
            </w:tcBorders>
            <w:shd w:val="clear" w:color="auto" w:fill="auto"/>
            <w:noWrap/>
            <w:vAlign w:val="bottom"/>
            <w:hideMark/>
          </w:tcPr>
          <w:p w14:paraId="6EC1A81B"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Cohabitating</w:t>
            </w:r>
          </w:p>
        </w:tc>
        <w:tc>
          <w:tcPr>
            <w:tcW w:w="1063" w:type="dxa"/>
            <w:tcBorders>
              <w:top w:val="nil"/>
              <w:left w:val="single" w:sz="4" w:space="0" w:color="auto"/>
              <w:bottom w:val="nil"/>
              <w:right w:val="nil"/>
            </w:tcBorders>
            <w:shd w:val="clear" w:color="auto" w:fill="auto"/>
            <w:noWrap/>
            <w:vAlign w:val="bottom"/>
          </w:tcPr>
          <w:p w14:paraId="165B11E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0.120</w:t>
            </w:r>
          </w:p>
        </w:tc>
        <w:tc>
          <w:tcPr>
            <w:tcW w:w="1063" w:type="dxa"/>
            <w:tcBorders>
              <w:top w:val="nil"/>
              <w:left w:val="nil"/>
              <w:bottom w:val="nil"/>
              <w:right w:val="nil"/>
            </w:tcBorders>
            <w:shd w:val="clear" w:color="auto" w:fill="auto"/>
            <w:noWrap/>
            <w:vAlign w:val="bottom"/>
          </w:tcPr>
          <w:p w14:paraId="3ECB0C7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0.013</w:t>
            </w:r>
          </w:p>
        </w:tc>
        <w:tc>
          <w:tcPr>
            <w:tcW w:w="1063" w:type="dxa"/>
            <w:tcBorders>
              <w:top w:val="nil"/>
              <w:left w:val="nil"/>
              <w:bottom w:val="nil"/>
              <w:right w:val="nil"/>
            </w:tcBorders>
            <w:shd w:val="clear" w:color="auto" w:fill="auto"/>
            <w:noWrap/>
            <w:vAlign w:val="bottom"/>
          </w:tcPr>
          <w:p w14:paraId="0EA9C52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0.341*</w:t>
            </w:r>
          </w:p>
        </w:tc>
        <w:tc>
          <w:tcPr>
            <w:tcW w:w="1063" w:type="dxa"/>
            <w:tcBorders>
              <w:top w:val="nil"/>
              <w:left w:val="nil"/>
              <w:bottom w:val="nil"/>
              <w:right w:val="nil"/>
            </w:tcBorders>
            <w:shd w:val="clear" w:color="auto" w:fill="auto"/>
            <w:noWrap/>
            <w:vAlign w:val="bottom"/>
          </w:tcPr>
          <w:p w14:paraId="21FD9BE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0.070</w:t>
            </w:r>
          </w:p>
        </w:tc>
        <w:tc>
          <w:tcPr>
            <w:tcW w:w="1063" w:type="dxa"/>
            <w:tcBorders>
              <w:top w:val="nil"/>
              <w:left w:val="nil"/>
              <w:bottom w:val="nil"/>
              <w:right w:val="nil"/>
            </w:tcBorders>
            <w:shd w:val="clear" w:color="auto" w:fill="auto"/>
            <w:noWrap/>
            <w:vAlign w:val="bottom"/>
          </w:tcPr>
          <w:p w14:paraId="19519C0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-0.074</w:t>
            </w:r>
          </w:p>
        </w:tc>
        <w:tc>
          <w:tcPr>
            <w:tcW w:w="1063" w:type="dxa"/>
            <w:tcBorders>
              <w:top w:val="nil"/>
              <w:left w:val="nil"/>
              <w:bottom w:val="nil"/>
              <w:right w:val="nil"/>
            </w:tcBorders>
            <w:shd w:val="clear" w:color="auto" w:fill="auto"/>
            <w:noWrap/>
            <w:vAlign w:val="bottom"/>
          </w:tcPr>
          <w:p w14:paraId="6ADB35C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0.319*</w:t>
            </w:r>
          </w:p>
        </w:tc>
      </w:tr>
      <w:tr w:rsidR="00524160" w:rsidRPr="004A792A" w14:paraId="0FF4BCDF" w14:textId="77777777" w:rsidTr="00260189">
        <w:tc>
          <w:tcPr>
            <w:tcW w:w="2694" w:type="dxa"/>
            <w:tcBorders>
              <w:top w:val="nil"/>
              <w:left w:val="nil"/>
              <w:bottom w:val="single" w:sz="4" w:space="0" w:color="auto"/>
              <w:right w:val="single" w:sz="4" w:space="0" w:color="auto"/>
            </w:tcBorders>
            <w:shd w:val="clear" w:color="auto" w:fill="auto"/>
            <w:noWrap/>
            <w:vAlign w:val="bottom"/>
            <w:hideMark/>
          </w:tcPr>
          <w:p w14:paraId="0C73951D"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single" w:sz="4" w:space="0" w:color="auto"/>
              <w:right w:val="nil"/>
            </w:tcBorders>
            <w:shd w:val="clear" w:color="auto" w:fill="auto"/>
            <w:noWrap/>
            <w:vAlign w:val="bottom"/>
          </w:tcPr>
          <w:p w14:paraId="492C2CB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(0.179)</w:t>
            </w:r>
          </w:p>
        </w:tc>
        <w:tc>
          <w:tcPr>
            <w:tcW w:w="1063" w:type="dxa"/>
            <w:tcBorders>
              <w:top w:val="nil"/>
              <w:left w:val="nil"/>
              <w:bottom w:val="single" w:sz="4" w:space="0" w:color="auto"/>
              <w:right w:val="nil"/>
            </w:tcBorders>
            <w:shd w:val="clear" w:color="auto" w:fill="auto"/>
            <w:noWrap/>
            <w:vAlign w:val="bottom"/>
          </w:tcPr>
          <w:p w14:paraId="3EBC1E4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(0.282)</w:t>
            </w:r>
          </w:p>
        </w:tc>
        <w:tc>
          <w:tcPr>
            <w:tcW w:w="1063" w:type="dxa"/>
            <w:tcBorders>
              <w:top w:val="nil"/>
              <w:left w:val="nil"/>
              <w:bottom w:val="single" w:sz="4" w:space="0" w:color="auto"/>
              <w:right w:val="nil"/>
            </w:tcBorders>
            <w:shd w:val="clear" w:color="auto" w:fill="auto"/>
            <w:noWrap/>
            <w:vAlign w:val="bottom"/>
          </w:tcPr>
          <w:p w14:paraId="51E273A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(0.204)</w:t>
            </w:r>
          </w:p>
        </w:tc>
        <w:tc>
          <w:tcPr>
            <w:tcW w:w="1063" w:type="dxa"/>
            <w:tcBorders>
              <w:top w:val="nil"/>
              <w:left w:val="nil"/>
              <w:bottom w:val="single" w:sz="4" w:space="0" w:color="auto"/>
              <w:right w:val="nil"/>
            </w:tcBorders>
            <w:shd w:val="clear" w:color="auto" w:fill="auto"/>
            <w:noWrap/>
            <w:vAlign w:val="bottom"/>
          </w:tcPr>
          <w:p w14:paraId="777C33D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(0.192)</w:t>
            </w:r>
          </w:p>
        </w:tc>
        <w:tc>
          <w:tcPr>
            <w:tcW w:w="1063" w:type="dxa"/>
            <w:tcBorders>
              <w:top w:val="nil"/>
              <w:left w:val="nil"/>
              <w:bottom w:val="single" w:sz="4" w:space="0" w:color="auto"/>
              <w:right w:val="nil"/>
            </w:tcBorders>
            <w:shd w:val="clear" w:color="auto" w:fill="auto"/>
            <w:noWrap/>
            <w:vAlign w:val="bottom"/>
          </w:tcPr>
          <w:p w14:paraId="72DDE5A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(0.316)</w:t>
            </w:r>
          </w:p>
        </w:tc>
        <w:tc>
          <w:tcPr>
            <w:tcW w:w="1063" w:type="dxa"/>
            <w:tcBorders>
              <w:top w:val="nil"/>
              <w:left w:val="nil"/>
              <w:bottom w:val="single" w:sz="4" w:space="0" w:color="auto"/>
              <w:right w:val="nil"/>
            </w:tcBorders>
            <w:shd w:val="clear" w:color="auto" w:fill="auto"/>
            <w:noWrap/>
            <w:vAlign w:val="bottom"/>
          </w:tcPr>
          <w:p w14:paraId="45C0C93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(0.189)</w:t>
            </w:r>
          </w:p>
        </w:tc>
      </w:tr>
      <w:tr w:rsidR="00524160" w:rsidRPr="004A792A" w14:paraId="2C4DC4DC" w14:textId="77777777" w:rsidTr="00260189">
        <w:tc>
          <w:tcPr>
            <w:tcW w:w="2694" w:type="dxa"/>
            <w:tcBorders>
              <w:top w:val="single" w:sz="4" w:space="0" w:color="auto"/>
              <w:left w:val="nil"/>
              <w:bottom w:val="nil"/>
              <w:right w:val="single" w:sz="4" w:space="0" w:color="auto"/>
            </w:tcBorders>
            <w:shd w:val="clear" w:color="auto" w:fill="auto"/>
            <w:noWrap/>
            <w:vAlign w:val="bottom"/>
            <w:hideMark/>
          </w:tcPr>
          <w:p w14:paraId="3AFE61B9"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 xml:space="preserve">Upper secondary general </w:t>
            </w:r>
          </w:p>
        </w:tc>
        <w:tc>
          <w:tcPr>
            <w:tcW w:w="1063" w:type="dxa"/>
            <w:tcBorders>
              <w:top w:val="single" w:sz="4" w:space="0" w:color="auto"/>
              <w:left w:val="single" w:sz="4" w:space="0" w:color="auto"/>
              <w:bottom w:val="nil"/>
              <w:right w:val="nil"/>
            </w:tcBorders>
            <w:shd w:val="clear" w:color="auto" w:fill="auto"/>
            <w:noWrap/>
            <w:vAlign w:val="bottom"/>
          </w:tcPr>
          <w:p w14:paraId="4BF7BE3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-0.129**</w:t>
            </w:r>
          </w:p>
        </w:tc>
        <w:tc>
          <w:tcPr>
            <w:tcW w:w="1063" w:type="dxa"/>
            <w:tcBorders>
              <w:top w:val="single" w:sz="4" w:space="0" w:color="auto"/>
              <w:left w:val="nil"/>
              <w:bottom w:val="nil"/>
              <w:right w:val="nil"/>
            </w:tcBorders>
            <w:shd w:val="clear" w:color="auto" w:fill="auto"/>
            <w:noWrap/>
            <w:vAlign w:val="bottom"/>
          </w:tcPr>
          <w:p w14:paraId="7A490CC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-0.083</w:t>
            </w:r>
          </w:p>
        </w:tc>
        <w:tc>
          <w:tcPr>
            <w:tcW w:w="1063" w:type="dxa"/>
            <w:tcBorders>
              <w:top w:val="single" w:sz="4" w:space="0" w:color="auto"/>
              <w:left w:val="nil"/>
              <w:bottom w:val="nil"/>
              <w:right w:val="nil"/>
            </w:tcBorders>
            <w:shd w:val="clear" w:color="auto" w:fill="auto"/>
            <w:noWrap/>
            <w:vAlign w:val="bottom"/>
          </w:tcPr>
          <w:p w14:paraId="5F7D505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-0.138**</w:t>
            </w:r>
          </w:p>
        </w:tc>
        <w:tc>
          <w:tcPr>
            <w:tcW w:w="1063" w:type="dxa"/>
            <w:tcBorders>
              <w:top w:val="single" w:sz="4" w:space="0" w:color="auto"/>
              <w:left w:val="nil"/>
              <w:bottom w:val="nil"/>
              <w:right w:val="nil"/>
            </w:tcBorders>
            <w:shd w:val="clear" w:color="auto" w:fill="auto"/>
            <w:noWrap/>
            <w:vAlign w:val="bottom"/>
          </w:tcPr>
          <w:p w14:paraId="657F1BA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-0.274***</w:t>
            </w:r>
          </w:p>
        </w:tc>
        <w:tc>
          <w:tcPr>
            <w:tcW w:w="1063" w:type="dxa"/>
            <w:tcBorders>
              <w:top w:val="single" w:sz="4" w:space="0" w:color="auto"/>
              <w:left w:val="nil"/>
              <w:bottom w:val="nil"/>
              <w:right w:val="nil"/>
            </w:tcBorders>
            <w:shd w:val="clear" w:color="auto" w:fill="auto"/>
            <w:noWrap/>
            <w:vAlign w:val="bottom"/>
          </w:tcPr>
          <w:p w14:paraId="5854A28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-0.300*</w:t>
            </w:r>
          </w:p>
        </w:tc>
        <w:tc>
          <w:tcPr>
            <w:tcW w:w="1063" w:type="dxa"/>
            <w:tcBorders>
              <w:top w:val="single" w:sz="4" w:space="0" w:color="auto"/>
              <w:left w:val="nil"/>
              <w:bottom w:val="nil"/>
              <w:right w:val="nil"/>
            </w:tcBorders>
            <w:shd w:val="clear" w:color="auto" w:fill="auto"/>
            <w:noWrap/>
            <w:vAlign w:val="bottom"/>
          </w:tcPr>
          <w:p w14:paraId="41EC964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-0.264***</w:t>
            </w:r>
          </w:p>
        </w:tc>
      </w:tr>
      <w:tr w:rsidR="00524160" w:rsidRPr="004A792A" w14:paraId="1F748719" w14:textId="77777777" w:rsidTr="00260189">
        <w:tc>
          <w:tcPr>
            <w:tcW w:w="2694" w:type="dxa"/>
            <w:tcBorders>
              <w:top w:val="nil"/>
              <w:left w:val="nil"/>
              <w:bottom w:val="nil"/>
              <w:right w:val="single" w:sz="4" w:space="0" w:color="auto"/>
            </w:tcBorders>
            <w:shd w:val="clear" w:color="auto" w:fill="auto"/>
            <w:noWrap/>
            <w:vAlign w:val="bottom"/>
            <w:hideMark/>
          </w:tcPr>
          <w:p w14:paraId="3E860610"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36A35AF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(0.064)</w:t>
            </w:r>
          </w:p>
        </w:tc>
        <w:tc>
          <w:tcPr>
            <w:tcW w:w="1063" w:type="dxa"/>
            <w:tcBorders>
              <w:top w:val="nil"/>
              <w:left w:val="nil"/>
              <w:bottom w:val="nil"/>
              <w:right w:val="nil"/>
            </w:tcBorders>
            <w:shd w:val="clear" w:color="auto" w:fill="auto"/>
            <w:noWrap/>
            <w:vAlign w:val="bottom"/>
          </w:tcPr>
          <w:p w14:paraId="33E6B18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(0.167)</w:t>
            </w:r>
          </w:p>
        </w:tc>
        <w:tc>
          <w:tcPr>
            <w:tcW w:w="1063" w:type="dxa"/>
            <w:tcBorders>
              <w:top w:val="nil"/>
              <w:left w:val="nil"/>
              <w:bottom w:val="nil"/>
              <w:right w:val="nil"/>
            </w:tcBorders>
            <w:shd w:val="clear" w:color="auto" w:fill="auto"/>
            <w:noWrap/>
            <w:vAlign w:val="bottom"/>
          </w:tcPr>
          <w:p w14:paraId="3435F13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(0.066)</w:t>
            </w:r>
          </w:p>
        </w:tc>
        <w:tc>
          <w:tcPr>
            <w:tcW w:w="1063" w:type="dxa"/>
            <w:tcBorders>
              <w:top w:val="nil"/>
              <w:left w:val="nil"/>
              <w:bottom w:val="nil"/>
              <w:right w:val="nil"/>
            </w:tcBorders>
            <w:shd w:val="clear" w:color="auto" w:fill="auto"/>
            <w:noWrap/>
            <w:vAlign w:val="bottom"/>
          </w:tcPr>
          <w:p w14:paraId="1473D56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(0.059)</w:t>
            </w:r>
          </w:p>
        </w:tc>
        <w:tc>
          <w:tcPr>
            <w:tcW w:w="1063" w:type="dxa"/>
            <w:tcBorders>
              <w:top w:val="nil"/>
              <w:left w:val="nil"/>
              <w:bottom w:val="nil"/>
              <w:right w:val="nil"/>
            </w:tcBorders>
            <w:shd w:val="clear" w:color="auto" w:fill="auto"/>
            <w:noWrap/>
            <w:vAlign w:val="bottom"/>
          </w:tcPr>
          <w:p w14:paraId="3ACD8A2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(0.152)</w:t>
            </w:r>
          </w:p>
        </w:tc>
        <w:tc>
          <w:tcPr>
            <w:tcW w:w="1063" w:type="dxa"/>
            <w:tcBorders>
              <w:top w:val="nil"/>
              <w:left w:val="nil"/>
              <w:bottom w:val="nil"/>
              <w:right w:val="nil"/>
            </w:tcBorders>
            <w:shd w:val="clear" w:color="auto" w:fill="auto"/>
            <w:noWrap/>
            <w:vAlign w:val="bottom"/>
          </w:tcPr>
          <w:p w14:paraId="7A3A08E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(0.065)</w:t>
            </w:r>
          </w:p>
        </w:tc>
      </w:tr>
      <w:tr w:rsidR="00524160" w:rsidRPr="004A792A" w14:paraId="25FBF14B" w14:textId="77777777" w:rsidTr="00260189">
        <w:tc>
          <w:tcPr>
            <w:tcW w:w="2694" w:type="dxa"/>
            <w:tcBorders>
              <w:top w:val="nil"/>
              <w:left w:val="nil"/>
              <w:bottom w:val="nil"/>
              <w:right w:val="single" w:sz="4" w:space="0" w:color="auto"/>
            </w:tcBorders>
            <w:shd w:val="clear" w:color="auto" w:fill="auto"/>
            <w:noWrap/>
            <w:vAlign w:val="bottom"/>
            <w:hideMark/>
          </w:tcPr>
          <w:p w14:paraId="546F8340"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 xml:space="preserve">Upper secondary vocational </w:t>
            </w:r>
          </w:p>
        </w:tc>
        <w:tc>
          <w:tcPr>
            <w:tcW w:w="1063" w:type="dxa"/>
            <w:tcBorders>
              <w:top w:val="nil"/>
              <w:left w:val="single" w:sz="4" w:space="0" w:color="auto"/>
              <w:bottom w:val="nil"/>
              <w:right w:val="nil"/>
            </w:tcBorders>
            <w:shd w:val="clear" w:color="auto" w:fill="auto"/>
            <w:noWrap/>
            <w:vAlign w:val="bottom"/>
          </w:tcPr>
          <w:p w14:paraId="550B1EC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-0.266***</w:t>
            </w:r>
          </w:p>
        </w:tc>
        <w:tc>
          <w:tcPr>
            <w:tcW w:w="1063" w:type="dxa"/>
            <w:tcBorders>
              <w:top w:val="nil"/>
              <w:left w:val="nil"/>
              <w:bottom w:val="nil"/>
              <w:right w:val="nil"/>
            </w:tcBorders>
            <w:shd w:val="clear" w:color="auto" w:fill="auto"/>
            <w:noWrap/>
            <w:vAlign w:val="bottom"/>
          </w:tcPr>
          <w:p w14:paraId="26A924D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-0.200</w:t>
            </w:r>
          </w:p>
        </w:tc>
        <w:tc>
          <w:tcPr>
            <w:tcW w:w="1063" w:type="dxa"/>
            <w:tcBorders>
              <w:top w:val="nil"/>
              <w:left w:val="nil"/>
              <w:bottom w:val="nil"/>
              <w:right w:val="nil"/>
            </w:tcBorders>
            <w:shd w:val="clear" w:color="auto" w:fill="auto"/>
            <w:noWrap/>
            <w:vAlign w:val="bottom"/>
          </w:tcPr>
          <w:p w14:paraId="41F736C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-0.266**</w:t>
            </w:r>
          </w:p>
        </w:tc>
        <w:tc>
          <w:tcPr>
            <w:tcW w:w="1063" w:type="dxa"/>
            <w:tcBorders>
              <w:top w:val="nil"/>
              <w:left w:val="nil"/>
              <w:bottom w:val="nil"/>
              <w:right w:val="nil"/>
            </w:tcBorders>
            <w:shd w:val="clear" w:color="auto" w:fill="auto"/>
            <w:noWrap/>
            <w:vAlign w:val="bottom"/>
          </w:tcPr>
          <w:p w14:paraId="43FE497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-0.535***</w:t>
            </w:r>
          </w:p>
        </w:tc>
        <w:tc>
          <w:tcPr>
            <w:tcW w:w="1063" w:type="dxa"/>
            <w:tcBorders>
              <w:top w:val="nil"/>
              <w:left w:val="nil"/>
              <w:bottom w:val="nil"/>
              <w:right w:val="nil"/>
            </w:tcBorders>
            <w:shd w:val="clear" w:color="auto" w:fill="auto"/>
            <w:noWrap/>
            <w:vAlign w:val="bottom"/>
          </w:tcPr>
          <w:p w14:paraId="0D56134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-0.532***</w:t>
            </w:r>
          </w:p>
        </w:tc>
        <w:tc>
          <w:tcPr>
            <w:tcW w:w="1063" w:type="dxa"/>
            <w:tcBorders>
              <w:top w:val="nil"/>
              <w:left w:val="nil"/>
              <w:bottom w:val="nil"/>
              <w:right w:val="nil"/>
            </w:tcBorders>
            <w:shd w:val="clear" w:color="auto" w:fill="auto"/>
            <w:noWrap/>
            <w:vAlign w:val="bottom"/>
          </w:tcPr>
          <w:p w14:paraId="3A2E86F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-0.509***</w:t>
            </w:r>
          </w:p>
        </w:tc>
      </w:tr>
      <w:tr w:rsidR="00524160" w:rsidRPr="004A792A" w14:paraId="28377998" w14:textId="77777777" w:rsidTr="00260189">
        <w:tc>
          <w:tcPr>
            <w:tcW w:w="2694" w:type="dxa"/>
            <w:tcBorders>
              <w:top w:val="nil"/>
              <w:left w:val="nil"/>
              <w:bottom w:val="nil"/>
              <w:right w:val="single" w:sz="4" w:space="0" w:color="auto"/>
            </w:tcBorders>
            <w:shd w:val="clear" w:color="auto" w:fill="auto"/>
            <w:noWrap/>
            <w:vAlign w:val="bottom"/>
            <w:hideMark/>
          </w:tcPr>
          <w:p w14:paraId="4D649BFE"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27C13FA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(0.086)</w:t>
            </w:r>
          </w:p>
        </w:tc>
        <w:tc>
          <w:tcPr>
            <w:tcW w:w="1063" w:type="dxa"/>
            <w:tcBorders>
              <w:top w:val="nil"/>
              <w:left w:val="nil"/>
              <w:bottom w:val="nil"/>
              <w:right w:val="nil"/>
            </w:tcBorders>
            <w:shd w:val="clear" w:color="auto" w:fill="auto"/>
            <w:noWrap/>
            <w:vAlign w:val="bottom"/>
          </w:tcPr>
          <w:p w14:paraId="3BB2F3F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(0.157)</w:t>
            </w:r>
          </w:p>
        </w:tc>
        <w:tc>
          <w:tcPr>
            <w:tcW w:w="1063" w:type="dxa"/>
            <w:tcBorders>
              <w:top w:val="nil"/>
              <w:left w:val="nil"/>
              <w:bottom w:val="nil"/>
              <w:right w:val="nil"/>
            </w:tcBorders>
            <w:shd w:val="clear" w:color="auto" w:fill="auto"/>
            <w:noWrap/>
            <w:vAlign w:val="bottom"/>
          </w:tcPr>
          <w:p w14:paraId="5B45CA2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(0.103)</w:t>
            </w:r>
          </w:p>
        </w:tc>
        <w:tc>
          <w:tcPr>
            <w:tcW w:w="1063" w:type="dxa"/>
            <w:tcBorders>
              <w:top w:val="nil"/>
              <w:left w:val="nil"/>
              <w:bottom w:val="nil"/>
              <w:right w:val="nil"/>
            </w:tcBorders>
            <w:shd w:val="clear" w:color="auto" w:fill="auto"/>
            <w:noWrap/>
            <w:vAlign w:val="bottom"/>
          </w:tcPr>
          <w:p w14:paraId="1F6842C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(0.081)</w:t>
            </w:r>
          </w:p>
        </w:tc>
        <w:tc>
          <w:tcPr>
            <w:tcW w:w="1063" w:type="dxa"/>
            <w:tcBorders>
              <w:top w:val="nil"/>
              <w:left w:val="nil"/>
              <w:bottom w:val="nil"/>
              <w:right w:val="nil"/>
            </w:tcBorders>
            <w:shd w:val="clear" w:color="auto" w:fill="auto"/>
            <w:noWrap/>
            <w:vAlign w:val="bottom"/>
          </w:tcPr>
          <w:p w14:paraId="7DD7CB7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(0.170)</w:t>
            </w:r>
          </w:p>
        </w:tc>
        <w:tc>
          <w:tcPr>
            <w:tcW w:w="1063" w:type="dxa"/>
            <w:tcBorders>
              <w:top w:val="nil"/>
              <w:left w:val="nil"/>
              <w:bottom w:val="nil"/>
              <w:right w:val="nil"/>
            </w:tcBorders>
            <w:shd w:val="clear" w:color="auto" w:fill="auto"/>
            <w:noWrap/>
            <w:vAlign w:val="bottom"/>
          </w:tcPr>
          <w:p w14:paraId="5AA5DDB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(0.094)</w:t>
            </w:r>
          </w:p>
        </w:tc>
      </w:tr>
      <w:tr w:rsidR="00524160" w:rsidRPr="004A792A" w14:paraId="0A950889" w14:textId="77777777" w:rsidTr="00260189">
        <w:tc>
          <w:tcPr>
            <w:tcW w:w="2694" w:type="dxa"/>
            <w:tcBorders>
              <w:top w:val="nil"/>
              <w:left w:val="nil"/>
              <w:bottom w:val="nil"/>
              <w:right w:val="single" w:sz="4" w:space="0" w:color="auto"/>
            </w:tcBorders>
            <w:shd w:val="clear" w:color="auto" w:fill="auto"/>
            <w:noWrap/>
            <w:vAlign w:val="bottom"/>
            <w:hideMark/>
          </w:tcPr>
          <w:p w14:paraId="734073F6"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Post-secondary</w:t>
            </w:r>
          </w:p>
        </w:tc>
        <w:tc>
          <w:tcPr>
            <w:tcW w:w="1063" w:type="dxa"/>
            <w:tcBorders>
              <w:top w:val="nil"/>
              <w:left w:val="single" w:sz="4" w:space="0" w:color="auto"/>
              <w:bottom w:val="nil"/>
              <w:right w:val="nil"/>
            </w:tcBorders>
            <w:shd w:val="clear" w:color="auto" w:fill="auto"/>
            <w:noWrap/>
            <w:vAlign w:val="bottom"/>
          </w:tcPr>
          <w:p w14:paraId="0AADA9F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-0.727***</w:t>
            </w:r>
          </w:p>
        </w:tc>
        <w:tc>
          <w:tcPr>
            <w:tcW w:w="1063" w:type="dxa"/>
            <w:tcBorders>
              <w:top w:val="nil"/>
              <w:left w:val="nil"/>
              <w:bottom w:val="nil"/>
              <w:right w:val="nil"/>
            </w:tcBorders>
            <w:shd w:val="clear" w:color="auto" w:fill="auto"/>
            <w:noWrap/>
            <w:vAlign w:val="bottom"/>
          </w:tcPr>
          <w:p w14:paraId="435E3D7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-0.570***</w:t>
            </w:r>
          </w:p>
        </w:tc>
        <w:tc>
          <w:tcPr>
            <w:tcW w:w="1063" w:type="dxa"/>
            <w:tcBorders>
              <w:top w:val="nil"/>
              <w:left w:val="nil"/>
              <w:bottom w:val="nil"/>
              <w:right w:val="nil"/>
            </w:tcBorders>
            <w:shd w:val="clear" w:color="auto" w:fill="auto"/>
            <w:noWrap/>
            <w:vAlign w:val="bottom"/>
          </w:tcPr>
          <w:p w14:paraId="1169358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-0.803***</w:t>
            </w:r>
          </w:p>
        </w:tc>
        <w:tc>
          <w:tcPr>
            <w:tcW w:w="1063" w:type="dxa"/>
            <w:tcBorders>
              <w:top w:val="nil"/>
              <w:left w:val="nil"/>
              <w:bottom w:val="nil"/>
              <w:right w:val="nil"/>
            </w:tcBorders>
            <w:shd w:val="clear" w:color="auto" w:fill="auto"/>
            <w:noWrap/>
            <w:vAlign w:val="bottom"/>
          </w:tcPr>
          <w:p w14:paraId="0C367AF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-1.039***</w:t>
            </w:r>
          </w:p>
        </w:tc>
        <w:tc>
          <w:tcPr>
            <w:tcW w:w="1063" w:type="dxa"/>
            <w:tcBorders>
              <w:top w:val="nil"/>
              <w:left w:val="nil"/>
              <w:bottom w:val="nil"/>
              <w:right w:val="nil"/>
            </w:tcBorders>
            <w:shd w:val="clear" w:color="auto" w:fill="auto"/>
            <w:noWrap/>
            <w:vAlign w:val="bottom"/>
          </w:tcPr>
          <w:p w14:paraId="21174AA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-0.925***</w:t>
            </w:r>
          </w:p>
        </w:tc>
        <w:tc>
          <w:tcPr>
            <w:tcW w:w="1063" w:type="dxa"/>
            <w:tcBorders>
              <w:top w:val="nil"/>
              <w:left w:val="nil"/>
              <w:bottom w:val="nil"/>
              <w:right w:val="nil"/>
            </w:tcBorders>
            <w:shd w:val="clear" w:color="auto" w:fill="auto"/>
            <w:noWrap/>
            <w:vAlign w:val="bottom"/>
          </w:tcPr>
          <w:p w14:paraId="159830C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-1.095***</w:t>
            </w:r>
          </w:p>
        </w:tc>
      </w:tr>
      <w:tr w:rsidR="00524160" w:rsidRPr="004A792A" w14:paraId="33A339F5" w14:textId="77777777" w:rsidTr="00260189">
        <w:tc>
          <w:tcPr>
            <w:tcW w:w="2694" w:type="dxa"/>
            <w:tcBorders>
              <w:top w:val="nil"/>
              <w:left w:val="nil"/>
              <w:bottom w:val="nil"/>
              <w:right w:val="single" w:sz="4" w:space="0" w:color="auto"/>
            </w:tcBorders>
            <w:shd w:val="clear" w:color="auto" w:fill="auto"/>
            <w:noWrap/>
            <w:vAlign w:val="bottom"/>
            <w:hideMark/>
          </w:tcPr>
          <w:p w14:paraId="12751E01"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320CC29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(0.086)</w:t>
            </w:r>
          </w:p>
        </w:tc>
        <w:tc>
          <w:tcPr>
            <w:tcW w:w="1063" w:type="dxa"/>
            <w:tcBorders>
              <w:top w:val="nil"/>
              <w:left w:val="nil"/>
              <w:bottom w:val="nil"/>
              <w:right w:val="nil"/>
            </w:tcBorders>
            <w:shd w:val="clear" w:color="auto" w:fill="auto"/>
            <w:noWrap/>
            <w:vAlign w:val="bottom"/>
          </w:tcPr>
          <w:p w14:paraId="2E92C7F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(0.185)</w:t>
            </w:r>
          </w:p>
        </w:tc>
        <w:tc>
          <w:tcPr>
            <w:tcW w:w="1063" w:type="dxa"/>
            <w:tcBorders>
              <w:top w:val="nil"/>
              <w:left w:val="nil"/>
              <w:bottom w:val="nil"/>
              <w:right w:val="nil"/>
            </w:tcBorders>
            <w:shd w:val="clear" w:color="auto" w:fill="auto"/>
            <w:noWrap/>
            <w:vAlign w:val="bottom"/>
          </w:tcPr>
          <w:p w14:paraId="500F35A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(0.089)</w:t>
            </w:r>
          </w:p>
        </w:tc>
        <w:tc>
          <w:tcPr>
            <w:tcW w:w="1063" w:type="dxa"/>
            <w:tcBorders>
              <w:top w:val="nil"/>
              <w:left w:val="nil"/>
              <w:bottom w:val="nil"/>
              <w:right w:val="nil"/>
            </w:tcBorders>
            <w:shd w:val="clear" w:color="auto" w:fill="auto"/>
            <w:noWrap/>
            <w:vAlign w:val="bottom"/>
          </w:tcPr>
          <w:p w14:paraId="72898A4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(0.090)</w:t>
            </w:r>
          </w:p>
        </w:tc>
        <w:tc>
          <w:tcPr>
            <w:tcW w:w="1063" w:type="dxa"/>
            <w:tcBorders>
              <w:top w:val="nil"/>
              <w:left w:val="nil"/>
              <w:bottom w:val="nil"/>
              <w:right w:val="nil"/>
            </w:tcBorders>
            <w:shd w:val="clear" w:color="auto" w:fill="auto"/>
            <w:noWrap/>
            <w:vAlign w:val="bottom"/>
          </w:tcPr>
          <w:p w14:paraId="218B8EE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(0.223)</w:t>
            </w:r>
          </w:p>
        </w:tc>
        <w:tc>
          <w:tcPr>
            <w:tcW w:w="1063" w:type="dxa"/>
            <w:tcBorders>
              <w:top w:val="nil"/>
              <w:left w:val="nil"/>
              <w:bottom w:val="nil"/>
              <w:right w:val="nil"/>
            </w:tcBorders>
            <w:shd w:val="clear" w:color="auto" w:fill="auto"/>
            <w:noWrap/>
            <w:vAlign w:val="bottom"/>
          </w:tcPr>
          <w:p w14:paraId="01F51E9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(0.098)</w:t>
            </w:r>
          </w:p>
        </w:tc>
      </w:tr>
      <w:tr w:rsidR="00524160" w:rsidRPr="004A792A" w14:paraId="53891E76" w14:textId="77777777" w:rsidTr="00260189">
        <w:tc>
          <w:tcPr>
            <w:tcW w:w="2694" w:type="dxa"/>
            <w:tcBorders>
              <w:top w:val="nil"/>
              <w:left w:val="nil"/>
              <w:right w:val="single" w:sz="4" w:space="0" w:color="auto"/>
            </w:tcBorders>
            <w:shd w:val="clear" w:color="auto" w:fill="auto"/>
            <w:noWrap/>
            <w:vAlign w:val="bottom"/>
            <w:hideMark/>
          </w:tcPr>
          <w:p w14:paraId="17F34134"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Tertiary</w:t>
            </w:r>
          </w:p>
        </w:tc>
        <w:tc>
          <w:tcPr>
            <w:tcW w:w="1063" w:type="dxa"/>
            <w:tcBorders>
              <w:top w:val="nil"/>
              <w:left w:val="single" w:sz="4" w:space="0" w:color="auto"/>
              <w:right w:val="nil"/>
            </w:tcBorders>
            <w:shd w:val="clear" w:color="auto" w:fill="auto"/>
            <w:noWrap/>
            <w:vAlign w:val="bottom"/>
          </w:tcPr>
          <w:p w14:paraId="6A19202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-1.050***</w:t>
            </w:r>
          </w:p>
        </w:tc>
        <w:tc>
          <w:tcPr>
            <w:tcW w:w="1063" w:type="dxa"/>
            <w:tcBorders>
              <w:top w:val="nil"/>
              <w:left w:val="nil"/>
              <w:right w:val="nil"/>
            </w:tcBorders>
            <w:shd w:val="clear" w:color="auto" w:fill="auto"/>
            <w:noWrap/>
            <w:vAlign w:val="bottom"/>
          </w:tcPr>
          <w:p w14:paraId="60F3AE8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-0.803***</w:t>
            </w:r>
          </w:p>
        </w:tc>
        <w:tc>
          <w:tcPr>
            <w:tcW w:w="1063" w:type="dxa"/>
            <w:tcBorders>
              <w:top w:val="nil"/>
              <w:left w:val="nil"/>
              <w:right w:val="nil"/>
            </w:tcBorders>
            <w:shd w:val="clear" w:color="auto" w:fill="auto"/>
            <w:noWrap/>
            <w:vAlign w:val="bottom"/>
          </w:tcPr>
          <w:p w14:paraId="7F7BE8A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-1.353***</w:t>
            </w:r>
          </w:p>
        </w:tc>
        <w:tc>
          <w:tcPr>
            <w:tcW w:w="1063" w:type="dxa"/>
            <w:tcBorders>
              <w:top w:val="nil"/>
              <w:left w:val="nil"/>
              <w:right w:val="nil"/>
            </w:tcBorders>
            <w:shd w:val="clear" w:color="auto" w:fill="auto"/>
            <w:noWrap/>
            <w:vAlign w:val="bottom"/>
          </w:tcPr>
          <w:p w14:paraId="4F9A416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-1.475***</w:t>
            </w:r>
          </w:p>
        </w:tc>
        <w:tc>
          <w:tcPr>
            <w:tcW w:w="1063" w:type="dxa"/>
            <w:tcBorders>
              <w:top w:val="nil"/>
              <w:left w:val="nil"/>
              <w:right w:val="nil"/>
            </w:tcBorders>
            <w:shd w:val="clear" w:color="auto" w:fill="auto"/>
            <w:noWrap/>
            <w:vAlign w:val="bottom"/>
          </w:tcPr>
          <w:p w14:paraId="6BCC500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-1.334***</w:t>
            </w:r>
          </w:p>
        </w:tc>
        <w:tc>
          <w:tcPr>
            <w:tcW w:w="1063" w:type="dxa"/>
            <w:tcBorders>
              <w:top w:val="nil"/>
              <w:left w:val="nil"/>
              <w:right w:val="nil"/>
            </w:tcBorders>
            <w:shd w:val="clear" w:color="auto" w:fill="auto"/>
            <w:noWrap/>
            <w:vAlign w:val="bottom"/>
          </w:tcPr>
          <w:p w14:paraId="18280D0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-1.638***</w:t>
            </w:r>
          </w:p>
        </w:tc>
      </w:tr>
      <w:tr w:rsidR="00524160" w:rsidRPr="004A792A" w14:paraId="6F689278" w14:textId="77777777" w:rsidTr="00260189">
        <w:tc>
          <w:tcPr>
            <w:tcW w:w="2694" w:type="dxa"/>
            <w:tcBorders>
              <w:top w:val="nil"/>
              <w:left w:val="nil"/>
              <w:bottom w:val="single" w:sz="4" w:space="0" w:color="auto"/>
              <w:right w:val="single" w:sz="4" w:space="0" w:color="auto"/>
            </w:tcBorders>
            <w:shd w:val="clear" w:color="auto" w:fill="auto"/>
            <w:noWrap/>
            <w:vAlign w:val="bottom"/>
            <w:hideMark/>
          </w:tcPr>
          <w:p w14:paraId="4E6268F0"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single" w:sz="4" w:space="0" w:color="auto"/>
              <w:right w:val="nil"/>
            </w:tcBorders>
            <w:shd w:val="clear" w:color="auto" w:fill="auto"/>
            <w:noWrap/>
            <w:vAlign w:val="bottom"/>
          </w:tcPr>
          <w:p w14:paraId="3060916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(0.100)</w:t>
            </w:r>
          </w:p>
        </w:tc>
        <w:tc>
          <w:tcPr>
            <w:tcW w:w="1063" w:type="dxa"/>
            <w:tcBorders>
              <w:top w:val="nil"/>
              <w:left w:val="nil"/>
              <w:bottom w:val="single" w:sz="4" w:space="0" w:color="auto"/>
              <w:right w:val="nil"/>
            </w:tcBorders>
            <w:shd w:val="clear" w:color="auto" w:fill="auto"/>
            <w:noWrap/>
            <w:vAlign w:val="bottom"/>
          </w:tcPr>
          <w:p w14:paraId="03B6406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(0.173)</w:t>
            </w:r>
          </w:p>
        </w:tc>
        <w:tc>
          <w:tcPr>
            <w:tcW w:w="1063" w:type="dxa"/>
            <w:tcBorders>
              <w:top w:val="nil"/>
              <w:left w:val="nil"/>
              <w:bottom w:val="single" w:sz="4" w:space="0" w:color="auto"/>
              <w:right w:val="nil"/>
            </w:tcBorders>
            <w:shd w:val="clear" w:color="auto" w:fill="auto"/>
            <w:noWrap/>
            <w:vAlign w:val="bottom"/>
          </w:tcPr>
          <w:p w14:paraId="01D1AD87"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(0.132)</w:t>
            </w:r>
          </w:p>
        </w:tc>
        <w:tc>
          <w:tcPr>
            <w:tcW w:w="1063" w:type="dxa"/>
            <w:tcBorders>
              <w:top w:val="nil"/>
              <w:left w:val="nil"/>
              <w:bottom w:val="single" w:sz="4" w:space="0" w:color="auto"/>
              <w:right w:val="nil"/>
            </w:tcBorders>
            <w:shd w:val="clear" w:color="auto" w:fill="auto"/>
            <w:noWrap/>
            <w:vAlign w:val="bottom"/>
          </w:tcPr>
          <w:p w14:paraId="63FABC0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(0.106)</w:t>
            </w:r>
          </w:p>
        </w:tc>
        <w:tc>
          <w:tcPr>
            <w:tcW w:w="1063" w:type="dxa"/>
            <w:tcBorders>
              <w:top w:val="nil"/>
              <w:left w:val="nil"/>
              <w:bottom w:val="single" w:sz="4" w:space="0" w:color="auto"/>
              <w:right w:val="nil"/>
            </w:tcBorders>
            <w:shd w:val="clear" w:color="auto" w:fill="auto"/>
            <w:noWrap/>
            <w:vAlign w:val="bottom"/>
          </w:tcPr>
          <w:p w14:paraId="250D3EC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(0.201)</w:t>
            </w:r>
          </w:p>
        </w:tc>
        <w:tc>
          <w:tcPr>
            <w:tcW w:w="1063" w:type="dxa"/>
            <w:tcBorders>
              <w:top w:val="nil"/>
              <w:left w:val="nil"/>
              <w:bottom w:val="single" w:sz="4" w:space="0" w:color="auto"/>
              <w:right w:val="nil"/>
            </w:tcBorders>
            <w:shd w:val="clear" w:color="auto" w:fill="auto"/>
            <w:noWrap/>
            <w:vAlign w:val="bottom"/>
          </w:tcPr>
          <w:p w14:paraId="082E330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(0.127)</w:t>
            </w:r>
          </w:p>
        </w:tc>
      </w:tr>
      <w:tr w:rsidR="00524160" w:rsidRPr="004A792A" w14:paraId="16CC3503" w14:textId="77777777" w:rsidTr="00260189">
        <w:tc>
          <w:tcPr>
            <w:tcW w:w="2694" w:type="dxa"/>
            <w:tcBorders>
              <w:top w:val="single" w:sz="4" w:space="0" w:color="auto"/>
              <w:left w:val="nil"/>
              <w:bottom w:val="nil"/>
              <w:right w:val="single" w:sz="4" w:space="0" w:color="auto"/>
            </w:tcBorders>
            <w:shd w:val="clear" w:color="auto" w:fill="auto"/>
            <w:noWrap/>
            <w:vAlign w:val="bottom"/>
            <w:hideMark/>
          </w:tcPr>
          <w:p w14:paraId="19C7FA42"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Urban</w:t>
            </w:r>
          </w:p>
        </w:tc>
        <w:tc>
          <w:tcPr>
            <w:tcW w:w="1063" w:type="dxa"/>
            <w:tcBorders>
              <w:top w:val="single" w:sz="4" w:space="0" w:color="auto"/>
              <w:left w:val="single" w:sz="4" w:space="0" w:color="auto"/>
              <w:bottom w:val="nil"/>
              <w:right w:val="nil"/>
            </w:tcBorders>
            <w:shd w:val="clear" w:color="auto" w:fill="auto"/>
            <w:noWrap/>
            <w:vAlign w:val="bottom"/>
          </w:tcPr>
          <w:p w14:paraId="27D888C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-0.341***</w:t>
            </w:r>
          </w:p>
        </w:tc>
        <w:tc>
          <w:tcPr>
            <w:tcW w:w="1063" w:type="dxa"/>
            <w:tcBorders>
              <w:top w:val="single" w:sz="4" w:space="0" w:color="auto"/>
              <w:left w:val="nil"/>
              <w:bottom w:val="nil"/>
              <w:right w:val="nil"/>
            </w:tcBorders>
            <w:shd w:val="clear" w:color="auto" w:fill="auto"/>
            <w:noWrap/>
            <w:vAlign w:val="bottom"/>
          </w:tcPr>
          <w:p w14:paraId="3903E2C1"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single" w:sz="4" w:space="0" w:color="auto"/>
              <w:left w:val="nil"/>
              <w:bottom w:val="nil"/>
              <w:right w:val="nil"/>
            </w:tcBorders>
            <w:shd w:val="clear" w:color="auto" w:fill="auto"/>
            <w:noWrap/>
            <w:vAlign w:val="bottom"/>
          </w:tcPr>
          <w:p w14:paraId="651EE33F" w14:textId="77777777" w:rsidR="00524160" w:rsidRPr="004A792A" w:rsidRDefault="00524160" w:rsidP="00260189">
            <w:pPr>
              <w:spacing w:before="0"/>
              <w:jc w:val="center"/>
              <w:rPr>
                <w:rFonts w:eastAsia="Times New Roman" w:cstheme="minorHAnsi"/>
                <w:sz w:val="20"/>
                <w:szCs w:val="20"/>
                <w:lang w:val="en-US"/>
              </w:rPr>
            </w:pPr>
          </w:p>
        </w:tc>
        <w:tc>
          <w:tcPr>
            <w:tcW w:w="1063" w:type="dxa"/>
            <w:tcBorders>
              <w:top w:val="single" w:sz="4" w:space="0" w:color="auto"/>
              <w:left w:val="nil"/>
              <w:bottom w:val="nil"/>
              <w:right w:val="nil"/>
            </w:tcBorders>
            <w:shd w:val="clear" w:color="auto" w:fill="auto"/>
            <w:noWrap/>
            <w:vAlign w:val="bottom"/>
          </w:tcPr>
          <w:p w14:paraId="6D00DF9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-0.989***</w:t>
            </w:r>
          </w:p>
        </w:tc>
        <w:tc>
          <w:tcPr>
            <w:tcW w:w="1063" w:type="dxa"/>
            <w:tcBorders>
              <w:top w:val="single" w:sz="4" w:space="0" w:color="auto"/>
              <w:left w:val="nil"/>
              <w:bottom w:val="nil"/>
              <w:right w:val="nil"/>
            </w:tcBorders>
            <w:shd w:val="clear" w:color="auto" w:fill="auto"/>
            <w:noWrap/>
            <w:vAlign w:val="bottom"/>
          </w:tcPr>
          <w:p w14:paraId="558FBAA4"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single" w:sz="4" w:space="0" w:color="auto"/>
              <w:left w:val="nil"/>
              <w:bottom w:val="nil"/>
              <w:right w:val="nil"/>
            </w:tcBorders>
            <w:shd w:val="clear" w:color="auto" w:fill="auto"/>
            <w:noWrap/>
            <w:vAlign w:val="bottom"/>
          </w:tcPr>
          <w:p w14:paraId="05F8045E" w14:textId="77777777" w:rsidR="00524160" w:rsidRPr="004A792A" w:rsidRDefault="00524160" w:rsidP="00260189">
            <w:pPr>
              <w:spacing w:before="0"/>
              <w:jc w:val="center"/>
              <w:rPr>
                <w:rFonts w:eastAsia="Times New Roman" w:cstheme="minorHAnsi"/>
                <w:sz w:val="20"/>
                <w:szCs w:val="20"/>
                <w:lang w:val="en-US"/>
              </w:rPr>
            </w:pPr>
          </w:p>
        </w:tc>
      </w:tr>
      <w:tr w:rsidR="00524160" w:rsidRPr="004A792A" w14:paraId="61AA950F" w14:textId="77777777" w:rsidTr="00260189">
        <w:tc>
          <w:tcPr>
            <w:tcW w:w="2694" w:type="dxa"/>
            <w:tcBorders>
              <w:top w:val="nil"/>
              <w:left w:val="nil"/>
              <w:bottom w:val="nil"/>
              <w:right w:val="single" w:sz="4" w:space="0" w:color="auto"/>
            </w:tcBorders>
            <w:shd w:val="clear" w:color="auto" w:fill="auto"/>
            <w:noWrap/>
            <w:vAlign w:val="bottom"/>
            <w:hideMark/>
          </w:tcPr>
          <w:p w14:paraId="331A63AC" w14:textId="77777777" w:rsidR="00524160" w:rsidRPr="004A792A" w:rsidRDefault="00524160" w:rsidP="00260189">
            <w:pPr>
              <w:spacing w:before="0"/>
              <w:jc w:val="center"/>
              <w:rPr>
                <w:rFonts w:eastAsia="Times New Roman" w:cstheme="minorHAnsi"/>
                <w:sz w:val="20"/>
                <w:szCs w:val="20"/>
                <w:lang w:val="en-US"/>
              </w:rPr>
            </w:pPr>
          </w:p>
        </w:tc>
        <w:tc>
          <w:tcPr>
            <w:tcW w:w="1063" w:type="dxa"/>
            <w:tcBorders>
              <w:top w:val="nil"/>
              <w:left w:val="single" w:sz="4" w:space="0" w:color="auto"/>
              <w:bottom w:val="nil"/>
              <w:right w:val="nil"/>
            </w:tcBorders>
            <w:shd w:val="clear" w:color="auto" w:fill="auto"/>
            <w:noWrap/>
            <w:vAlign w:val="bottom"/>
          </w:tcPr>
          <w:p w14:paraId="166E7E1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(0.096)</w:t>
            </w:r>
          </w:p>
        </w:tc>
        <w:tc>
          <w:tcPr>
            <w:tcW w:w="1063" w:type="dxa"/>
            <w:tcBorders>
              <w:top w:val="nil"/>
              <w:left w:val="nil"/>
              <w:bottom w:val="nil"/>
              <w:right w:val="nil"/>
            </w:tcBorders>
            <w:shd w:val="clear" w:color="auto" w:fill="auto"/>
            <w:noWrap/>
            <w:vAlign w:val="bottom"/>
          </w:tcPr>
          <w:p w14:paraId="27E76869"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739D3EE3" w14:textId="77777777" w:rsidR="00524160" w:rsidRPr="004A792A" w:rsidRDefault="00524160" w:rsidP="00260189">
            <w:pPr>
              <w:spacing w:before="0"/>
              <w:jc w:val="center"/>
              <w:rPr>
                <w:rFonts w:eastAsia="Times New Roman" w:cstheme="minorHAnsi"/>
                <w:sz w:val="20"/>
                <w:szCs w:val="20"/>
                <w:lang w:val="en-US"/>
              </w:rPr>
            </w:pPr>
          </w:p>
        </w:tc>
        <w:tc>
          <w:tcPr>
            <w:tcW w:w="1063" w:type="dxa"/>
            <w:tcBorders>
              <w:top w:val="nil"/>
              <w:left w:val="nil"/>
              <w:bottom w:val="nil"/>
              <w:right w:val="nil"/>
            </w:tcBorders>
            <w:shd w:val="clear" w:color="auto" w:fill="auto"/>
            <w:noWrap/>
            <w:vAlign w:val="bottom"/>
          </w:tcPr>
          <w:p w14:paraId="728273E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(0.131)</w:t>
            </w:r>
          </w:p>
        </w:tc>
        <w:tc>
          <w:tcPr>
            <w:tcW w:w="1063" w:type="dxa"/>
            <w:tcBorders>
              <w:top w:val="nil"/>
              <w:left w:val="nil"/>
              <w:bottom w:val="nil"/>
              <w:right w:val="nil"/>
            </w:tcBorders>
            <w:shd w:val="clear" w:color="auto" w:fill="auto"/>
            <w:noWrap/>
            <w:vAlign w:val="bottom"/>
          </w:tcPr>
          <w:p w14:paraId="11A4BB30"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nil"/>
              <w:bottom w:val="nil"/>
              <w:right w:val="nil"/>
            </w:tcBorders>
            <w:shd w:val="clear" w:color="auto" w:fill="auto"/>
            <w:noWrap/>
            <w:vAlign w:val="bottom"/>
          </w:tcPr>
          <w:p w14:paraId="77ADCD51" w14:textId="77777777" w:rsidR="00524160" w:rsidRPr="004A792A" w:rsidRDefault="00524160" w:rsidP="00260189">
            <w:pPr>
              <w:spacing w:before="0"/>
              <w:jc w:val="center"/>
              <w:rPr>
                <w:rFonts w:eastAsia="Times New Roman" w:cstheme="minorHAnsi"/>
                <w:sz w:val="20"/>
                <w:szCs w:val="20"/>
                <w:lang w:val="en-US"/>
              </w:rPr>
            </w:pPr>
          </w:p>
        </w:tc>
      </w:tr>
      <w:tr w:rsidR="00524160" w:rsidRPr="004A792A" w14:paraId="4191A576" w14:textId="77777777" w:rsidTr="00260189">
        <w:tc>
          <w:tcPr>
            <w:tcW w:w="2694" w:type="dxa"/>
            <w:tcBorders>
              <w:top w:val="nil"/>
              <w:left w:val="nil"/>
              <w:bottom w:val="nil"/>
              <w:right w:val="single" w:sz="4" w:space="0" w:color="auto"/>
            </w:tcBorders>
            <w:shd w:val="clear" w:color="auto" w:fill="auto"/>
            <w:noWrap/>
            <w:vAlign w:val="bottom"/>
            <w:hideMark/>
          </w:tcPr>
          <w:p w14:paraId="68254B5F"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Center</w:t>
            </w:r>
          </w:p>
        </w:tc>
        <w:tc>
          <w:tcPr>
            <w:tcW w:w="1063" w:type="dxa"/>
            <w:tcBorders>
              <w:top w:val="nil"/>
              <w:left w:val="single" w:sz="4" w:space="0" w:color="auto"/>
              <w:bottom w:val="nil"/>
              <w:right w:val="nil"/>
            </w:tcBorders>
            <w:shd w:val="clear" w:color="auto" w:fill="auto"/>
            <w:noWrap/>
            <w:vAlign w:val="bottom"/>
          </w:tcPr>
          <w:p w14:paraId="79C95D1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0.025</w:t>
            </w:r>
          </w:p>
        </w:tc>
        <w:tc>
          <w:tcPr>
            <w:tcW w:w="1063" w:type="dxa"/>
            <w:tcBorders>
              <w:top w:val="nil"/>
              <w:left w:val="nil"/>
              <w:bottom w:val="nil"/>
              <w:right w:val="nil"/>
            </w:tcBorders>
            <w:shd w:val="clear" w:color="auto" w:fill="auto"/>
            <w:noWrap/>
            <w:vAlign w:val="bottom"/>
          </w:tcPr>
          <w:p w14:paraId="3D04420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-0.292</w:t>
            </w:r>
          </w:p>
        </w:tc>
        <w:tc>
          <w:tcPr>
            <w:tcW w:w="1063" w:type="dxa"/>
            <w:tcBorders>
              <w:top w:val="nil"/>
              <w:left w:val="nil"/>
              <w:bottom w:val="nil"/>
              <w:right w:val="nil"/>
            </w:tcBorders>
            <w:shd w:val="clear" w:color="auto" w:fill="auto"/>
            <w:noWrap/>
            <w:vAlign w:val="bottom"/>
          </w:tcPr>
          <w:p w14:paraId="67669D5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0.137</w:t>
            </w:r>
          </w:p>
        </w:tc>
        <w:tc>
          <w:tcPr>
            <w:tcW w:w="1063" w:type="dxa"/>
            <w:tcBorders>
              <w:top w:val="nil"/>
              <w:left w:val="nil"/>
              <w:bottom w:val="nil"/>
              <w:right w:val="nil"/>
            </w:tcBorders>
            <w:shd w:val="clear" w:color="auto" w:fill="auto"/>
            <w:noWrap/>
            <w:vAlign w:val="bottom"/>
          </w:tcPr>
          <w:p w14:paraId="66AF5B1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-0.399***</w:t>
            </w:r>
          </w:p>
        </w:tc>
        <w:tc>
          <w:tcPr>
            <w:tcW w:w="1063" w:type="dxa"/>
            <w:tcBorders>
              <w:top w:val="nil"/>
              <w:left w:val="nil"/>
              <w:bottom w:val="nil"/>
              <w:right w:val="nil"/>
            </w:tcBorders>
            <w:shd w:val="clear" w:color="auto" w:fill="auto"/>
            <w:noWrap/>
            <w:vAlign w:val="bottom"/>
          </w:tcPr>
          <w:p w14:paraId="7047441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-0.242</w:t>
            </w:r>
          </w:p>
        </w:tc>
        <w:tc>
          <w:tcPr>
            <w:tcW w:w="1063" w:type="dxa"/>
            <w:tcBorders>
              <w:top w:val="nil"/>
              <w:left w:val="nil"/>
              <w:bottom w:val="nil"/>
              <w:right w:val="nil"/>
            </w:tcBorders>
            <w:shd w:val="clear" w:color="auto" w:fill="auto"/>
            <w:noWrap/>
            <w:vAlign w:val="bottom"/>
          </w:tcPr>
          <w:p w14:paraId="790B4CE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-0.457***</w:t>
            </w:r>
          </w:p>
        </w:tc>
      </w:tr>
      <w:tr w:rsidR="00524160" w:rsidRPr="004A792A" w14:paraId="7CED37F3" w14:textId="77777777" w:rsidTr="00260189">
        <w:tc>
          <w:tcPr>
            <w:tcW w:w="2694" w:type="dxa"/>
            <w:tcBorders>
              <w:top w:val="nil"/>
              <w:left w:val="nil"/>
              <w:bottom w:val="nil"/>
              <w:right w:val="single" w:sz="4" w:space="0" w:color="auto"/>
            </w:tcBorders>
            <w:shd w:val="clear" w:color="auto" w:fill="auto"/>
            <w:noWrap/>
            <w:vAlign w:val="bottom"/>
            <w:hideMark/>
          </w:tcPr>
          <w:p w14:paraId="0B858998"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nil"/>
              <w:right w:val="nil"/>
            </w:tcBorders>
            <w:shd w:val="clear" w:color="auto" w:fill="auto"/>
            <w:noWrap/>
            <w:vAlign w:val="bottom"/>
          </w:tcPr>
          <w:p w14:paraId="1CFC4B0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(0.111)</w:t>
            </w:r>
          </w:p>
        </w:tc>
        <w:tc>
          <w:tcPr>
            <w:tcW w:w="1063" w:type="dxa"/>
            <w:tcBorders>
              <w:top w:val="nil"/>
              <w:left w:val="nil"/>
              <w:bottom w:val="nil"/>
              <w:right w:val="nil"/>
            </w:tcBorders>
            <w:shd w:val="clear" w:color="auto" w:fill="auto"/>
            <w:noWrap/>
            <w:vAlign w:val="bottom"/>
          </w:tcPr>
          <w:p w14:paraId="15D66DD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(0.205)</w:t>
            </w:r>
          </w:p>
        </w:tc>
        <w:tc>
          <w:tcPr>
            <w:tcW w:w="1063" w:type="dxa"/>
            <w:tcBorders>
              <w:top w:val="nil"/>
              <w:left w:val="nil"/>
              <w:bottom w:val="nil"/>
              <w:right w:val="nil"/>
            </w:tcBorders>
            <w:shd w:val="clear" w:color="auto" w:fill="auto"/>
            <w:noWrap/>
            <w:vAlign w:val="bottom"/>
          </w:tcPr>
          <w:p w14:paraId="5E3F6F1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(0.127)</w:t>
            </w:r>
          </w:p>
        </w:tc>
        <w:tc>
          <w:tcPr>
            <w:tcW w:w="1063" w:type="dxa"/>
            <w:tcBorders>
              <w:top w:val="nil"/>
              <w:left w:val="nil"/>
              <w:bottom w:val="nil"/>
              <w:right w:val="nil"/>
            </w:tcBorders>
            <w:shd w:val="clear" w:color="auto" w:fill="auto"/>
            <w:noWrap/>
            <w:vAlign w:val="bottom"/>
          </w:tcPr>
          <w:p w14:paraId="4296D8B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(0.127)</w:t>
            </w:r>
          </w:p>
        </w:tc>
        <w:tc>
          <w:tcPr>
            <w:tcW w:w="1063" w:type="dxa"/>
            <w:tcBorders>
              <w:top w:val="nil"/>
              <w:left w:val="nil"/>
              <w:bottom w:val="nil"/>
              <w:right w:val="nil"/>
            </w:tcBorders>
            <w:shd w:val="clear" w:color="auto" w:fill="auto"/>
            <w:noWrap/>
            <w:vAlign w:val="bottom"/>
          </w:tcPr>
          <w:p w14:paraId="3003F5B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(0.285)</w:t>
            </w:r>
          </w:p>
        </w:tc>
        <w:tc>
          <w:tcPr>
            <w:tcW w:w="1063" w:type="dxa"/>
            <w:tcBorders>
              <w:top w:val="nil"/>
              <w:left w:val="nil"/>
              <w:bottom w:val="nil"/>
              <w:right w:val="nil"/>
            </w:tcBorders>
            <w:shd w:val="clear" w:color="auto" w:fill="auto"/>
            <w:noWrap/>
            <w:vAlign w:val="bottom"/>
          </w:tcPr>
          <w:p w14:paraId="22F71BA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(0.139)</w:t>
            </w:r>
          </w:p>
        </w:tc>
      </w:tr>
      <w:tr w:rsidR="00524160" w:rsidRPr="004A792A" w14:paraId="3D103355" w14:textId="77777777" w:rsidTr="00260189">
        <w:tc>
          <w:tcPr>
            <w:tcW w:w="2694" w:type="dxa"/>
            <w:tcBorders>
              <w:top w:val="nil"/>
              <w:left w:val="nil"/>
              <w:bottom w:val="nil"/>
              <w:right w:val="single" w:sz="4" w:space="0" w:color="auto"/>
            </w:tcBorders>
            <w:shd w:val="clear" w:color="auto" w:fill="auto"/>
            <w:noWrap/>
            <w:vAlign w:val="bottom"/>
            <w:hideMark/>
          </w:tcPr>
          <w:p w14:paraId="33885466"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South</w:t>
            </w:r>
          </w:p>
        </w:tc>
        <w:tc>
          <w:tcPr>
            <w:tcW w:w="1063" w:type="dxa"/>
            <w:tcBorders>
              <w:top w:val="nil"/>
              <w:left w:val="single" w:sz="4" w:space="0" w:color="auto"/>
              <w:bottom w:val="nil"/>
              <w:right w:val="nil"/>
            </w:tcBorders>
            <w:shd w:val="clear" w:color="auto" w:fill="auto"/>
            <w:noWrap/>
            <w:vAlign w:val="bottom"/>
          </w:tcPr>
          <w:p w14:paraId="101A8EE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-0.132</w:t>
            </w:r>
          </w:p>
        </w:tc>
        <w:tc>
          <w:tcPr>
            <w:tcW w:w="1063" w:type="dxa"/>
            <w:tcBorders>
              <w:top w:val="nil"/>
              <w:left w:val="nil"/>
              <w:bottom w:val="nil"/>
              <w:right w:val="nil"/>
            </w:tcBorders>
            <w:shd w:val="clear" w:color="auto" w:fill="auto"/>
            <w:noWrap/>
            <w:vAlign w:val="bottom"/>
          </w:tcPr>
          <w:p w14:paraId="65E99A3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-0.501***</w:t>
            </w:r>
          </w:p>
        </w:tc>
        <w:tc>
          <w:tcPr>
            <w:tcW w:w="1063" w:type="dxa"/>
            <w:tcBorders>
              <w:top w:val="nil"/>
              <w:left w:val="nil"/>
              <w:bottom w:val="nil"/>
              <w:right w:val="nil"/>
            </w:tcBorders>
            <w:shd w:val="clear" w:color="auto" w:fill="auto"/>
            <w:noWrap/>
            <w:vAlign w:val="bottom"/>
          </w:tcPr>
          <w:p w14:paraId="4DCF4AA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0.054</w:t>
            </w:r>
          </w:p>
        </w:tc>
        <w:tc>
          <w:tcPr>
            <w:tcW w:w="1063" w:type="dxa"/>
            <w:tcBorders>
              <w:top w:val="nil"/>
              <w:left w:val="nil"/>
              <w:bottom w:val="nil"/>
              <w:right w:val="nil"/>
            </w:tcBorders>
            <w:shd w:val="clear" w:color="auto" w:fill="auto"/>
            <w:noWrap/>
            <w:vAlign w:val="bottom"/>
          </w:tcPr>
          <w:p w14:paraId="2470253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-0.591***</w:t>
            </w:r>
          </w:p>
        </w:tc>
        <w:tc>
          <w:tcPr>
            <w:tcW w:w="1063" w:type="dxa"/>
            <w:tcBorders>
              <w:top w:val="nil"/>
              <w:left w:val="nil"/>
              <w:bottom w:val="nil"/>
              <w:right w:val="nil"/>
            </w:tcBorders>
            <w:shd w:val="clear" w:color="auto" w:fill="auto"/>
            <w:noWrap/>
            <w:vAlign w:val="bottom"/>
          </w:tcPr>
          <w:p w14:paraId="7D4F7C93"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-0.454</w:t>
            </w:r>
          </w:p>
        </w:tc>
        <w:tc>
          <w:tcPr>
            <w:tcW w:w="1063" w:type="dxa"/>
            <w:tcBorders>
              <w:top w:val="nil"/>
              <w:left w:val="nil"/>
              <w:bottom w:val="nil"/>
              <w:right w:val="nil"/>
            </w:tcBorders>
            <w:shd w:val="clear" w:color="auto" w:fill="auto"/>
            <w:noWrap/>
            <w:vAlign w:val="bottom"/>
          </w:tcPr>
          <w:p w14:paraId="6D6B00F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-0.642***</w:t>
            </w:r>
          </w:p>
        </w:tc>
      </w:tr>
      <w:tr w:rsidR="00524160" w:rsidRPr="004A792A" w14:paraId="58F9453E" w14:textId="77777777" w:rsidTr="00260189">
        <w:tc>
          <w:tcPr>
            <w:tcW w:w="2694" w:type="dxa"/>
            <w:tcBorders>
              <w:top w:val="nil"/>
              <w:left w:val="nil"/>
              <w:right w:val="single" w:sz="4" w:space="0" w:color="auto"/>
            </w:tcBorders>
            <w:shd w:val="clear" w:color="auto" w:fill="auto"/>
            <w:noWrap/>
            <w:vAlign w:val="bottom"/>
            <w:hideMark/>
          </w:tcPr>
          <w:p w14:paraId="318E219E"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right w:val="nil"/>
            </w:tcBorders>
            <w:shd w:val="clear" w:color="auto" w:fill="auto"/>
            <w:noWrap/>
            <w:vAlign w:val="bottom"/>
          </w:tcPr>
          <w:p w14:paraId="34AC66C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(0.167)</w:t>
            </w:r>
          </w:p>
        </w:tc>
        <w:tc>
          <w:tcPr>
            <w:tcW w:w="1063" w:type="dxa"/>
            <w:tcBorders>
              <w:top w:val="nil"/>
              <w:left w:val="nil"/>
              <w:right w:val="nil"/>
            </w:tcBorders>
            <w:shd w:val="clear" w:color="auto" w:fill="auto"/>
            <w:noWrap/>
            <w:vAlign w:val="bottom"/>
          </w:tcPr>
          <w:p w14:paraId="54F03CA8"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(0.172)</w:t>
            </w:r>
          </w:p>
        </w:tc>
        <w:tc>
          <w:tcPr>
            <w:tcW w:w="1063" w:type="dxa"/>
            <w:tcBorders>
              <w:top w:val="nil"/>
              <w:left w:val="nil"/>
              <w:right w:val="nil"/>
            </w:tcBorders>
            <w:shd w:val="clear" w:color="auto" w:fill="auto"/>
            <w:noWrap/>
            <w:vAlign w:val="bottom"/>
          </w:tcPr>
          <w:p w14:paraId="1F53DAB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(0.219)</w:t>
            </w:r>
          </w:p>
        </w:tc>
        <w:tc>
          <w:tcPr>
            <w:tcW w:w="1063" w:type="dxa"/>
            <w:tcBorders>
              <w:top w:val="nil"/>
              <w:left w:val="nil"/>
              <w:right w:val="nil"/>
            </w:tcBorders>
            <w:shd w:val="clear" w:color="auto" w:fill="auto"/>
            <w:noWrap/>
            <w:vAlign w:val="bottom"/>
          </w:tcPr>
          <w:p w14:paraId="6EFB591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(0.183)</w:t>
            </w:r>
          </w:p>
        </w:tc>
        <w:tc>
          <w:tcPr>
            <w:tcW w:w="1063" w:type="dxa"/>
            <w:tcBorders>
              <w:top w:val="nil"/>
              <w:left w:val="nil"/>
              <w:right w:val="nil"/>
            </w:tcBorders>
            <w:shd w:val="clear" w:color="auto" w:fill="auto"/>
            <w:noWrap/>
            <w:vAlign w:val="bottom"/>
          </w:tcPr>
          <w:p w14:paraId="3B962F7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(0.314)</w:t>
            </w:r>
          </w:p>
        </w:tc>
        <w:tc>
          <w:tcPr>
            <w:tcW w:w="1063" w:type="dxa"/>
            <w:tcBorders>
              <w:top w:val="nil"/>
              <w:left w:val="nil"/>
              <w:right w:val="nil"/>
            </w:tcBorders>
            <w:shd w:val="clear" w:color="auto" w:fill="auto"/>
            <w:noWrap/>
            <w:vAlign w:val="bottom"/>
          </w:tcPr>
          <w:p w14:paraId="0BA8776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(0.221)</w:t>
            </w:r>
          </w:p>
        </w:tc>
      </w:tr>
      <w:tr w:rsidR="00524160" w:rsidRPr="004A792A" w14:paraId="5A51B5F5" w14:textId="77777777" w:rsidTr="00260189">
        <w:tc>
          <w:tcPr>
            <w:tcW w:w="2694" w:type="dxa"/>
            <w:tcBorders>
              <w:top w:val="nil"/>
              <w:left w:val="nil"/>
              <w:bottom w:val="nil"/>
              <w:right w:val="single" w:sz="4" w:space="0" w:color="auto"/>
            </w:tcBorders>
            <w:shd w:val="clear" w:color="auto" w:fill="auto"/>
            <w:noWrap/>
            <w:vAlign w:val="bottom"/>
            <w:hideMark/>
          </w:tcPr>
          <w:p w14:paraId="6DE23669" w14:textId="77777777" w:rsidR="00524160" w:rsidRPr="004A792A" w:rsidRDefault="00524160" w:rsidP="00260189">
            <w:pPr>
              <w:spacing w:before="0"/>
              <w:rPr>
                <w:rFonts w:eastAsia="Times New Roman" w:cstheme="minorHAnsi"/>
                <w:sz w:val="20"/>
                <w:szCs w:val="20"/>
                <w:lang w:val="en-US"/>
              </w:rPr>
            </w:pPr>
            <w:r w:rsidRPr="004A792A">
              <w:rPr>
                <w:rFonts w:eastAsia="Times New Roman" w:cstheme="minorHAnsi"/>
                <w:sz w:val="20"/>
                <w:szCs w:val="20"/>
                <w:lang w:val="en-US"/>
              </w:rPr>
              <w:t>Chisinau</w:t>
            </w:r>
          </w:p>
        </w:tc>
        <w:tc>
          <w:tcPr>
            <w:tcW w:w="1063" w:type="dxa"/>
            <w:tcBorders>
              <w:top w:val="nil"/>
              <w:left w:val="single" w:sz="4" w:space="0" w:color="auto"/>
              <w:bottom w:val="nil"/>
              <w:right w:val="nil"/>
            </w:tcBorders>
            <w:shd w:val="clear" w:color="auto" w:fill="auto"/>
            <w:noWrap/>
            <w:vAlign w:val="bottom"/>
          </w:tcPr>
          <w:p w14:paraId="1A4E40A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-0.505***</w:t>
            </w:r>
          </w:p>
        </w:tc>
        <w:tc>
          <w:tcPr>
            <w:tcW w:w="1063" w:type="dxa"/>
            <w:tcBorders>
              <w:top w:val="nil"/>
              <w:left w:val="nil"/>
              <w:bottom w:val="nil"/>
              <w:right w:val="nil"/>
            </w:tcBorders>
            <w:shd w:val="clear" w:color="auto" w:fill="auto"/>
            <w:noWrap/>
            <w:vAlign w:val="bottom"/>
          </w:tcPr>
          <w:p w14:paraId="4712E65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-0.690***</w:t>
            </w:r>
          </w:p>
        </w:tc>
        <w:tc>
          <w:tcPr>
            <w:tcW w:w="1063" w:type="dxa"/>
            <w:tcBorders>
              <w:top w:val="nil"/>
              <w:left w:val="nil"/>
              <w:bottom w:val="nil"/>
              <w:right w:val="nil"/>
            </w:tcBorders>
            <w:shd w:val="clear" w:color="auto" w:fill="auto"/>
            <w:noWrap/>
            <w:vAlign w:val="bottom"/>
          </w:tcPr>
          <w:p w14:paraId="3B1C514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-0.371***</w:t>
            </w:r>
          </w:p>
        </w:tc>
        <w:tc>
          <w:tcPr>
            <w:tcW w:w="1063" w:type="dxa"/>
            <w:tcBorders>
              <w:top w:val="nil"/>
              <w:left w:val="nil"/>
              <w:bottom w:val="nil"/>
              <w:right w:val="nil"/>
            </w:tcBorders>
            <w:shd w:val="clear" w:color="auto" w:fill="auto"/>
            <w:noWrap/>
            <w:vAlign w:val="bottom"/>
          </w:tcPr>
          <w:p w14:paraId="486611C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-0.321**</w:t>
            </w:r>
          </w:p>
        </w:tc>
        <w:tc>
          <w:tcPr>
            <w:tcW w:w="1063" w:type="dxa"/>
            <w:tcBorders>
              <w:top w:val="nil"/>
              <w:left w:val="nil"/>
              <w:bottom w:val="nil"/>
              <w:right w:val="nil"/>
            </w:tcBorders>
            <w:shd w:val="clear" w:color="auto" w:fill="auto"/>
            <w:noWrap/>
            <w:vAlign w:val="bottom"/>
          </w:tcPr>
          <w:p w14:paraId="0EC550C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-0.168</w:t>
            </w:r>
          </w:p>
        </w:tc>
        <w:tc>
          <w:tcPr>
            <w:tcW w:w="1063" w:type="dxa"/>
            <w:tcBorders>
              <w:top w:val="nil"/>
              <w:left w:val="nil"/>
              <w:bottom w:val="nil"/>
              <w:right w:val="nil"/>
            </w:tcBorders>
            <w:shd w:val="clear" w:color="auto" w:fill="auto"/>
            <w:noWrap/>
            <w:vAlign w:val="bottom"/>
          </w:tcPr>
          <w:p w14:paraId="42B9507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-0.797***</w:t>
            </w:r>
          </w:p>
        </w:tc>
      </w:tr>
      <w:tr w:rsidR="00524160" w:rsidRPr="004A792A" w14:paraId="11967F00" w14:textId="77777777" w:rsidTr="00260189">
        <w:tc>
          <w:tcPr>
            <w:tcW w:w="2694" w:type="dxa"/>
            <w:tcBorders>
              <w:top w:val="nil"/>
              <w:left w:val="nil"/>
              <w:bottom w:val="single" w:sz="4" w:space="0" w:color="auto"/>
              <w:right w:val="single" w:sz="4" w:space="0" w:color="auto"/>
            </w:tcBorders>
            <w:shd w:val="clear" w:color="auto" w:fill="auto"/>
            <w:noWrap/>
            <w:vAlign w:val="bottom"/>
            <w:hideMark/>
          </w:tcPr>
          <w:p w14:paraId="0BBE5D16"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single" w:sz="4" w:space="0" w:color="auto"/>
              <w:right w:val="nil"/>
            </w:tcBorders>
            <w:shd w:val="clear" w:color="auto" w:fill="auto"/>
            <w:noWrap/>
            <w:vAlign w:val="bottom"/>
          </w:tcPr>
          <w:p w14:paraId="2105C9B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(0.120)</w:t>
            </w:r>
          </w:p>
        </w:tc>
        <w:tc>
          <w:tcPr>
            <w:tcW w:w="1063" w:type="dxa"/>
            <w:tcBorders>
              <w:top w:val="nil"/>
              <w:left w:val="nil"/>
              <w:bottom w:val="single" w:sz="4" w:space="0" w:color="auto"/>
              <w:right w:val="nil"/>
            </w:tcBorders>
            <w:shd w:val="clear" w:color="auto" w:fill="auto"/>
            <w:noWrap/>
            <w:vAlign w:val="bottom"/>
          </w:tcPr>
          <w:p w14:paraId="7619531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(0.137)</w:t>
            </w:r>
          </w:p>
        </w:tc>
        <w:tc>
          <w:tcPr>
            <w:tcW w:w="1063" w:type="dxa"/>
            <w:tcBorders>
              <w:top w:val="nil"/>
              <w:left w:val="nil"/>
              <w:bottom w:val="single" w:sz="4" w:space="0" w:color="auto"/>
              <w:right w:val="nil"/>
            </w:tcBorders>
            <w:shd w:val="clear" w:color="auto" w:fill="auto"/>
            <w:noWrap/>
            <w:vAlign w:val="bottom"/>
          </w:tcPr>
          <w:p w14:paraId="4494933C"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(0.118)</w:t>
            </w:r>
          </w:p>
        </w:tc>
        <w:tc>
          <w:tcPr>
            <w:tcW w:w="1063" w:type="dxa"/>
            <w:tcBorders>
              <w:top w:val="nil"/>
              <w:left w:val="nil"/>
              <w:bottom w:val="single" w:sz="4" w:space="0" w:color="auto"/>
              <w:right w:val="nil"/>
            </w:tcBorders>
            <w:shd w:val="clear" w:color="auto" w:fill="auto"/>
            <w:noWrap/>
            <w:vAlign w:val="bottom"/>
          </w:tcPr>
          <w:p w14:paraId="12E1398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(0.149)</w:t>
            </w:r>
          </w:p>
        </w:tc>
        <w:tc>
          <w:tcPr>
            <w:tcW w:w="1063" w:type="dxa"/>
            <w:tcBorders>
              <w:top w:val="nil"/>
              <w:left w:val="nil"/>
              <w:bottom w:val="single" w:sz="4" w:space="0" w:color="auto"/>
              <w:right w:val="nil"/>
            </w:tcBorders>
            <w:shd w:val="clear" w:color="auto" w:fill="auto"/>
            <w:noWrap/>
            <w:vAlign w:val="bottom"/>
          </w:tcPr>
          <w:p w14:paraId="65694DA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(0.207)</w:t>
            </w:r>
          </w:p>
        </w:tc>
        <w:tc>
          <w:tcPr>
            <w:tcW w:w="1063" w:type="dxa"/>
            <w:tcBorders>
              <w:top w:val="nil"/>
              <w:left w:val="nil"/>
              <w:bottom w:val="single" w:sz="4" w:space="0" w:color="auto"/>
              <w:right w:val="nil"/>
            </w:tcBorders>
            <w:shd w:val="clear" w:color="auto" w:fill="auto"/>
            <w:noWrap/>
            <w:vAlign w:val="bottom"/>
          </w:tcPr>
          <w:p w14:paraId="13D5F14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(0.103)</w:t>
            </w:r>
          </w:p>
        </w:tc>
      </w:tr>
      <w:tr w:rsidR="00524160" w:rsidRPr="004A792A" w14:paraId="38E107B5" w14:textId="77777777" w:rsidTr="00260189">
        <w:tc>
          <w:tcPr>
            <w:tcW w:w="2694" w:type="dxa"/>
            <w:tcBorders>
              <w:top w:val="single" w:sz="4" w:space="0" w:color="auto"/>
              <w:left w:val="nil"/>
              <w:bottom w:val="nil"/>
              <w:right w:val="single" w:sz="4" w:space="0" w:color="auto"/>
            </w:tcBorders>
            <w:shd w:val="clear" w:color="auto" w:fill="auto"/>
            <w:noWrap/>
            <w:vAlign w:val="bottom"/>
            <w:hideMark/>
          </w:tcPr>
          <w:p w14:paraId="5592D1AE" w14:textId="77777777" w:rsidR="00524160" w:rsidRPr="004A792A" w:rsidRDefault="00524160" w:rsidP="00260189">
            <w:pPr>
              <w:spacing w:before="0"/>
              <w:rPr>
                <w:rFonts w:eastAsia="Times New Roman" w:cstheme="minorHAnsi"/>
                <w:color w:val="000000"/>
                <w:sz w:val="20"/>
                <w:szCs w:val="20"/>
                <w:lang w:val="en-US"/>
              </w:rPr>
            </w:pPr>
            <w:r w:rsidRPr="004A792A">
              <w:rPr>
                <w:rFonts w:eastAsia="Times New Roman" w:cstheme="minorHAnsi"/>
                <w:color w:val="000000"/>
                <w:sz w:val="20"/>
                <w:szCs w:val="20"/>
                <w:lang w:val="en-US"/>
              </w:rPr>
              <w:t>Constant</w:t>
            </w:r>
          </w:p>
        </w:tc>
        <w:tc>
          <w:tcPr>
            <w:tcW w:w="1063" w:type="dxa"/>
            <w:tcBorders>
              <w:top w:val="single" w:sz="4" w:space="0" w:color="auto"/>
              <w:left w:val="single" w:sz="4" w:space="0" w:color="auto"/>
              <w:bottom w:val="nil"/>
              <w:right w:val="nil"/>
            </w:tcBorders>
            <w:shd w:val="clear" w:color="auto" w:fill="auto"/>
            <w:noWrap/>
            <w:vAlign w:val="bottom"/>
          </w:tcPr>
          <w:p w14:paraId="7C82E04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0.142</w:t>
            </w:r>
          </w:p>
        </w:tc>
        <w:tc>
          <w:tcPr>
            <w:tcW w:w="1063" w:type="dxa"/>
            <w:tcBorders>
              <w:top w:val="single" w:sz="4" w:space="0" w:color="auto"/>
              <w:left w:val="nil"/>
              <w:bottom w:val="nil"/>
              <w:right w:val="nil"/>
            </w:tcBorders>
            <w:shd w:val="clear" w:color="auto" w:fill="auto"/>
            <w:noWrap/>
            <w:vAlign w:val="bottom"/>
          </w:tcPr>
          <w:p w14:paraId="43E28BA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-0.525</w:t>
            </w:r>
          </w:p>
        </w:tc>
        <w:tc>
          <w:tcPr>
            <w:tcW w:w="1063" w:type="dxa"/>
            <w:tcBorders>
              <w:top w:val="single" w:sz="4" w:space="0" w:color="auto"/>
              <w:left w:val="nil"/>
              <w:bottom w:val="nil"/>
              <w:right w:val="nil"/>
            </w:tcBorders>
            <w:shd w:val="clear" w:color="auto" w:fill="auto"/>
            <w:noWrap/>
            <w:vAlign w:val="bottom"/>
          </w:tcPr>
          <w:p w14:paraId="6514AF14"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0.372</w:t>
            </w:r>
          </w:p>
        </w:tc>
        <w:tc>
          <w:tcPr>
            <w:tcW w:w="1063" w:type="dxa"/>
            <w:tcBorders>
              <w:top w:val="single" w:sz="4" w:space="0" w:color="auto"/>
              <w:left w:val="nil"/>
              <w:bottom w:val="nil"/>
              <w:right w:val="nil"/>
            </w:tcBorders>
            <w:shd w:val="clear" w:color="auto" w:fill="auto"/>
            <w:noWrap/>
            <w:vAlign w:val="bottom"/>
          </w:tcPr>
          <w:p w14:paraId="658D868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2.155***</w:t>
            </w:r>
          </w:p>
        </w:tc>
        <w:tc>
          <w:tcPr>
            <w:tcW w:w="1063" w:type="dxa"/>
            <w:tcBorders>
              <w:top w:val="single" w:sz="4" w:space="0" w:color="auto"/>
              <w:left w:val="nil"/>
              <w:bottom w:val="nil"/>
              <w:right w:val="nil"/>
            </w:tcBorders>
            <w:shd w:val="clear" w:color="auto" w:fill="auto"/>
            <w:noWrap/>
            <w:vAlign w:val="bottom"/>
          </w:tcPr>
          <w:p w14:paraId="016FCBD5"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0.010</w:t>
            </w:r>
          </w:p>
        </w:tc>
        <w:tc>
          <w:tcPr>
            <w:tcW w:w="1063" w:type="dxa"/>
            <w:tcBorders>
              <w:top w:val="single" w:sz="4" w:space="0" w:color="auto"/>
              <w:left w:val="nil"/>
              <w:bottom w:val="nil"/>
              <w:right w:val="nil"/>
            </w:tcBorders>
            <w:shd w:val="clear" w:color="auto" w:fill="auto"/>
            <w:noWrap/>
            <w:vAlign w:val="bottom"/>
          </w:tcPr>
          <w:p w14:paraId="38EB607A"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2.849***</w:t>
            </w:r>
          </w:p>
        </w:tc>
      </w:tr>
      <w:tr w:rsidR="00524160" w:rsidRPr="004A792A" w14:paraId="2BD97E7C" w14:textId="77777777" w:rsidTr="00260189">
        <w:tc>
          <w:tcPr>
            <w:tcW w:w="2694" w:type="dxa"/>
            <w:tcBorders>
              <w:top w:val="nil"/>
              <w:left w:val="nil"/>
              <w:bottom w:val="single" w:sz="4" w:space="0" w:color="auto"/>
              <w:right w:val="single" w:sz="4" w:space="0" w:color="auto"/>
            </w:tcBorders>
            <w:shd w:val="clear" w:color="auto" w:fill="auto"/>
            <w:noWrap/>
            <w:vAlign w:val="bottom"/>
            <w:hideMark/>
          </w:tcPr>
          <w:p w14:paraId="2BF17276" w14:textId="77777777" w:rsidR="00524160" w:rsidRPr="004A792A" w:rsidRDefault="00524160" w:rsidP="00260189">
            <w:pPr>
              <w:spacing w:before="0"/>
              <w:jc w:val="center"/>
              <w:rPr>
                <w:rFonts w:eastAsia="Times New Roman" w:cstheme="minorHAnsi"/>
                <w:color w:val="000000"/>
                <w:sz w:val="20"/>
                <w:szCs w:val="20"/>
                <w:lang w:val="en-US"/>
              </w:rPr>
            </w:pPr>
          </w:p>
        </w:tc>
        <w:tc>
          <w:tcPr>
            <w:tcW w:w="1063" w:type="dxa"/>
            <w:tcBorders>
              <w:top w:val="nil"/>
              <w:left w:val="single" w:sz="4" w:space="0" w:color="auto"/>
              <w:bottom w:val="single" w:sz="4" w:space="0" w:color="auto"/>
              <w:right w:val="nil"/>
            </w:tcBorders>
            <w:shd w:val="clear" w:color="auto" w:fill="auto"/>
            <w:noWrap/>
            <w:vAlign w:val="bottom"/>
          </w:tcPr>
          <w:p w14:paraId="68C0EC2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(0.331)</w:t>
            </w:r>
          </w:p>
        </w:tc>
        <w:tc>
          <w:tcPr>
            <w:tcW w:w="1063" w:type="dxa"/>
            <w:tcBorders>
              <w:top w:val="nil"/>
              <w:left w:val="nil"/>
              <w:bottom w:val="single" w:sz="4" w:space="0" w:color="auto"/>
              <w:right w:val="nil"/>
            </w:tcBorders>
            <w:shd w:val="clear" w:color="auto" w:fill="auto"/>
            <w:noWrap/>
            <w:vAlign w:val="bottom"/>
          </w:tcPr>
          <w:p w14:paraId="4C31C6AD"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(0.663)</w:t>
            </w:r>
          </w:p>
        </w:tc>
        <w:tc>
          <w:tcPr>
            <w:tcW w:w="1063" w:type="dxa"/>
            <w:tcBorders>
              <w:top w:val="nil"/>
              <w:left w:val="nil"/>
              <w:bottom w:val="single" w:sz="4" w:space="0" w:color="auto"/>
              <w:right w:val="nil"/>
            </w:tcBorders>
            <w:shd w:val="clear" w:color="auto" w:fill="auto"/>
            <w:noWrap/>
            <w:vAlign w:val="bottom"/>
          </w:tcPr>
          <w:p w14:paraId="2C9FC18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(0.369)</w:t>
            </w:r>
          </w:p>
        </w:tc>
        <w:tc>
          <w:tcPr>
            <w:tcW w:w="1063" w:type="dxa"/>
            <w:tcBorders>
              <w:top w:val="nil"/>
              <w:left w:val="nil"/>
              <w:bottom w:val="single" w:sz="4" w:space="0" w:color="auto"/>
              <w:right w:val="nil"/>
            </w:tcBorders>
            <w:shd w:val="clear" w:color="auto" w:fill="auto"/>
            <w:noWrap/>
            <w:vAlign w:val="bottom"/>
          </w:tcPr>
          <w:p w14:paraId="07CF1F80"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(0.361)</w:t>
            </w:r>
          </w:p>
        </w:tc>
        <w:tc>
          <w:tcPr>
            <w:tcW w:w="1063" w:type="dxa"/>
            <w:tcBorders>
              <w:top w:val="nil"/>
              <w:left w:val="nil"/>
              <w:bottom w:val="single" w:sz="4" w:space="0" w:color="auto"/>
              <w:right w:val="nil"/>
            </w:tcBorders>
            <w:shd w:val="clear" w:color="auto" w:fill="auto"/>
            <w:noWrap/>
            <w:vAlign w:val="bottom"/>
          </w:tcPr>
          <w:p w14:paraId="2FF8165E"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(0.727)</w:t>
            </w:r>
          </w:p>
        </w:tc>
        <w:tc>
          <w:tcPr>
            <w:tcW w:w="1063" w:type="dxa"/>
            <w:tcBorders>
              <w:top w:val="nil"/>
              <w:left w:val="nil"/>
              <w:bottom w:val="single" w:sz="4" w:space="0" w:color="auto"/>
              <w:right w:val="nil"/>
            </w:tcBorders>
            <w:shd w:val="clear" w:color="auto" w:fill="auto"/>
            <w:noWrap/>
            <w:vAlign w:val="bottom"/>
          </w:tcPr>
          <w:p w14:paraId="5B7ED5B6"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(0.402)</w:t>
            </w:r>
          </w:p>
        </w:tc>
      </w:tr>
      <w:tr w:rsidR="00524160" w:rsidRPr="004A792A" w14:paraId="696F9795" w14:textId="77777777" w:rsidTr="00260189">
        <w:tc>
          <w:tcPr>
            <w:tcW w:w="2694" w:type="dxa"/>
            <w:tcBorders>
              <w:top w:val="single" w:sz="4" w:space="0" w:color="auto"/>
              <w:left w:val="nil"/>
              <w:bottom w:val="single" w:sz="4" w:space="0" w:color="000000"/>
              <w:right w:val="single" w:sz="4" w:space="0" w:color="auto"/>
            </w:tcBorders>
            <w:shd w:val="clear" w:color="auto" w:fill="auto"/>
            <w:noWrap/>
            <w:vAlign w:val="bottom"/>
            <w:hideMark/>
          </w:tcPr>
          <w:p w14:paraId="51D62CF1" w14:textId="77777777" w:rsidR="00524160" w:rsidRPr="004A792A" w:rsidRDefault="00524160" w:rsidP="00260189">
            <w:pPr>
              <w:spacing w:before="0"/>
              <w:rPr>
                <w:rFonts w:eastAsia="Times New Roman" w:cstheme="minorHAnsi"/>
                <w:color w:val="000000"/>
                <w:sz w:val="20"/>
                <w:szCs w:val="20"/>
                <w:lang w:val="en-US"/>
              </w:rPr>
            </w:pPr>
            <w:proofErr w:type="spellStart"/>
            <w:r w:rsidRPr="004A792A">
              <w:rPr>
                <w:rFonts w:eastAsia="Times New Roman" w:cstheme="minorHAnsi"/>
                <w:color w:val="000000"/>
                <w:sz w:val="20"/>
                <w:szCs w:val="20"/>
                <w:lang w:val="en-US"/>
              </w:rPr>
              <w:t>N_cases</w:t>
            </w:r>
            <w:proofErr w:type="spellEnd"/>
          </w:p>
        </w:tc>
        <w:tc>
          <w:tcPr>
            <w:tcW w:w="1063" w:type="dxa"/>
            <w:tcBorders>
              <w:top w:val="single" w:sz="4" w:space="0" w:color="auto"/>
              <w:left w:val="single" w:sz="4" w:space="0" w:color="auto"/>
              <w:bottom w:val="single" w:sz="4" w:space="0" w:color="000000"/>
              <w:right w:val="nil"/>
            </w:tcBorders>
            <w:shd w:val="clear" w:color="auto" w:fill="auto"/>
            <w:noWrap/>
            <w:vAlign w:val="bottom"/>
          </w:tcPr>
          <w:p w14:paraId="208707D9"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8463</w:t>
            </w:r>
          </w:p>
        </w:tc>
        <w:tc>
          <w:tcPr>
            <w:tcW w:w="1063" w:type="dxa"/>
            <w:tcBorders>
              <w:top w:val="single" w:sz="4" w:space="0" w:color="auto"/>
              <w:left w:val="nil"/>
              <w:bottom w:val="single" w:sz="4" w:space="0" w:color="000000"/>
              <w:right w:val="nil"/>
            </w:tcBorders>
            <w:shd w:val="clear" w:color="auto" w:fill="auto"/>
            <w:noWrap/>
            <w:vAlign w:val="bottom"/>
          </w:tcPr>
          <w:p w14:paraId="7744D1B1"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3034</w:t>
            </w:r>
          </w:p>
        </w:tc>
        <w:tc>
          <w:tcPr>
            <w:tcW w:w="1063" w:type="dxa"/>
            <w:tcBorders>
              <w:top w:val="single" w:sz="4" w:space="0" w:color="auto"/>
              <w:left w:val="nil"/>
              <w:bottom w:val="single" w:sz="4" w:space="0" w:color="000000"/>
              <w:right w:val="nil"/>
            </w:tcBorders>
            <w:shd w:val="clear" w:color="auto" w:fill="auto"/>
            <w:noWrap/>
            <w:vAlign w:val="bottom"/>
          </w:tcPr>
          <w:p w14:paraId="262D668B"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5429</w:t>
            </w:r>
          </w:p>
        </w:tc>
        <w:tc>
          <w:tcPr>
            <w:tcW w:w="1063" w:type="dxa"/>
            <w:tcBorders>
              <w:top w:val="single" w:sz="4" w:space="0" w:color="auto"/>
              <w:left w:val="nil"/>
              <w:bottom w:val="single" w:sz="4" w:space="0" w:color="000000"/>
              <w:right w:val="nil"/>
            </w:tcBorders>
            <w:shd w:val="clear" w:color="auto" w:fill="auto"/>
            <w:noWrap/>
            <w:vAlign w:val="bottom"/>
          </w:tcPr>
          <w:p w14:paraId="36C3A40F"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8463</w:t>
            </w:r>
          </w:p>
        </w:tc>
        <w:tc>
          <w:tcPr>
            <w:tcW w:w="1063" w:type="dxa"/>
            <w:tcBorders>
              <w:top w:val="single" w:sz="4" w:space="0" w:color="auto"/>
              <w:left w:val="nil"/>
              <w:bottom w:val="single" w:sz="4" w:space="0" w:color="000000"/>
              <w:right w:val="nil"/>
            </w:tcBorders>
            <w:shd w:val="clear" w:color="auto" w:fill="auto"/>
            <w:noWrap/>
            <w:vAlign w:val="bottom"/>
          </w:tcPr>
          <w:p w14:paraId="0A79AAD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3034</w:t>
            </w:r>
          </w:p>
        </w:tc>
        <w:tc>
          <w:tcPr>
            <w:tcW w:w="1063" w:type="dxa"/>
            <w:tcBorders>
              <w:top w:val="single" w:sz="4" w:space="0" w:color="auto"/>
              <w:left w:val="nil"/>
              <w:bottom w:val="single" w:sz="4" w:space="0" w:color="000000"/>
              <w:right w:val="nil"/>
            </w:tcBorders>
            <w:shd w:val="clear" w:color="auto" w:fill="auto"/>
            <w:noWrap/>
            <w:vAlign w:val="bottom"/>
          </w:tcPr>
          <w:p w14:paraId="789AE5D2" w14:textId="77777777" w:rsidR="00524160" w:rsidRPr="004A792A" w:rsidRDefault="00524160" w:rsidP="00260189">
            <w:pPr>
              <w:spacing w:before="0"/>
              <w:jc w:val="center"/>
              <w:rPr>
                <w:rFonts w:eastAsia="Times New Roman" w:cstheme="minorHAnsi"/>
                <w:color w:val="000000"/>
                <w:sz w:val="20"/>
                <w:szCs w:val="20"/>
                <w:lang w:val="en-US"/>
              </w:rPr>
            </w:pPr>
            <w:r w:rsidRPr="004A792A">
              <w:rPr>
                <w:rFonts w:ascii="Calibri" w:hAnsi="Calibri" w:cs="Calibri"/>
                <w:color w:val="000000"/>
                <w:sz w:val="20"/>
                <w:szCs w:val="20"/>
                <w:lang w:val="en-US"/>
              </w:rPr>
              <w:t>5429</w:t>
            </w:r>
          </w:p>
        </w:tc>
      </w:tr>
    </w:tbl>
    <w:p w14:paraId="7917175A" w14:textId="77777777" w:rsidR="00524160" w:rsidRDefault="00524160" w:rsidP="00F050CF">
      <w:pPr>
        <w:jc w:val="both"/>
        <w:rPr>
          <w:i/>
          <w:sz w:val="20"/>
          <w:szCs w:val="20"/>
          <w:lang w:val="en-US"/>
        </w:rPr>
      </w:pPr>
      <w:r w:rsidRPr="004A792A">
        <w:rPr>
          <w:i/>
          <w:sz w:val="20"/>
          <w:szCs w:val="20"/>
          <w:lang w:val="en-US"/>
        </w:rPr>
        <w:t xml:space="preserve">Note: Dependent variable “Self-employment” is a dummy variable equal to 1 for own-account workers and employers, and 0 for employed women of other statuses. Dependent variable “Informal employment” is a dummy variable equal to 1 for informally employed female workers (all employment statuses), and 0 for formally employed women. Standard errors in parentheses, estimated with the </w:t>
      </w:r>
      <w:proofErr w:type="spellStart"/>
      <w:r w:rsidRPr="004A792A">
        <w:rPr>
          <w:i/>
          <w:sz w:val="20"/>
          <w:szCs w:val="20"/>
          <w:lang w:val="en-US"/>
        </w:rPr>
        <w:t>svy</w:t>
      </w:r>
      <w:proofErr w:type="spellEnd"/>
      <w:r w:rsidRPr="004A792A">
        <w:rPr>
          <w:i/>
          <w:sz w:val="20"/>
          <w:szCs w:val="20"/>
          <w:lang w:val="en-US"/>
        </w:rPr>
        <w:t xml:space="preserve"> command using clusters and sample weights. *** p&lt;0.01, ** p&lt;0.05, * p&lt;0.1. Reference categories: No children under 18 years; Single; Lower secondary education and less; Rural; North.</w:t>
      </w:r>
    </w:p>
    <w:p w14:paraId="43CCB36F" w14:textId="77777777" w:rsidR="00350482" w:rsidRPr="004A792A" w:rsidRDefault="00350482" w:rsidP="00F050CF">
      <w:pPr>
        <w:jc w:val="both"/>
        <w:rPr>
          <w:i/>
          <w:sz w:val="20"/>
          <w:szCs w:val="20"/>
          <w:lang w:val="en-US"/>
        </w:rPr>
      </w:pPr>
    </w:p>
    <w:p w14:paraId="05E7CAF0" w14:textId="77777777" w:rsidR="00153A1C" w:rsidRPr="004A792A" w:rsidRDefault="00153A1C" w:rsidP="00A9783E">
      <w:pPr>
        <w:pStyle w:val="ad"/>
        <w:jc w:val="left"/>
        <w:rPr>
          <w:lang w:val="en-US"/>
        </w:rPr>
        <w:sectPr w:rsidR="00153A1C" w:rsidRPr="004A792A" w:rsidSect="00B812D3">
          <w:pgSz w:w="11909" w:h="16834" w:code="9"/>
          <w:pgMar w:top="1440" w:right="1440" w:bottom="1440" w:left="1440" w:header="720" w:footer="720" w:gutter="0"/>
          <w:cols w:space="720"/>
          <w:docGrid w:linePitch="360"/>
        </w:sectPr>
      </w:pPr>
      <w:bookmarkStart w:id="165" w:name="_Ref519267527"/>
    </w:p>
    <w:p w14:paraId="28611AC0" w14:textId="69E8204E" w:rsidR="00A9783E" w:rsidRPr="004A792A" w:rsidRDefault="00A038A5" w:rsidP="00A9783E">
      <w:pPr>
        <w:pStyle w:val="ad"/>
        <w:jc w:val="left"/>
        <w:rPr>
          <w:lang w:val="en-US"/>
        </w:rPr>
      </w:pPr>
      <w:bookmarkStart w:id="166" w:name="_Ref519274383"/>
      <w:bookmarkStart w:id="167" w:name="_Toc533185141"/>
      <w:r>
        <w:lastRenderedPageBreak/>
        <w:t>Table A-</w:t>
      </w:r>
      <w:r>
        <w:fldChar w:fldCharType="begin"/>
      </w:r>
      <w:r>
        <w:instrText xml:space="preserve"> SEQ Table_A- \* ARABIC </w:instrText>
      </w:r>
      <w:r>
        <w:fldChar w:fldCharType="separate"/>
      </w:r>
      <w:r>
        <w:rPr>
          <w:noProof/>
        </w:rPr>
        <w:t>12</w:t>
      </w:r>
      <w:r>
        <w:fldChar w:fldCharType="end"/>
      </w:r>
      <w:bookmarkEnd w:id="165"/>
      <w:bookmarkEnd w:id="166"/>
      <w:r w:rsidR="00A9783E" w:rsidRPr="004A792A">
        <w:rPr>
          <w:lang w:val="en-US"/>
        </w:rPr>
        <w:t>: Urban female workers (15-64 years) by employment status, number of children under 15 years and age of the youngest child (%), 2016</w:t>
      </w:r>
      <w:bookmarkEnd w:id="167"/>
    </w:p>
    <w:tbl>
      <w:tblPr>
        <w:tblW w:w="14532" w:type="dxa"/>
        <w:tblLayout w:type="fixed"/>
        <w:tblLook w:val="04A0" w:firstRow="1" w:lastRow="0" w:firstColumn="1" w:lastColumn="0" w:noHBand="0" w:noVBand="1"/>
      </w:tblPr>
      <w:tblGrid>
        <w:gridCol w:w="3119"/>
        <w:gridCol w:w="850"/>
        <w:gridCol w:w="993"/>
        <w:gridCol w:w="1275"/>
        <w:gridCol w:w="1560"/>
        <w:gridCol w:w="708"/>
        <w:gridCol w:w="993"/>
        <w:gridCol w:w="992"/>
        <w:gridCol w:w="1134"/>
        <w:gridCol w:w="1766"/>
        <w:gridCol w:w="1142"/>
      </w:tblGrid>
      <w:tr w:rsidR="00153A1C" w:rsidRPr="00A60A8D" w14:paraId="7526A8CC" w14:textId="77777777" w:rsidTr="00A60A8D">
        <w:tc>
          <w:tcPr>
            <w:tcW w:w="3119" w:type="dxa"/>
            <w:tcBorders>
              <w:top w:val="single" w:sz="4" w:space="0" w:color="auto"/>
              <w:left w:val="nil"/>
              <w:right w:val="single" w:sz="4" w:space="0" w:color="auto"/>
            </w:tcBorders>
            <w:shd w:val="clear" w:color="auto" w:fill="auto"/>
            <w:noWrap/>
            <w:vAlign w:val="bottom"/>
          </w:tcPr>
          <w:p w14:paraId="304C0F1E" w14:textId="77777777" w:rsidR="00153A1C" w:rsidRPr="00A60A8D" w:rsidRDefault="00153A1C" w:rsidP="00153A1C">
            <w:pPr>
              <w:spacing w:before="0"/>
              <w:rPr>
                <w:rFonts w:ascii="Calibri" w:eastAsia="Times New Roman" w:hAnsi="Calibri" w:cs="Calibri"/>
                <w:b/>
                <w:bCs/>
                <w:color w:val="000000"/>
                <w:sz w:val="20"/>
                <w:szCs w:val="20"/>
                <w:lang w:val="en-US"/>
              </w:rPr>
            </w:pPr>
          </w:p>
        </w:tc>
        <w:tc>
          <w:tcPr>
            <w:tcW w:w="4678" w:type="dxa"/>
            <w:gridSpan w:val="4"/>
            <w:tcBorders>
              <w:top w:val="single" w:sz="4" w:space="0" w:color="auto"/>
              <w:left w:val="single" w:sz="4" w:space="0" w:color="auto"/>
              <w:right w:val="single" w:sz="4" w:space="0" w:color="auto"/>
            </w:tcBorders>
            <w:shd w:val="clear" w:color="auto" w:fill="auto"/>
            <w:noWrap/>
            <w:vAlign w:val="bottom"/>
          </w:tcPr>
          <w:p w14:paraId="70ECC3C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b/>
                <w:bCs/>
                <w:color w:val="000000"/>
                <w:sz w:val="20"/>
                <w:szCs w:val="20"/>
                <w:lang w:val="en-US"/>
              </w:rPr>
              <w:t>Number of children under 15 years</w:t>
            </w:r>
          </w:p>
        </w:tc>
        <w:tc>
          <w:tcPr>
            <w:tcW w:w="5593" w:type="dxa"/>
            <w:gridSpan w:val="5"/>
            <w:tcBorders>
              <w:top w:val="single" w:sz="4" w:space="0" w:color="auto"/>
              <w:left w:val="nil"/>
              <w:right w:val="single" w:sz="4" w:space="0" w:color="auto"/>
            </w:tcBorders>
            <w:shd w:val="clear" w:color="auto" w:fill="auto"/>
            <w:noWrap/>
            <w:vAlign w:val="bottom"/>
          </w:tcPr>
          <w:p w14:paraId="4620310A"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b/>
                <w:bCs/>
                <w:color w:val="000000"/>
                <w:sz w:val="20"/>
                <w:szCs w:val="20"/>
                <w:lang w:val="en-US"/>
              </w:rPr>
              <w:t>Age of youngest child</w:t>
            </w:r>
          </w:p>
        </w:tc>
        <w:tc>
          <w:tcPr>
            <w:tcW w:w="1142" w:type="dxa"/>
            <w:vMerge w:val="restart"/>
            <w:tcBorders>
              <w:top w:val="single" w:sz="4" w:space="0" w:color="auto"/>
              <w:left w:val="single" w:sz="4" w:space="0" w:color="auto"/>
              <w:right w:val="nil"/>
            </w:tcBorders>
            <w:shd w:val="clear" w:color="auto" w:fill="auto"/>
            <w:noWrap/>
          </w:tcPr>
          <w:p w14:paraId="5C0634DB" w14:textId="77777777" w:rsidR="00153A1C" w:rsidRPr="00A60A8D" w:rsidRDefault="00153A1C" w:rsidP="00153A1C">
            <w:pPr>
              <w:spacing w:before="0"/>
              <w:jc w:val="center"/>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Total</w:t>
            </w:r>
          </w:p>
        </w:tc>
      </w:tr>
      <w:tr w:rsidR="00153A1C" w:rsidRPr="00A60A8D" w14:paraId="6C8D3C5C" w14:textId="77777777" w:rsidTr="00A60A8D">
        <w:tc>
          <w:tcPr>
            <w:tcW w:w="3119" w:type="dxa"/>
            <w:tcBorders>
              <w:left w:val="nil"/>
              <w:bottom w:val="single" w:sz="4" w:space="0" w:color="auto"/>
              <w:right w:val="single" w:sz="4" w:space="0" w:color="auto"/>
            </w:tcBorders>
            <w:shd w:val="clear" w:color="auto" w:fill="auto"/>
            <w:noWrap/>
            <w:vAlign w:val="bottom"/>
            <w:hideMark/>
          </w:tcPr>
          <w:p w14:paraId="672681E2" w14:textId="77777777" w:rsidR="00153A1C" w:rsidRPr="00A60A8D" w:rsidRDefault="00153A1C" w:rsidP="00153A1C">
            <w:pPr>
              <w:spacing w:before="0"/>
              <w:rPr>
                <w:rFonts w:ascii="Calibri" w:eastAsia="Times New Roman" w:hAnsi="Calibri" w:cs="Calibri"/>
                <w:b/>
                <w:bCs/>
                <w:color w:val="000000"/>
                <w:sz w:val="20"/>
                <w:szCs w:val="20"/>
                <w:lang w:val="en-US"/>
              </w:rPr>
            </w:pPr>
            <w:r w:rsidRPr="00A60A8D">
              <w:rPr>
                <w:rFonts w:ascii="Calibri" w:eastAsia="Times New Roman" w:hAnsi="Calibri" w:cs="Calibri"/>
                <w:b/>
                <w:bCs/>
                <w:color w:val="000000"/>
                <w:sz w:val="20"/>
                <w:szCs w:val="20"/>
                <w:lang w:val="en-US"/>
              </w:rPr>
              <w:t>Only urban</w:t>
            </w:r>
          </w:p>
        </w:tc>
        <w:tc>
          <w:tcPr>
            <w:tcW w:w="850" w:type="dxa"/>
            <w:tcBorders>
              <w:left w:val="single" w:sz="4" w:space="0" w:color="auto"/>
              <w:bottom w:val="single" w:sz="4" w:space="0" w:color="auto"/>
              <w:right w:val="nil"/>
            </w:tcBorders>
            <w:shd w:val="clear" w:color="auto" w:fill="auto"/>
            <w:noWrap/>
            <w:vAlign w:val="bottom"/>
            <w:hideMark/>
          </w:tcPr>
          <w:p w14:paraId="4B51AAF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1 child</w:t>
            </w:r>
          </w:p>
        </w:tc>
        <w:tc>
          <w:tcPr>
            <w:tcW w:w="993" w:type="dxa"/>
            <w:tcBorders>
              <w:left w:val="nil"/>
              <w:bottom w:val="single" w:sz="4" w:space="0" w:color="auto"/>
              <w:right w:val="nil"/>
            </w:tcBorders>
            <w:shd w:val="clear" w:color="auto" w:fill="auto"/>
            <w:noWrap/>
            <w:vAlign w:val="bottom"/>
            <w:hideMark/>
          </w:tcPr>
          <w:p w14:paraId="1718CD34"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2 children</w:t>
            </w:r>
          </w:p>
        </w:tc>
        <w:tc>
          <w:tcPr>
            <w:tcW w:w="1275" w:type="dxa"/>
            <w:tcBorders>
              <w:left w:val="nil"/>
              <w:bottom w:val="single" w:sz="4" w:space="0" w:color="auto"/>
              <w:right w:val="nil"/>
            </w:tcBorders>
            <w:shd w:val="clear" w:color="auto" w:fill="auto"/>
            <w:noWrap/>
            <w:vAlign w:val="bottom"/>
            <w:hideMark/>
          </w:tcPr>
          <w:p w14:paraId="2D8506F4"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3 and more children</w:t>
            </w:r>
          </w:p>
        </w:tc>
        <w:tc>
          <w:tcPr>
            <w:tcW w:w="1560" w:type="dxa"/>
            <w:tcBorders>
              <w:left w:val="nil"/>
              <w:bottom w:val="single" w:sz="4" w:space="0" w:color="auto"/>
              <w:right w:val="single" w:sz="4" w:space="0" w:color="auto"/>
            </w:tcBorders>
            <w:shd w:val="clear" w:color="auto" w:fill="auto"/>
            <w:noWrap/>
            <w:vAlign w:val="bottom"/>
            <w:hideMark/>
          </w:tcPr>
          <w:p w14:paraId="636887E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No children under 15 years</w:t>
            </w:r>
          </w:p>
        </w:tc>
        <w:tc>
          <w:tcPr>
            <w:tcW w:w="708" w:type="dxa"/>
            <w:tcBorders>
              <w:left w:val="nil"/>
              <w:bottom w:val="single" w:sz="4" w:space="0" w:color="auto"/>
              <w:right w:val="nil"/>
            </w:tcBorders>
            <w:shd w:val="clear" w:color="auto" w:fill="auto"/>
            <w:noWrap/>
            <w:vAlign w:val="bottom"/>
            <w:hideMark/>
          </w:tcPr>
          <w:p w14:paraId="3C3334F0"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0-2 years</w:t>
            </w:r>
          </w:p>
        </w:tc>
        <w:tc>
          <w:tcPr>
            <w:tcW w:w="993" w:type="dxa"/>
            <w:tcBorders>
              <w:left w:val="nil"/>
              <w:bottom w:val="single" w:sz="4" w:space="0" w:color="auto"/>
              <w:right w:val="nil"/>
            </w:tcBorders>
            <w:shd w:val="clear" w:color="auto" w:fill="auto"/>
            <w:noWrap/>
            <w:vAlign w:val="bottom"/>
            <w:hideMark/>
          </w:tcPr>
          <w:p w14:paraId="1382AA9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3-6 years</w:t>
            </w:r>
          </w:p>
        </w:tc>
        <w:tc>
          <w:tcPr>
            <w:tcW w:w="992" w:type="dxa"/>
            <w:tcBorders>
              <w:left w:val="nil"/>
              <w:bottom w:val="single" w:sz="4" w:space="0" w:color="auto"/>
              <w:right w:val="nil"/>
            </w:tcBorders>
            <w:shd w:val="clear" w:color="auto" w:fill="auto"/>
            <w:noWrap/>
            <w:vAlign w:val="bottom"/>
            <w:hideMark/>
          </w:tcPr>
          <w:p w14:paraId="16D81132"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7-14 years</w:t>
            </w:r>
          </w:p>
        </w:tc>
        <w:tc>
          <w:tcPr>
            <w:tcW w:w="1134" w:type="dxa"/>
            <w:tcBorders>
              <w:left w:val="nil"/>
              <w:bottom w:val="single" w:sz="4" w:space="0" w:color="auto"/>
              <w:right w:val="nil"/>
            </w:tcBorders>
            <w:shd w:val="clear" w:color="auto" w:fill="auto"/>
            <w:noWrap/>
            <w:vAlign w:val="bottom"/>
            <w:hideMark/>
          </w:tcPr>
          <w:p w14:paraId="7A185B9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15-17 years</w:t>
            </w:r>
          </w:p>
        </w:tc>
        <w:tc>
          <w:tcPr>
            <w:tcW w:w="1766" w:type="dxa"/>
            <w:tcBorders>
              <w:left w:val="nil"/>
              <w:bottom w:val="single" w:sz="4" w:space="0" w:color="auto"/>
              <w:right w:val="single" w:sz="4" w:space="0" w:color="auto"/>
            </w:tcBorders>
            <w:shd w:val="clear" w:color="auto" w:fill="auto"/>
            <w:noWrap/>
            <w:vAlign w:val="bottom"/>
            <w:hideMark/>
          </w:tcPr>
          <w:p w14:paraId="137DB08E"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No children under 18 years</w:t>
            </w:r>
          </w:p>
        </w:tc>
        <w:tc>
          <w:tcPr>
            <w:tcW w:w="1142" w:type="dxa"/>
            <w:vMerge/>
            <w:tcBorders>
              <w:left w:val="single" w:sz="4" w:space="0" w:color="auto"/>
              <w:bottom w:val="single" w:sz="4" w:space="0" w:color="auto"/>
              <w:right w:val="nil"/>
            </w:tcBorders>
            <w:shd w:val="clear" w:color="auto" w:fill="auto"/>
            <w:noWrap/>
            <w:vAlign w:val="bottom"/>
            <w:hideMark/>
          </w:tcPr>
          <w:p w14:paraId="57EAFA32" w14:textId="77777777" w:rsidR="00153A1C" w:rsidRPr="00A60A8D" w:rsidRDefault="00153A1C" w:rsidP="00153A1C">
            <w:pPr>
              <w:spacing w:before="0"/>
              <w:jc w:val="center"/>
              <w:rPr>
                <w:rFonts w:ascii="Calibri" w:eastAsia="Times New Roman" w:hAnsi="Calibri" w:cs="Calibri"/>
                <w:color w:val="000000"/>
                <w:sz w:val="20"/>
                <w:szCs w:val="20"/>
                <w:lang w:val="en-US"/>
              </w:rPr>
            </w:pPr>
          </w:p>
        </w:tc>
      </w:tr>
      <w:tr w:rsidR="00153A1C" w:rsidRPr="00A60A8D" w14:paraId="67C8FF36" w14:textId="77777777" w:rsidTr="00A60A8D">
        <w:tc>
          <w:tcPr>
            <w:tcW w:w="3119" w:type="dxa"/>
            <w:tcBorders>
              <w:top w:val="single" w:sz="4" w:space="0" w:color="auto"/>
              <w:left w:val="nil"/>
              <w:bottom w:val="nil"/>
              <w:right w:val="single" w:sz="4" w:space="0" w:color="auto"/>
            </w:tcBorders>
            <w:shd w:val="clear" w:color="auto" w:fill="auto"/>
            <w:noWrap/>
            <w:vAlign w:val="bottom"/>
            <w:hideMark/>
          </w:tcPr>
          <w:p w14:paraId="01517A5B" w14:textId="77777777" w:rsidR="00153A1C" w:rsidRPr="00A60A8D" w:rsidRDefault="00153A1C" w:rsidP="00153A1C">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Employees, formal</w:t>
            </w:r>
          </w:p>
        </w:tc>
        <w:tc>
          <w:tcPr>
            <w:tcW w:w="850" w:type="dxa"/>
            <w:tcBorders>
              <w:top w:val="single" w:sz="4" w:space="0" w:color="auto"/>
              <w:left w:val="single" w:sz="4" w:space="0" w:color="auto"/>
              <w:bottom w:val="nil"/>
              <w:right w:val="nil"/>
            </w:tcBorders>
            <w:shd w:val="clear" w:color="auto" w:fill="auto"/>
            <w:noWrap/>
            <w:vAlign w:val="bottom"/>
            <w:hideMark/>
          </w:tcPr>
          <w:p w14:paraId="2DCF9BF3"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83.3</w:t>
            </w:r>
          </w:p>
        </w:tc>
        <w:tc>
          <w:tcPr>
            <w:tcW w:w="993" w:type="dxa"/>
            <w:tcBorders>
              <w:top w:val="single" w:sz="4" w:space="0" w:color="auto"/>
              <w:left w:val="nil"/>
              <w:bottom w:val="nil"/>
              <w:right w:val="nil"/>
            </w:tcBorders>
            <w:shd w:val="clear" w:color="auto" w:fill="auto"/>
            <w:noWrap/>
            <w:vAlign w:val="bottom"/>
            <w:hideMark/>
          </w:tcPr>
          <w:p w14:paraId="109E772C"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82.8</w:t>
            </w:r>
          </w:p>
        </w:tc>
        <w:tc>
          <w:tcPr>
            <w:tcW w:w="1275" w:type="dxa"/>
            <w:tcBorders>
              <w:top w:val="single" w:sz="4" w:space="0" w:color="auto"/>
              <w:left w:val="nil"/>
              <w:bottom w:val="nil"/>
              <w:right w:val="nil"/>
            </w:tcBorders>
            <w:shd w:val="clear" w:color="auto" w:fill="auto"/>
            <w:noWrap/>
            <w:vAlign w:val="bottom"/>
            <w:hideMark/>
          </w:tcPr>
          <w:p w14:paraId="2A4E9350"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60.7</w:t>
            </w:r>
          </w:p>
        </w:tc>
        <w:tc>
          <w:tcPr>
            <w:tcW w:w="1560" w:type="dxa"/>
            <w:tcBorders>
              <w:top w:val="single" w:sz="4" w:space="0" w:color="auto"/>
              <w:left w:val="nil"/>
              <w:bottom w:val="nil"/>
              <w:right w:val="single" w:sz="4" w:space="0" w:color="auto"/>
            </w:tcBorders>
            <w:shd w:val="clear" w:color="auto" w:fill="auto"/>
            <w:noWrap/>
            <w:vAlign w:val="bottom"/>
            <w:hideMark/>
          </w:tcPr>
          <w:p w14:paraId="2376285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84.2</w:t>
            </w:r>
          </w:p>
        </w:tc>
        <w:tc>
          <w:tcPr>
            <w:tcW w:w="708" w:type="dxa"/>
            <w:tcBorders>
              <w:top w:val="single" w:sz="4" w:space="0" w:color="auto"/>
              <w:left w:val="single" w:sz="4" w:space="0" w:color="auto"/>
              <w:bottom w:val="nil"/>
              <w:right w:val="nil"/>
            </w:tcBorders>
            <w:shd w:val="clear" w:color="auto" w:fill="auto"/>
            <w:noWrap/>
            <w:vAlign w:val="bottom"/>
            <w:hideMark/>
          </w:tcPr>
          <w:p w14:paraId="06F72DC6"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83.9</w:t>
            </w:r>
          </w:p>
        </w:tc>
        <w:tc>
          <w:tcPr>
            <w:tcW w:w="993" w:type="dxa"/>
            <w:tcBorders>
              <w:top w:val="single" w:sz="4" w:space="0" w:color="auto"/>
              <w:left w:val="nil"/>
              <w:bottom w:val="nil"/>
              <w:right w:val="nil"/>
            </w:tcBorders>
            <w:shd w:val="clear" w:color="auto" w:fill="auto"/>
            <w:noWrap/>
            <w:vAlign w:val="bottom"/>
            <w:hideMark/>
          </w:tcPr>
          <w:p w14:paraId="53A3C6AE"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86.3</w:t>
            </w:r>
          </w:p>
        </w:tc>
        <w:tc>
          <w:tcPr>
            <w:tcW w:w="992" w:type="dxa"/>
            <w:tcBorders>
              <w:top w:val="single" w:sz="4" w:space="0" w:color="auto"/>
              <w:left w:val="nil"/>
              <w:bottom w:val="nil"/>
              <w:right w:val="nil"/>
            </w:tcBorders>
            <w:shd w:val="clear" w:color="auto" w:fill="auto"/>
            <w:noWrap/>
            <w:vAlign w:val="bottom"/>
            <w:hideMark/>
          </w:tcPr>
          <w:p w14:paraId="4D09D6D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79.3</w:t>
            </w:r>
          </w:p>
        </w:tc>
        <w:tc>
          <w:tcPr>
            <w:tcW w:w="1134" w:type="dxa"/>
            <w:tcBorders>
              <w:top w:val="single" w:sz="4" w:space="0" w:color="auto"/>
              <w:left w:val="nil"/>
              <w:bottom w:val="nil"/>
              <w:right w:val="nil"/>
            </w:tcBorders>
            <w:shd w:val="clear" w:color="auto" w:fill="auto"/>
            <w:noWrap/>
            <w:vAlign w:val="bottom"/>
            <w:hideMark/>
          </w:tcPr>
          <w:p w14:paraId="0D82EABE"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80.6</w:t>
            </w:r>
          </w:p>
        </w:tc>
        <w:tc>
          <w:tcPr>
            <w:tcW w:w="1766" w:type="dxa"/>
            <w:tcBorders>
              <w:top w:val="single" w:sz="4" w:space="0" w:color="auto"/>
              <w:left w:val="nil"/>
              <w:bottom w:val="nil"/>
              <w:right w:val="single" w:sz="4" w:space="0" w:color="auto"/>
            </w:tcBorders>
            <w:shd w:val="clear" w:color="auto" w:fill="auto"/>
            <w:noWrap/>
            <w:vAlign w:val="bottom"/>
            <w:hideMark/>
          </w:tcPr>
          <w:p w14:paraId="7274343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84.5</w:t>
            </w:r>
          </w:p>
        </w:tc>
        <w:tc>
          <w:tcPr>
            <w:tcW w:w="1142" w:type="dxa"/>
            <w:tcBorders>
              <w:top w:val="single" w:sz="4" w:space="0" w:color="auto"/>
              <w:left w:val="single" w:sz="4" w:space="0" w:color="auto"/>
              <w:bottom w:val="nil"/>
              <w:right w:val="nil"/>
            </w:tcBorders>
            <w:shd w:val="clear" w:color="auto" w:fill="auto"/>
            <w:noWrap/>
            <w:vAlign w:val="bottom"/>
            <w:hideMark/>
          </w:tcPr>
          <w:p w14:paraId="6F032C57"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83.6</w:t>
            </w:r>
          </w:p>
        </w:tc>
      </w:tr>
      <w:tr w:rsidR="00B92593" w:rsidRPr="00A60A8D" w14:paraId="5001A21F" w14:textId="77777777" w:rsidTr="00A60A8D">
        <w:tc>
          <w:tcPr>
            <w:tcW w:w="3119" w:type="dxa"/>
            <w:tcBorders>
              <w:top w:val="nil"/>
              <w:left w:val="nil"/>
              <w:bottom w:val="nil"/>
              <w:right w:val="single" w:sz="4" w:space="0" w:color="auto"/>
            </w:tcBorders>
            <w:shd w:val="clear" w:color="auto" w:fill="D9D9D9" w:themeFill="background1" w:themeFillShade="D9"/>
            <w:noWrap/>
            <w:vAlign w:val="bottom"/>
            <w:hideMark/>
          </w:tcPr>
          <w:p w14:paraId="24F3B354" w14:textId="77777777" w:rsidR="00153A1C" w:rsidRPr="00A60A8D" w:rsidRDefault="00153A1C" w:rsidP="00153A1C">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Employees, informal</w:t>
            </w:r>
          </w:p>
        </w:tc>
        <w:tc>
          <w:tcPr>
            <w:tcW w:w="850" w:type="dxa"/>
            <w:tcBorders>
              <w:top w:val="nil"/>
              <w:left w:val="single" w:sz="4" w:space="0" w:color="auto"/>
              <w:bottom w:val="nil"/>
              <w:right w:val="nil"/>
            </w:tcBorders>
            <w:shd w:val="clear" w:color="auto" w:fill="D9D9D9" w:themeFill="background1" w:themeFillShade="D9"/>
            <w:noWrap/>
            <w:vAlign w:val="bottom"/>
            <w:hideMark/>
          </w:tcPr>
          <w:p w14:paraId="343368E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3.4</w:t>
            </w:r>
          </w:p>
        </w:tc>
        <w:tc>
          <w:tcPr>
            <w:tcW w:w="993" w:type="dxa"/>
            <w:tcBorders>
              <w:top w:val="nil"/>
              <w:left w:val="nil"/>
              <w:bottom w:val="nil"/>
              <w:right w:val="nil"/>
            </w:tcBorders>
            <w:shd w:val="clear" w:color="auto" w:fill="D9D9D9" w:themeFill="background1" w:themeFillShade="D9"/>
            <w:noWrap/>
            <w:vAlign w:val="bottom"/>
            <w:hideMark/>
          </w:tcPr>
          <w:p w14:paraId="334BE8B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5.5</w:t>
            </w:r>
          </w:p>
        </w:tc>
        <w:tc>
          <w:tcPr>
            <w:tcW w:w="1275" w:type="dxa"/>
            <w:tcBorders>
              <w:top w:val="nil"/>
              <w:left w:val="nil"/>
              <w:bottom w:val="nil"/>
              <w:right w:val="nil"/>
            </w:tcBorders>
            <w:shd w:val="clear" w:color="auto" w:fill="D9D9D9" w:themeFill="background1" w:themeFillShade="D9"/>
            <w:noWrap/>
            <w:vAlign w:val="bottom"/>
            <w:hideMark/>
          </w:tcPr>
          <w:p w14:paraId="022A9D6E"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20.2</w:t>
            </w:r>
          </w:p>
        </w:tc>
        <w:tc>
          <w:tcPr>
            <w:tcW w:w="1560" w:type="dxa"/>
            <w:tcBorders>
              <w:top w:val="nil"/>
              <w:left w:val="nil"/>
              <w:bottom w:val="nil"/>
              <w:right w:val="single" w:sz="4" w:space="0" w:color="auto"/>
            </w:tcBorders>
            <w:shd w:val="clear" w:color="auto" w:fill="D9D9D9" w:themeFill="background1" w:themeFillShade="D9"/>
            <w:noWrap/>
            <w:vAlign w:val="bottom"/>
            <w:hideMark/>
          </w:tcPr>
          <w:p w14:paraId="37E6313F"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4.4</w:t>
            </w:r>
          </w:p>
        </w:tc>
        <w:tc>
          <w:tcPr>
            <w:tcW w:w="708" w:type="dxa"/>
            <w:tcBorders>
              <w:top w:val="nil"/>
              <w:left w:val="single" w:sz="4" w:space="0" w:color="auto"/>
              <w:bottom w:val="nil"/>
              <w:right w:val="nil"/>
            </w:tcBorders>
            <w:shd w:val="clear" w:color="auto" w:fill="D9D9D9" w:themeFill="background1" w:themeFillShade="D9"/>
            <w:noWrap/>
            <w:vAlign w:val="bottom"/>
            <w:hideMark/>
          </w:tcPr>
          <w:p w14:paraId="14FBFEC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0.9</w:t>
            </w:r>
          </w:p>
        </w:tc>
        <w:tc>
          <w:tcPr>
            <w:tcW w:w="993" w:type="dxa"/>
            <w:tcBorders>
              <w:top w:val="nil"/>
              <w:left w:val="nil"/>
              <w:bottom w:val="nil"/>
              <w:right w:val="nil"/>
            </w:tcBorders>
            <w:shd w:val="clear" w:color="auto" w:fill="D9D9D9" w:themeFill="background1" w:themeFillShade="D9"/>
            <w:noWrap/>
            <w:vAlign w:val="bottom"/>
            <w:hideMark/>
          </w:tcPr>
          <w:p w14:paraId="2269EE50"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4.7</w:t>
            </w:r>
          </w:p>
        </w:tc>
        <w:tc>
          <w:tcPr>
            <w:tcW w:w="992" w:type="dxa"/>
            <w:tcBorders>
              <w:top w:val="nil"/>
              <w:left w:val="nil"/>
              <w:bottom w:val="nil"/>
              <w:right w:val="nil"/>
            </w:tcBorders>
            <w:shd w:val="clear" w:color="auto" w:fill="D9D9D9" w:themeFill="background1" w:themeFillShade="D9"/>
            <w:noWrap/>
            <w:vAlign w:val="bottom"/>
            <w:hideMark/>
          </w:tcPr>
          <w:p w14:paraId="54E83A9E"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5.1</w:t>
            </w:r>
          </w:p>
        </w:tc>
        <w:tc>
          <w:tcPr>
            <w:tcW w:w="1134" w:type="dxa"/>
            <w:tcBorders>
              <w:top w:val="nil"/>
              <w:left w:val="nil"/>
              <w:bottom w:val="nil"/>
              <w:right w:val="nil"/>
            </w:tcBorders>
            <w:shd w:val="clear" w:color="auto" w:fill="D9D9D9" w:themeFill="background1" w:themeFillShade="D9"/>
            <w:noWrap/>
            <w:vAlign w:val="bottom"/>
            <w:hideMark/>
          </w:tcPr>
          <w:p w14:paraId="6C1DAB2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7.0</w:t>
            </w:r>
          </w:p>
        </w:tc>
        <w:tc>
          <w:tcPr>
            <w:tcW w:w="1766" w:type="dxa"/>
            <w:tcBorders>
              <w:top w:val="nil"/>
              <w:left w:val="nil"/>
              <w:bottom w:val="nil"/>
              <w:right w:val="single" w:sz="4" w:space="0" w:color="auto"/>
            </w:tcBorders>
            <w:shd w:val="clear" w:color="auto" w:fill="D9D9D9" w:themeFill="background1" w:themeFillShade="D9"/>
            <w:noWrap/>
            <w:vAlign w:val="bottom"/>
            <w:hideMark/>
          </w:tcPr>
          <w:p w14:paraId="493B8BEC"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4.2</w:t>
            </w:r>
          </w:p>
        </w:tc>
        <w:tc>
          <w:tcPr>
            <w:tcW w:w="1142" w:type="dxa"/>
            <w:tcBorders>
              <w:top w:val="nil"/>
              <w:left w:val="single" w:sz="4" w:space="0" w:color="auto"/>
              <w:bottom w:val="nil"/>
              <w:right w:val="nil"/>
            </w:tcBorders>
            <w:shd w:val="clear" w:color="auto" w:fill="D9D9D9" w:themeFill="background1" w:themeFillShade="D9"/>
            <w:noWrap/>
            <w:vAlign w:val="bottom"/>
            <w:hideMark/>
          </w:tcPr>
          <w:p w14:paraId="0C73C2B7"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4.4</w:t>
            </w:r>
          </w:p>
        </w:tc>
      </w:tr>
      <w:tr w:rsidR="00153A1C" w:rsidRPr="00A60A8D" w14:paraId="6DE2E002" w14:textId="77777777" w:rsidTr="00A60A8D">
        <w:tc>
          <w:tcPr>
            <w:tcW w:w="3119" w:type="dxa"/>
            <w:tcBorders>
              <w:top w:val="nil"/>
              <w:left w:val="nil"/>
              <w:bottom w:val="nil"/>
              <w:right w:val="single" w:sz="4" w:space="0" w:color="auto"/>
            </w:tcBorders>
            <w:shd w:val="clear" w:color="auto" w:fill="auto"/>
            <w:noWrap/>
            <w:vAlign w:val="bottom"/>
            <w:hideMark/>
          </w:tcPr>
          <w:p w14:paraId="69B56F94" w14:textId="77777777" w:rsidR="00153A1C" w:rsidRPr="00A60A8D" w:rsidRDefault="00153A1C" w:rsidP="00153A1C">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Own-account workers, formal</w:t>
            </w:r>
          </w:p>
        </w:tc>
        <w:tc>
          <w:tcPr>
            <w:tcW w:w="850" w:type="dxa"/>
            <w:tcBorders>
              <w:top w:val="nil"/>
              <w:left w:val="single" w:sz="4" w:space="0" w:color="auto"/>
              <w:bottom w:val="nil"/>
              <w:right w:val="nil"/>
            </w:tcBorders>
            <w:shd w:val="clear" w:color="auto" w:fill="auto"/>
            <w:noWrap/>
            <w:vAlign w:val="bottom"/>
            <w:hideMark/>
          </w:tcPr>
          <w:p w14:paraId="7086655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5.6</w:t>
            </w:r>
          </w:p>
        </w:tc>
        <w:tc>
          <w:tcPr>
            <w:tcW w:w="993" w:type="dxa"/>
            <w:tcBorders>
              <w:top w:val="nil"/>
              <w:left w:val="nil"/>
              <w:bottom w:val="nil"/>
              <w:right w:val="nil"/>
            </w:tcBorders>
            <w:shd w:val="clear" w:color="auto" w:fill="auto"/>
            <w:noWrap/>
            <w:vAlign w:val="bottom"/>
            <w:hideMark/>
          </w:tcPr>
          <w:p w14:paraId="6EE9CB7C"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7.2</w:t>
            </w:r>
          </w:p>
        </w:tc>
        <w:tc>
          <w:tcPr>
            <w:tcW w:w="1275" w:type="dxa"/>
            <w:tcBorders>
              <w:top w:val="nil"/>
              <w:left w:val="nil"/>
              <w:bottom w:val="nil"/>
              <w:right w:val="nil"/>
            </w:tcBorders>
            <w:shd w:val="clear" w:color="auto" w:fill="auto"/>
            <w:noWrap/>
            <w:vAlign w:val="bottom"/>
            <w:hideMark/>
          </w:tcPr>
          <w:p w14:paraId="1A304604"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8.6</w:t>
            </w:r>
          </w:p>
        </w:tc>
        <w:tc>
          <w:tcPr>
            <w:tcW w:w="1560" w:type="dxa"/>
            <w:tcBorders>
              <w:top w:val="nil"/>
              <w:left w:val="nil"/>
              <w:bottom w:val="nil"/>
              <w:right w:val="single" w:sz="4" w:space="0" w:color="auto"/>
            </w:tcBorders>
            <w:shd w:val="clear" w:color="auto" w:fill="auto"/>
            <w:noWrap/>
            <w:vAlign w:val="bottom"/>
            <w:hideMark/>
          </w:tcPr>
          <w:p w14:paraId="48FAC592"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5.0</w:t>
            </w:r>
          </w:p>
        </w:tc>
        <w:tc>
          <w:tcPr>
            <w:tcW w:w="708" w:type="dxa"/>
            <w:tcBorders>
              <w:top w:val="nil"/>
              <w:left w:val="single" w:sz="4" w:space="0" w:color="auto"/>
              <w:bottom w:val="nil"/>
              <w:right w:val="nil"/>
            </w:tcBorders>
            <w:shd w:val="clear" w:color="auto" w:fill="auto"/>
            <w:noWrap/>
            <w:vAlign w:val="bottom"/>
            <w:hideMark/>
          </w:tcPr>
          <w:p w14:paraId="577A3BC4"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7.7</w:t>
            </w:r>
          </w:p>
        </w:tc>
        <w:tc>
          <w:tcPr>
            <w:tcW w:w="993" w:type="dxa"/>
            <w:tcBorders>
              <w:top w:val="nil"/>
              <w:left w:val="nil"/>
              <w:bottom w:val="nil"/>
              <w:right w:val="nil"/>
            </w:tcBorders>
            <w:shd w:val="clear" w:color="auto" w:fill="auto"/>
            <w:noWrap/>
            <w:vAlign w:val="bottom"/>
            <w:hideMark/>
          </w:tcPr>
          <w:p w14:paraId="0753C43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5.2</w:t>
            </w:r>
          </w:p>
        </w:tc>
        <w:tc>
          <w:tcPr>
            <w:tcW w:w="992" w:type="dxa"/>
            <w:tcBorders>
              <w:top w:val="nil"/>
              <w:left w:val="nil"/>
              <w:bottom w:val="nil"/>
              <w:right w:val="nil"/>
            </w:tcBorders>
            <w:shd w:val="clear" w:color="auto" w:fill="auto"/>
            <w:noWrap/>
            <w:vAlign w:val="bottom"/>
            <w:hideMark/>
          </w:tcPr>
          <w:p w14:paraId="339B4F0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6.5</w:t>
            </w:r>
          </w:p>
        </w:tc>
        <w:tc>
          <w:tcPr>
            <w:tcW w:w="1134" w:type="dxa"/>
            <w:tcBorders>
              <w:top w:val="nil"/>
              <w:left w:val="nil"/>
              <w:bottom w:val="nil"/>
              <w:right w:val="nil"/>
            </w:tcBorders>
            <w:shd w:val="clear" w:color="auto" w:fill="auto"/>
            <w:noWrap/>
            <w:vAlign w:val="bottom"/>
            <w:hideMark/>
          </w:tcPr>
          <w:p w14:paraId="68342366"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5.8</w:t>
            </w:r>
          </w:p>
        </w:tc>
        <w:tc>
          <w:tcPr>
            <w:tcW w:w="1766" w:type="dxa"/>
            <w:tcBorders>
              <w:top w:val="nil"/>
              <w:left w:val="nil"/>
              <w:bottom w:val="nil"/>
              <w:right w:val="single" w:sz="4" w:space="0" w:color="auto"/>
            </w:tcBorders>
            <w:shd w:val="clear" w:color="auto" w:fill="auto"/>
            <w:noWrap/>
            <w:vAlign w:val="bottom"/>
            <w:hideMark/>
          </w:tcPr>
          <w:p w14:paraId="333EE80E"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4.9</w:t>
            </w:r>
          </w:p>
        </w:tc>
        <w:tc>
          <w:tcPr>
            <w:tcW w:w="1142" w:type="dxa"/>
            <w:tcBorders>
              <w:top w:val="nil"/>
              <w:left w:val="single" w:sz="4" w:space="0" w:color="auto"/>
              <w:bottom w:val="nil"/>
              <w:right w:val="nil"/>
            </w:tcBorders>
            <w:shd w:val="clear" w:color="auto" w:fill="auto"/>
            <w:noWrap/>
            <w:vAlign w:val="bottom"/>
            <w:hideMark/>
          </w:tcPr>
          <w:p w14:paraId="0F593F6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0.6</w:t>
            </w:r>
          </w:p>
        </w:tc>
      </w:tr>
      <w:tr w:rsidR="00B92593" w:rsidRPr="00A60A8D" w14:paraId="72CDB396" w14:textId="77777777" w:rsidTr="00A60A8D">
        <w:tc>
          <w:tcPr>
            <w:tcW w:w="3119" w:type="dxa"/>
            <w:tcBorders>
              <w:top w:val="nil"/>
              <w:left w:val="nil"/>
              <w:bottom w:val="nil"/>
              <w:right w:val="single" w:sz="4" w:space="0" w:color="auto"/>
            </w:tcBorders>
            <w:shd w:val="clear" w:color="auto" w:fill="D9D9D9" w:themeFill="background1" w:themeFillShade="D9"/>
            <w:noWrap/>
            <w:vAlign w:val="bottom"/>
            <w:hideMark/>
          </w:tcPr>
          <w:p w14:paraId="33B89B66" w14:textId="77777777" w:rsidR="00153A1C" w:rsidRPr="00A60A8D" w:rsidRDefault="00153A1C" w:rsidP="00153A1C">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Own-account workers, informal</w:t>
            </w:r>
          </w:p>
        </w:tc>
        <w:tc>
          <w:tcPr>
            <w:tcW w:w="850" w:type="dxa"/>
            <w:tcBorders>
              <w:top w:val="nil"/>
              <w:left w:val="single" w:sz="4" w:space="0" w:color="auto"/>
              <w:bottom w:val="nil"/>
              <w:right w:val="nil"/>
            </w:tcBorders>
            <w:shd w:val="clear" w:color="auto" w:fill="D9D9D9" w:themeFill="background1" w:themeFillShade="D9"/>
            <w:noWrap/>
            <w:vAlign w:val="bottom"/>
            <w:hideMark/>
          </w:tcPr>
          <w:p w14:paraId="4C2E567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6.4</w:t>
            </w:r>
          </w:p>
        </w:tc>
        <w:tc>
          <w:tcPr>
            <w:tcW w:w="993" w:type="dxa"/>
            <w:tcBorders>
              <w:top w:val="nil"/>
              <w:left w:val="nil"/>
              <w:bottom w:val="nil"/>
              <w:right w:val="nil"/>
            </w:tcBorders>
            <w:shd w:val="clear" w:color="auto" w:fill="D9D9D9" w:themeFill="background1" w:themeFillShade="D9"/>
            <w:noWrap/>
            <w:vAlign w:val="bottom"/>
            <w:hideMark/>
          </w:tcPr>
          <w:p w14:paraId="28B81F33"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3.8</w:t>
            </w:r>
          </w:p>
        </w:tc>
        <w:tc>
          <w:tcPr>
            <w:tcW w:w="1275" w:type="dxa"/>
            <w:tcBorders>
              <w:top w:val="nil"/>
              <w:left w:val="nil"/>
              <w:bottom w:val="nil"/>
              <w:right w:val="nil"/>
            </w:tcBorders>
            <w:shd w:val="clear" w:color="auto" w:fill="D9D9D9" w:themeFill="background1" w:themeFillShade="D9"/>
            <w:noWrap/>
            <w:vAlign w:val="bottom"/>
            <w:hideMark/>
          </w:tcPr>
          <w:p w14:paraId="3A91A6B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9.7</w:t>
            </w:r>
          </w:p>
        </w:tc>
        <w:tc>
          <w:tcPr>
            <w:tcW w:w="1560" w:type="dxa"/>
            <w:tcBorders>
              <w:top w:val="nil"/>
              <w:left w:val="nil"/>
              <w:bottom w:val="nil"/>
              <w:right w:val="single" w:sz="4" w:space="0" w:color="auto"/>
            </w:tcBorders>
            <w:shd w:val="clear" w:color="auto" w:fill="D9D9D9" w:themeFill="background1" w:themeFillShade="D9"/>
            <w:noWrap/>
            <w:vAlign w:val="bottom"/>
            <w:hideMark/>
          </w:tcPr>
          <w:p w14:paraId="00B4B2D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6.1</w:t>
            </w:r>
          </w:p>
        </w:tc>
        <w:tc>
          <w:tcPr>
            <w:tcW w:w="708" w:type="dxa"/>
            <w:tcBorders>
              <w:top w:val="nil"/>
              <w:left w:val="single" w:sz="4" w:space="0" w:color="auto"/>
              <w:bottom w:val="nil"/>
              <w:right w:val="nil"/>
            </w:tcBorders>
            <w:shd w:val="clear" w:color="auto" w:fill="D9D9D9" w:themeFill="background1" w:themeFillShade="D9"/>
            <w:noWrap/>
            <w:vAlign w:val="bottom"/>
            <w:hideMark/>
          </w:tcPr>
          <w:p w14:paraId="2F3E849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7.5</w:t>
            </w:r>
          </w:p>
        </w:tc>
        <w:tc>
          <w:tcPr>
            <w:tcW w:w="993" w:type="dxa"/>
            <w:tcBorders>
              <w:top w:val="nil"/>
              <w:left w:val="nil"/>
              <w:bottom w:val="nil"/>
              <w:right w:val="nil"/>
            </w:tcBorders>
            <w:shd w:val="clear" w:color="auto" w:fill="D9D9D9" w:themeFill="background1" w:themeFillShade="D9"/>
            <w:noWrap/>
            <w:vAlign w:val="bottom"/>
            <w:hideMark/>
          </w:tcPr>
          <w:p w14:paraId="0C71EA42"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3.3</w:t>
            </w:r>
          </w:p>
        </w:tc>
        <w:tc>
          <w:tcPr>
            <w:tcW w:w="992" w:type="dxa"/>
            <w:tcBorders>
              <w:top w:val="nil"/>
              <w:left w:val="nil"/>
              <w:bottom w:val="nil"/>
              <w:right w:val="nil"/>
            </w:tcBorders>
            <w:shd w:val="clear" w:color="auto" w:fill="D9D9D9" w:themeFill="background1" w:themeFillShade="D9"/>
            <w:noWrap/>
            <w:vAlign w:val="bottom"/>
            <w:hideMark/>
          </w:tcPr>
          <w:p w14:paraId="09348A9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7.3</w:t>
            </w:r>
          </w:p>
        </w:tc>
        <w:tc>
          <w:tcPr>
            <w:tcW w:w="1134" w:type="dxa"/>
            <w:tcBorders>
              <w:top w:val="nil"/>
              <w:left w:val="nil"/>
              <w:bottom w:val="nil"/>
              <w:right w:val="nil"/>
            </w:tcBorders>
            <w:shd w:val="clear" w:color="auto" w:fill="D9D9D9" w:themeFill="background1" w:themeFillShade="D9"/>
            <w:noWrap/>
            <w:vAlign w:val="bottom"/>
            <w:hideMark/>
          </w:tcPr>
          <w:p w14:paraId="3FB5327C"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5.6</w:t>
            </w:r>
          </w:p>
        </w:tc>
        <w:tc>
          <w:tcPr>
            <w:tcW w:w="1766" w:type="dxa"/>
            <w:tcBorders>
              <w:top w:val="nil"/>
              <w:left w:val="nil"/>
              <w:bottom w:val="nil"/>
              <w:right w:val="single" w:sz="4" w:space="0" w:color="auto"/>
            </w:tcBorders>
            <w:shd w:val="clear" w:color="auto" w:fill="D9D9D9" w:themeFill="background1" w:themeFillShade="D9"/>
            <w:noWrap/>
            <w:vAlign w:val="bottom"/>
            <w:hideMark/>
          </w:tcPr>
          <w:p w14:paraId="255E91A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6.1</w:t>
            </w:r>
          </w:p>
        </w:tc>
        <w:tc>
          <w:tcPr>
            <w:tcW w:w="1142" w:type="dxa"/>
            <w:tcBorders>
              <w:top w:val="nil"/>
              <w:left w:val="single" w:sz="4" w:space="0" w:color="auto"/>
              <w:bottom w:val="nil"/>
              <w:right w:val="nil"/>
            </w:tcBorders>
            <w:shd w:val="clear" w:color="auto" w:fill="D9D9D9" w:themeFill="background1" w:themeFillShade="D9"/>
            <w:noWrap/>
            <w:vAlign w:val="bottom"/>
            <w:hideMark/>
          </w:tcPr>
          <w:p w14:paraId="3806AAA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5.4</w:t>
            </w:r>
          </w:p>
        </w:tc>
      </w:tr>
      <w:tr w:rsidR="00153A1C" w:rsidRPr="00A60A8D" w14:paraId="5B6DD1C4" w14:textId="77777777" w:rsidTr="00A60A8D">
        <w:tc>
          <w:tcPr>
            <w:tcW w:w="3119" w:type="dxa"/>
            <w:tcBorders>
              <w:top w:val="nil"/>
              <w:left w:val="nil"/>
              <w:bottom w:val="nil"/>
              <w:right w:val="single" w:sz="4" w:space="0" w:color="auto"/>
            </w:tcBorders>
            <w:shd w:val="clear" w:color="auto" w:fill="auto"/>
            <w:noWrap/>
            <w:vAlign w:val="bottom"/>
            <w:hideMark/>
          </w:tcPr>
          <w:p w14:paraId="586F8969" w14:textId="77777777" w:rsidR="00153A1C" w:rsidRPr="00A60A8D" w:rsidRDefault="00153A1C" w:rsidP="00153A1C">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Unpaid family workers</w:t>
            </w:r>
          </w:p>
        </w:tc>
        <w:tc>
          <w:tcPr>
            <w:tcW w:w="850" w:type="dxa"/>
            <w:tcBorders>
              <w:top w:val="nil"/>
              <w:left w:val="single" w:sz="4" w:space="0" w:color="auto"/>
              <w:bottom w:val="nil"/>
              <w:right w:val="nil"/>
            </w:tcBorders>
            <w:shd w:val="clear" w:color="auto" w:fill="auto"/>
            <w:noWrap/>
            <w:vAlign w:val="bottom"/>
            <w:hideMark/>
          </w:tcPr>
          <w:p w14:paraId="49F76E2A"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993" w:type="dxa"/>
            <w:tcBorders>
              <w:top w:val="nil"/>
              <w:left w:val="nil"/>
              <w:bottom w:val="nil"/>
              <w:right w:val="nil"/>
            </w:tcBorders>
            <w:shd w:val="clear" w:color="auto" w:fill="auto"/>
            <w:noWrap/>
            <w:vAlign w:val="bottom"/>
            <w:hideMark/>
          </w:tcPr>
          <w:p w14:paraId="344A261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1275" w:type="dxa"/>
            <w:tcBorders>
              <w:top w:val="nil"/>
              <w:left w:val="nil"/>
              <w:bottom w:val="nil"/>
              <w:right w:val="nil"/>
            </w:tcBorders>
            <w:shd w:val="clear" w:color="auto" w:fill="auto"/>
            <w:noWrap/>
            <w:vAlign w:val="bottom"/>
            <w:hideMark/>
          </w:tcPr>
          <w:p w14:paraId="1BA4ECBF"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0.8</w:t>
            </w:r>
          </w:p>
        </w:tc>
        <w:tc>
          <w:tcPr>
            <w:tcW w:w="1560" w:type="dxa"/>
            <w:tcBorders>
              <w:top w:val="nil"/>
              <w:left w:val="nil"/>
              <w:bottom w:val="nil"/>
              <w:right w:val="single" w:sz="4" w:space="0" w:color="auto"/>
            </w:tcBorders>
            <w:shd w:val="clear" w:color="auto" w:fill="auto"/>
            <w:noWrap/>
            <w:vAlign w:val="bottom"/>
            <w:hideMark/>
          </w:tcPr>
          <w:p w14:paraId="211B166F"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0.1</w:t>
            </w:r>
          </w:p>
        </w:tc>
        <w:tc>
          <w:tcPr>
            <w:tcW w:w="708" w:type="dxa"/>
            <w:tcBorders>
              <w:top w:val="nil"/>
              <w:left w:val="single" w:sz="4" w:space="0" w:color="auto"/>
              <w:bottom w:val="nil"/>
              <w:right w:val="nil"/>
            </w:tcBorders>
            <w:shd w:val="clear" w:color="auto" w:fill="auto"/>
            <w:noWrap/>
            <w:vAlign w:val="bottom"/>
            <w:hideMark/>
          </w:tcPr>
          <w:p w14:paraId="273858E6"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993" w:type="dxa"/>
            <w:tcBorders>
              <w:top w:val="nil"/>
              <w:left w:val="nil"/>
              <w:bottom w:val="nil"/>
              <w:right w:val="nil"/>
            </w:tcBorders>
            <w:shd w:val="clear" w:color="auto" w:fill="auto"/>
            <w:noWrap/>
            <w:vAlign w:val="bottom"/>
            <w:hideMark/>
          </w:tcPr>
          <w:p w14:paraId="37B7285A"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0.1</w:t>
            </w:r>
          </w:p>
        </w:tc>
        <w:tc>
          <w:tcPr>
            <w:tcW w:w="992" w:type="dxa"/>
            <w:tcBorders>
              <w:top w:val="nil"/>
              <w:left w:val="nil"/>
              <w:bottom w:val="nil"/>
              <w:right w:val="nil"/>
            </w:tcBorders>
            <w:shd w:val="clear" w:color="auto" w:fill="auto"/>
            <w:noWrap/>
            <w:vAlign w:val="bottom"/>
            <w:hideMark/>
          </w:tcPr>
          <w:p w14:paraId="0893D266"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1134" w:type="dxa"/>
            <w:tcBorders>
              <w:top w:val="nil"/>
              <w:left w:val="nil"/>
              <w:bottom w:val="nil"/>
              <w:right w:val="nil"/>
            </w:tcBorders>
            <w:shd w:val="clear" w:color="auto" w:fill="auto"/>
            <w:noWrap/>
            <w:vAlign w:val="bottom"/>
            <w:hideMark/>
          </w:tcPr>
          <w:p w14:paraId="29FB546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1766" w:type="dxa"/>
            <w:tcBorders>
              <w:top w:val="nil"/>
              <w:left w:val="nil"/>
              <w:bottom w:val="nil"/>
              <w:right w:val="single" w:sz="4" w:space="0" w:color="auto"/>
            </w:tcBorders>
            <w:shd w:val="clear" w:color="auto" w:fill="auto"/>
            <w:noWrap/>
            <w:vAlign w:val="bottom"/>
            <w:hideMark/>
          </w:tcPr>
          <w:p w14:paraId="29E1692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0.1</w:t>
            </w:r>
          </w:p>
        </w:tc>
        <w:tc>
          <w:tcPr>
            <w:tcW w:w="1142" w:type="dxa"/>
            <w:tcBorders>
              <w:top w:val="nil"/>
              <w:left w:val="single" w:sz="4" w:space="0" w:color="auto"/>
              <w:bottom w:val="nil"/>
              <w:right w:val="nil"/>
            </w:tcBorders>
            <w:shd w:val="clear" w:color="auto" w:fill="auto"/>
            <w:noWrap/>
            <w:vAlign w:val="bottom"/>
            <w:hideMark/>
          </w:tcPr>
          <w:p w14:paraId="478BDB6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6.0</w:t>
            </w:r>
          </w:p>
        </w:tc>
      </w:tr>
      <w:tr w:rsidR="00153A1C" w:rsidRPr="00A60A8D" w14:paraId="2DDEA341" w14:textId="77777777" w:rsidTr="00A60A8D">
        <w:tc>
          <w:tcPr>
            <w:tcW w:w="3119" w:type="dxa"/>
            <w:tcBorders>
              <w:top w:val="nil"/>
              <w:left w:val="nil"/>
              <w:right w:val="single" w:sz="4" w:space="0" w:color="auto"/>
            </w:tcBorders>
            <w:shd w:val="clear" w:color="auto" w:fill="auto"/>
            <w:noWrap/>
            <w:vAlign w:val="bottom"/>
            <w:hideMark/>
          </w:tcPr>
          <w:p w14:paraId="1F153EFF" w14:textId="77777777" w:rsidR="00153A1C" w:rsidRPr="00A60A8D" w:rsidRDefault="00153A1C" w:rsidP="00153A1C">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Employers</w:t>
            </w:r>
          </w:p>
        </w:tc>
        <w:tc>
          <w:tcPr>
            <w:tcW w:w="850" w:type="dxa"/>
            <w:tcBorders>
              <w:top w:val="nil"/>
              <w:left w:val="single" w:sz="4" w:space="0" w:color="auto"/>
              <w:right w:val="nil"/>
            </w:tcBorders>
            <w:shd w:val="clear" w:color="auto" w:fill="auto"/>
            <w:noWrap/>
            <w:vAlign w:val="bottom"/>
            <w:hideMark/>
          </w:tcPr>
          <w:p w14:paraId="0D1E7A9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1.4</w:t>
            </w:r>
          </w:p>
        </w:tc>
        <w:tc>
          <w:tcPr>
            <w:tcW w:w="993" w:type="dxa"/>
            <w:tcBorders>
              <w:top w:val="nil"/>
              <w:left w:val="nil"/>
              <w:right w:val="nil"/>
            </w:tcBorders>
            <w:shd w:val="clear" w:color="auto" w:fill="auto"/>
            <w:noWrap/>
            <w:vAlign w:val="bottom"/>
            <w:hideMark/>
          </w:tcPr>
          <w:p w14:paraId="65524819"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0.7</w:t>
            </w:r>
          </w:p>
        </w:tc>
        <w:tc>
          <w:tcPr>
            <w:tcW w:w="1275" w:type="dxa"/>
            <w:tcBorders>
              <w:top w:val="nil"/>
              <w:left w:val="nil"/>
              <w:right w:val="nil"/>
            </w:tcBorders>
            <w:shd w:val="clear" w:color="auto" w:fill="auto"/>
            <w:noWrap/>
            <w:vAlign w:val="bottom"/>
            <w:hideMark/>
          </w:tcPr>
          <w:p w14:paraId="20A4E557"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1560" w:type="dxa"/>
            <w:tcBorders>
              <w:top w:val="nil"/>
              <w:left w:val="nil"/>
              <w:right w:val="single" w:sz="4" w:space="0" w:color="auto"/>
            </w:tcBorders>
            <w:shd w:val="clear" w:color="auto" w:fill="auto"/>
            <w:noWrap/>
            <w:vAlign w:val="bottom"/>
            <w:hideMark/>
          </w:tcPr>
          <w:p w14:paraId="70FEF08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0.3</w:t>
            </w:r>
          </w:p>
        </w:tc>
        <w:tc>
          <w:tcPr>
            <w:tcW w:w="708" w:type="dxa"/>
            <w:tcBorders>
              <w:top w:val="nil"/>
              <w:left w:val="single" w:sz="4" w:space="0" w:color="auto"/>
              <w:right w:val="nil"/>
            </w:tcBorders>
            <w:shd w:val="clear" w:color="auto" w:fill="auto"/>
            <w:noWrap/>
            <w:vAlign w:val="bottom"/>
            <w:hideMark/>
          </w:tcPr>
          <w:p w14:paraId="7F5F490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0.0</w:t>
            </w:r>
          </w:p>
        </w:tc>
        <w:tc>
          <w:tcPr>
            <w:tcW w:w="993" w:type="dxa"/>
            <w:tcBorders>
              <w:top w:val="nil"/>
              <w:left w:val="nil"/>
              <w:right w:val="nil"/>
            </w:tcBorders>
            <w:shd w:val="clear" w:color="auto" w:fill="auto"/>
            <w:noWrap/>
            <w:vAlign w:val="bottom"/>
            <w:hideMark/>
          </w:tcPr>
          <w:p w14:paraId="0581A2D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0.5</w:t>
            </w:r>
          </w:p>
        </w:tc>
        <w:tc>
          <w:tcPr>
            <w:tcW w:w="992" w:type="dxa"/>
            <w:tcBorders>
              <w:top w:val="nil"/>
              <w:left w:val="nil"/>
              <w:right w:val="nil"/>
            </w:tcBorders>
            <w:shd w:val="clear" w:color="auto" w:fill="auto"/>
            <w:noWrap/>
            <w:vAlign w:val="bottom"/>
            <w:hideMark/>
          </w:tcPr>
          <w:p w14:paraId="595080A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1.8</w:t>
            </w:r>
          </w:p>
        </w:tc>
        <w:tc>
          <w:tcPr>
            <w:tcW w:w="1134" w:type="dxa"/>
            <w:tcBorders>
              <w:top w:val="nil"/>
              <w:left w:val="nil"/>
              <w:right w:val="nil"/>
            </w:tcBorders>
            <w:shd w:val="clear" w:color="auto" w:fill="auto"/>
            <w:noWrap/>
            <w:vAlign w:val="bottom"/>
            <w:hideMark/>
          </w:tcPr>
          <w:p w14:paraId="00642DC9"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1.0</w:t>
            </w:r>
          </w:p>
        </w:tc>
        <w:tc>
          <w:tcPr>
            <w:tcW w:w="1766" w:type="dxa"/>
            <w:tcBorders>
              <w:top w:val="nil"/>
              <w:left w:val="nil"/>
              <w:right w:val="single" w:sz="4" w:space="0" w:color="auto"/>
            </w:tcBorders>
            <w:shd w:val="clear" w:color="auto" w:fill="auto"/>
            <w:noWrap/>
            <w:vAlign w:val="bottom"/>
            <w:hideMark/>
          </w:tcPr>
          <w:p w14:paraId="1E3D2474"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0.2</w:t>
            </w:r>
          </w:p>
        </w:tc>
        <w:tc>
          <w:tcPr>
            <w:tcW w:w="1142" w:type="dxa"/>
            <w:tcBorders>
              <w:top w:val="nil"/>
              <w:left w:val="single" w:sz="4" w:space="0" w:color="auto"/>
              <w:right w:val="nil"/>
            </w:tcBorders>
            <w:shd w:val="clear" w:color="auto" w:fill="auto"/>
            <w:noWrap/>
            <w:vAlign w:val="bottom"/>
            <w:hideMark/>
          </w:tcPr>
          <w:p w14:paraId="2AAC44F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0.1</w:t>
            </w:r>
          </w:p>
        </w:tc>
      </w:tr>
      <w:tr w:rsidR="00153A1C" w:rsidRPr="00A60A8D" w14:paraId="19181141" w14:textId="77777777" w:rsidTr="00A60A8D">
        <w:tc>
          <w:tcPr>
            <w:tcW w:w="3119" w:type="dxa"/>
            <w:tcBorders>
              <w:top w:val="nil"/>
              <w:left w:val="nil"/>
              <w:bottom w:val="single" w:sz="4" w:space="0" w:color="auto"/>
              <w:right w:val="single" w:sz="4" w:space="0" w:color="auto"/>
            </w:tcBorders>
            <w:shd w:val="clear" w:color="auto" w:fill="auto"/>
            <w:noWrap/>
            <w:vAlign w:val="bottom"/>
            <w:hideMark/>
          </w:tcPr>
          <w:p w14:paraId="5129C130" w14:textId="77777777" w:rsidR="00153A1C" w:rsidRPr="00A60A8D" w:rsidRDefault="00153A1C" w:rsidP="00153A1C">
            <w:pPr>
              <w:spacing w:before="0"/>
              <w:rPr>
                <w:rFonts w:ascii="Calibri" w:eastAsia="Times New Roman" w:hAnsi="Calibri" w:cs="Calibri"/>
                <w:b/>
                <w:color w:val="000000"/>
                <w:sz w:val="20"/>
                <w:szCs w:val="20"/>
                <w:lang w:val="en-US"/>
              </w:rPr>
            </w:pPr>
            <w:r w:rsidRPr="00A60A8D">
              <w:rPr>
                <w:rFonts w:ascii="Calibri" w:eastAsia="Times New Roman" w:hAnsi="Calibri" w:cs="Calibri"/>
                <w:b/>
                <w:color w:val="000000"/>
                <w:sz w:val="20"/>
                <w:szCs w:val="20"/>
                <w:lang w:val="en-US"/>
              </w:rPr>
              <w:t>Total</w:t>
            </w:r>
          </w:p>
        </w:tc>
        <w:tc>
          <w:tcPr>
            <w:tcW w:w="850" w:type="dxa"/>
            <w:tcBorders>
              <w:top w:val="nil"/>
              <w:left w:val="single" w:sz="4" w:space="0" w:color="auto"/>
              <w:bottom w:val="single" w:sz="4" w:space="0" w:color="auto"/>
              <w:right w:val="nil"/>
            </w:tcBorders>
            <w:shd w:val="clear" w:color="auto" w:fill="auto"/>
            <w:noWrap/>
            <w:vAlign w:val="bottom"/>
            <w:hideMark/>
          </w:tcPr>
          <w:p w14:paraId="49E540B4"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83.3</w:t>
            </w:r>
          </w:p>
        </w:tc>
        <w:tc>
          <w:tcPr>
            <w:tcW w:w="993" w:type="dxa"/>
            <w:tcBorders>
              <w:top w:val="nil"/>
              <w:left w:val="nil"/>
              <w:bottom w:val="single" w:sz="4" w:space="0" w:color="auto"/>
              <w:right w:val="nil"/>
            </w:tcBorders>
            <w:shd w:val="clear" w:color="auto" w:fill="auto"/>
            <w:noWrap/>
            <w:vAlign w:val="bottom"/>
            <w:hideMark/>
          </w:tcPr>
          <w:p w14:paraId="7AF0134D"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82.8</w:t>
            </w:r>
          </w:p>
        </w:tc>
        <w:tc>
          <w:tcPr>
            <w:tcW w:w="1275" w:type="dxa"/>
            <w:tcBorders>
              <w:top w:val="nil"/>
              <w:left w:val="nil"/>
              <w:bottom w:val="single" w:sz="4" w:space="0" w:color="auto"/>
              <w:right w:val="nil"/>
            </w:tcBorders>
            <w:shd w:val="clear" w:color="auto" w:fill="auto"/>
            <w:noWrap/>
            <w:vAlign w:val="bottom"/>
            <w:hideMark/>
          </w:tcPr>
          <w:p w14:paraId="67216FF9"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60.7</w:t>
            </w:r>
          </w:p>
        </w:tc>
        <w:tc>
          <w:tcPr>
            <w:tcW w:w="1560" w:type="dxa"/>
            <w:tcBorders>
              <w:top w:val="nil"/>
              <w:left w:val="nil"/>
              <w:bottom w:val="single" w:sz="4" w:space="0" w:color="auto"/>
              <w:right w:val="single" w:sz="4" w:space="0" w:color="auto"/>
            </w:tcBorders>
            <w:shd w:val="clear" w:color="auto" w:fill="auto"/>
            <w:noWrap/>
            <w:vAlign w:val="bottom"/>
            <w:hideMark/>
          </w:tcPr>
          <w:p w14:paraId="08D19F2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84.2</w:t>
            </w:r>
          </w:p>
        </w:tc>
        <w:tc>
          <w:tcPr>
            <w:tcW w:w="708" w:type="dxa"/>
            <w:tcBorders>
              <w:top w:val="nil"/>
              <w:left w:val="nil"/>
              <w:bottom w:val="single" w:sz="4" w:space="0" w:color="auto"/>
              <w:right w:val="nil"/>
            </w:tcBorders>
            <w:shd w:val="clear" w:color="auto" w:fill="auto"/>
            <w:noWrap/>
            <w:vAlign w:val="bottom"/>
            <w:hideMark/>
          </w:tcPr>
          <w:p w14:paraId="6CD3E3D3"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83.9</w:t>
            </w:r>
          </w:p>
        </w:tc>
        <w:tc>
          <w:tcPr>
            <w:tcW w:w="993" w:type="dxa"/>
            <w:tcBorders>
              <w:top w:val="nil"/>
              <w:left w:val="nil"/>
              <w:bottom w:val="single" w:sz="4" w:space="0" w:color="auto"/>
              <w:right w:val="nil"/>
            </w:tcBorders>
            <w:shd w:val="clear" w:color="auto" w:fill="auto"/>
            <w:noWrap/>
            <w:vAlign w:val="bottom"/>
            <w:hideMark/>
          </w:tcPr>
          <w:p w14:paraId="17D80021"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86.3</w:t>
            </w:r>
          </w:p>
        </w:tc>
        <w:tc>
          <w:tcPr>
            <w:tcW w:w="992" w:type="dxa"/>
            <w:tcBorders>
              <w:top w:val="nil"/>
              <w:left w:val="nil"/>
              <w:bottom w:val="single" w:sz="4" w:space="0" w:color="auto"/>
              <w:right w:val="nil"/>
            </w:tcBorders>
            <w:shd w:val="clear" w:color="auto" w:fill="auto"/>
            <w:noWrap/>
            <w:vAlign w:val="bottom"/>
            <w:hideMark/>
          </w:tcPr>
          <w:p w14:paraId="5489A9CF"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79.3</w:t>
            </w:r>
          </w:p>
        </w:tc>
        <w:tc>
          <w:tcPr>
            <w:tcW w:w="1134" w:type="dxa"/>
            <w:tcBorders>
              <w:top w:val="nil"/>
              <w:left w:val="nil"/>
              <w:bottom w:val="single" w:sz="4" w:space="0" w:color="auto"/>
              <w:right w:val="nil"/>
            </w:tcBorders>
            <w:shd w:val="clear" w:color="auto" w:fill="auto"/>
            <w:noWrap/>
            <w:vAlign w:val="bottom"/>
            <w:hideMark/>
          </w:tcPr>
          <w:p w14:paraId="40445067"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80.6</w:t>
            </w:r>
          </w:p>
        </w:tc>
        <w:tc>
          <w:tcPr>
            <w:tcW w:w="1766" w:type="dxa"/>
            <w:tcBorders>
              <w:top w:val="nil"/>
              <w:left w:val="nil"/>
              <w:bottom w:val="single" w:sz="4" w:space="0" w:color="auto"/>
              <w:right w:val="single" w:sz="4" w:space="0" w:color="auto"/>
            </w:tcBorders>
            <w:shd w:val="clear" w:color="auto" w:fill="auto"/>
            <w:noWrap/>
            <w:vAlign w:val="bottom"/>
            <w:hideMark/>
          </w:tcPr>
          <w:p w14:paraId="17CD4FF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84.5</w:t>
            </w:r>
          </w:p>
        </w:tc>
        <w:tc>
          <w:tcPr>
            <w:tcW w:w="1142" w:type="dxa"/>
            <w:tcBorders>
              <w:top w:val="nil"/>
              <w:left w:val="single" w:sz="4" w:space="0" w:color="auto"/>
              <w:bottom w:val="single" w:sz="4" w:space="0" w:color="auto"/>
              <w:right w:val="nil"/>
            </w:tcBorders>
            <w:shd w:val="clear" w:color="auto" w:fill="auto"/>
            <w:noWrap/>
            <w:vAlign w:val="bottom"/>
            <w:hideMark/>
          </w:tcPr>
          <w:p w14:paraId="3A819AAF"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hAnsi="Calibri" w:cs="Calibri"/>
                <w:color w:val="000000"/>
                <w:sz w:val="20"/>
                <w:szCs w:val="20"/>
                <w:lang w:val="en-US"/>
              </w:rPr>
              <w:t>83.6</w:t>
            </w:r>
          </w:p>
        </w:tc>
      </w:tr>
      <w:tr w:rsidR="00153A1C" w:rsidRPr="00A60A8D" w14:paraId="0DA81546" w14:textId="77777777" w:rsidTr="00A60A8D">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B5AB0BF" w14:textId="77777777" w:rsidR="00153A1C" w:rsidRPr="00A60A8D" w:rsidRDefault="00153A1C" w:rsidP="00B92593">
            <w:pPr>
              <w:spacing w:before="0"/>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 xml:space="preserve">N (in the </w:t>
            </w:r>
            <w:proofErr w:type="spellStart"/>
            <w:r w:rsidRPr="00A60A8D">
              <w:rPr>
                <w:rFonts w:ascii="Calibri" w:eastAsia="Times New Roman" w:hAnsi="Calibri" w:cs="Calibri"/>
                <w:color w:val="000000"/>
                <w:sz w:val="20"/>
                <w:szCs w:val="20"/>
                <w:lang w:val="en-US"/>
              </w:rPr>
              <w:t>unweighted</w:t>
            </w:r>
            <w:proofErr w:type="spellEnd"/>
            <w:r w:rsidRPr="00A60A8D">
              <w:rPr>
                <w:rFonts w:ascii="Calibri" w:eastAsia="Times New Roman" w:hAnsi="Calibri" w:cs="Calibri"/>
                <w:color w:val="000000"/>
                <w:sz w:val="20"/>
                <w:szCs w:val="20"/>
                <w:lang w:val="en-US"/>
              </w:rPr>
              <w:t xml:space="preserve"> sample)</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14:paraId="713B69D3"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670</w:t>
            </w:r>
          </w:p>
        </w:tc>
        <w:tc>
          <w:tcPr>
            <w:tcW w:w="993" w:type="dxa"/>
            <w:tcBorders>
              <w:top w:val="single" w:sz="4" w:space="0" w:color="auto"/>
              <w:left w:val="nil"/>
              <w:bottom w:val="single" w:sz="4" w:space="0" w:color="auto"/>
              <w:right w:val="nil"/>
            </w:tcBorders>
            <w:shd w:val="clear" w:color="auto" w:fill="auto"/>
            <w:noWrap/>
            <w:vAlign w:val="bottom"/>
            <w:hideMark/>
          </w:tcPr>
          <w:p w14:paraId="0F57A6B6"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259</w:t>
            </w:r>
          </w:p>
        </w:tc>
        <w:tc>
          <w:tcPr>
            <w:tcW w:w="1275" w:type="dxa"/>
            <w:tcBorders>
              <w:top w:val="single" w:sz="4" w:space="0" w:color="auto"/>
              <w:left w:val="nil"/>
              <w:bottom w:val="single" w:sz="4" w:space="0" w:color="auto"/>
              <w:right w:val="nil"/>
            </w:tcBorders>
            <w:shd w:val="clear" w:color="auto" w:fill="auto"/>
            <w:noWrap/>
            <w:vAlign w:val="bottom"/>
            <w:hideMark/>
          </w:tcPr>
          <w:p w14:paraId="30A34CB0"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31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C1DB1A"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2,074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14:paraId="3EFF1BC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85</w:t>
            </w:r>
          </w:p>
        </w:tc>
        <w:tc>
          <w:tcPr>
            <w:tcW w:w="993" w:type="dxa"/>
            <w:tcBorders>
              <w:top w:val="single" w:sz="4" w:space="0" w:color="auto"/>
              <w:left w:val="nil"/>
              <w:bottom w:val="single" w:sz="4" w:space="0" w:color="auto"/>
              <w:right w:val="nil"/>
            </w:tcBorders>
            <w:shd w:val="clear" w:color="auto" w:fill="auto"/>
            <w:noWrap/>
            <w:vAlign w:val="bottom"/>
            <w:hideMark/>
          </w:tcPr>
          <w:p w14:paraId="5BD9AF5B"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343</w:t>
            </w:r>
          </w:p>
        </w:tc>
        <w:tc>
          <w:tcPr>
            <w:tcW w:w="992" w:type="dxa"/>
            <w:tcBorders>
              <w:top w:val="single" w:sz="4" w:space="0" w:color="auto"/>
              <w:left w:val="nil"/>
              <w:bottom w:val="single" w:sz="4" w:space="0" w:color="auto"/>
              <w:right w:val="nil"/>
            </w:tcBorders>
            <w:shd w:val="clear" w:color="auto" w:fill="auto"/>
            <w:noWrap/>
            <w:vAlign w:val="bottom"/>
            <w:hideMark/>
          </w:tcPr>
          <w:p w14:paraId="49291EE2"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532</w:t>
            </w:r>
          </w:p>
        </w:tc>
        <w:tc>
          <w:tcPr>
            <w:tcW w:w="1134" w:type="dxa"/>
            <w:tcBorders>
              <w:top w:val="single" w:sz="4" w:space="0" w:color="auto"/>
              <w:left w:val="nil"/>
              <w:bottom w:val="single" w:sz="4" w:space="0" w:color="auto"/>
              <w:right w:val="nil"/>
            </w:tcBorders>
            <w:shd w:val="clear" w:color="auto" w:fill="auto"/>
            <w:noWrap/>
            <w:vAlign w:val="bottom"/>
            <w:hideMark/>
          </w:tcPr>
          <w:p w14:paraId="4992A25C"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168</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196B9098"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1,906</w:t>
            </w:r>
          </w:p>
        </w:tc>
        <w:tc>
          <w:tcPr>
            <w:tcW w:w="1142" w:type="dxa"/>
            <w:tcBorders>
              <w:top w:val="single" w:sz="4" w:space="0" w:color="auto"/>
              <w:left w:val="single" w:sz="4" w:space="0" w:color="auto"/>
              <w:bottom w:val="single" w:sz="4" w:space="0" w:color="auto"/>
              <w:right w:val="nil"/>
            </w:tcBorders>
            <w:shd w:val="clear" w:color="auto" w:fill="auto"/>
            <w:noWrap/>
            <w:vAlign w:val="bottom"/>
            <w:hideMark/>
          </w:tcPr>
          <w:p w14:paraId="4E96E3A5" w14:textId="77777777" w:rsidR="00153A1C" w:rsidRPr="00A60A8D" w:rsidRDefault="00153A1C" w:rsidP="00153A1C">
            <w:pPr>
              <w:spacing w:before="0"/>
              <w:jc w:val="center"/>
              <w:rPr>
                <w:rFonts w:ascii="Calibri" w:eastAsia="Times New Roman" w:hAnsi="Calibri" w:cs="Calibri"/>
                <w:color w:val="000000"/>
                <w:sz w:val="20"/>
                <w:szCs w:val="20"/>
                <w:lang w:val="en-US"/>
              </w:rPr>
            </w:pPr>
            <w:r w:rsidRPr="00A60A8D">
              <w:rPr>
                <w:rFonts w:ascii="Calibri" w:eastAsia="Times New Roman" w:hAnsi="Calibri" w:cs="Calibri"/>
                <w:color w:val="000000"/>
                <w:sz w:val="20"/>
                <w:szCs w:val="20"/>
                <w:lang w:val="en-US"/>
              </w:rPr>
              <w:t>3,034</w:t>
            </w:r>
          </w:p>
        </w:tc>
      </w:tr>
    </w:tbl>
    <w:p w14:paraId="0444DA3A" w14:textId="77777777" w:rsidR="00153A1C" w:rsidRPr="004A792A" w:rsidRDefault="00153A1C" w:rsidP="00E270FB">
      <w:pPr>
        <w:rPr>
          <w:lang w:val="en-US"/>
        </w:rPr>
        <w:sectPr w:rsidR="00153A1C" w:rsidRPr="004A792A" w:rsidSect="00153A1C">
          <w:pgSz w:w="16834" w:h="11909" w:orient="landscape" w:code="9"/>
          <w:pgMar w:top="1440" w:right="1440" w:bottom="1440" w:left="1440" w:header="720" w:footer="720" w:gutter="0"/>
          <w:cols w:space="720"/>
          <w:docGrid w:linePitch="360"/>
        </w:sectPr>
      </w:pPr>
    </w:p>
    <w:p w14:paraId="09BAB200" w14:textId="4401DA71" w:rsidR="00871E20" w:rsidRDefault="00A038A5" w:rsidP="0003612C">
      <w:pPr>
        <w:pStyle w:val="ad"/>
        <w:jc w:val="left"/>
        <w:rPr>
          <w:rFonts w:cstheme="minorHAnsi"/>
          <w:i/>
          <w:sz w:val="20"/>
          <w:szCs w:val="20"/>
          <w:lang w:val="en-US"/>
        </w:rPr>
      </w:pPr>
      <w:bookmarkStart w:id="168" w:name="_Ref521583739"/>
      <w:bookmarkStart w:id="169" w:name="_Toc533185143"/>
      <w:r>
        <w:lastRenderedPageBreak/>
        <w:t>Table A-</w:t>
      </w:r>
      <w:r>
        <w:fldChar w:fldCharType="begin"/>
      </w:r>
      <w:r>
        <w:instrText xml:space="preserve"> SEQ Table_A- \* ARABIC </w:instrText>
      </w:r>
      <w:r>
        <w:fldChar w:fldCharType="separate"/>
      </w:r>
      <w:r>
        <w:rPr>
          <w:noProof/>
        </w:rPr>
        <w:t>13</w:t>
      </w:r>
      <w:r>
        <w:fldChar w:fldCharType="end"/>
      </w:r>
      <w:bookmarkEnd w:id="168"/>
      <w:r w:rsidR="0003612C" w:rsidRPr="00BB343B">
        <w:t xml:space="preserve">: Determinants of </w:t>
      </w:r>
      <w:r w:rsidR="00B31845" w:rsidRPr="00BB343B">
        <w:t xml:space="preserve">salary expected </w:t>
      </w:r>
      <w:r w:rsidR="00834AE8" w:rsidRPr="00BB343B">
        <w:t>by job seekers</w:t>
      </w:r>
      <w:r w:rsidR="0003612C" w:rsidRPr="00BB343B">
        <w:t>: OLS regression</w:t>
      </w:r>
      <w:bookmarkEnd w:id="169"/>
    </w:p>
    <w:tbl>
      <w:tblPr>
        <w:tblW w:w="9639" w:type="dxa"/>
        <w:tblLayout w:type="fixed"/>
        <w:tblLook w:val="0000" w:firstRow="0" w:lastRow="0" w:firstColumn="0" w:lastColumn="0" w:noHBand="0" w:noVBand="0"/>
      </w:tblPr>
      <w:tblGrid>
        <w:gridCol w:w="3402"/>
        <w:gridCol w:w="1039"/>
        <w:gridCol w:w="1040"/>
        <w:gridCol w:w="1039"/>
        <w:gridCol w:w="1040"/>
        <w:gridCol w:w="1039"/>
        <w:gridCol w:w="1040"/>
      </w:tblGrid>
      <w:tr w:rsidR="00F87E27" w:rsidRPr="0078113B" w14:paraId="5969512D" w14:textId="77777777" w:rsidTr="00F87E27">
        <w:tc>
          <w:tcPr>
            <w:tcW w:w="3402" w:type="dxa"/>
            <w:tcBorders>
              <w:top w:val="single" w:sz="4" w:space="0" w:color="auto"/>
              <w:left w:val="nil"/>
              <w:right w:val="nil"/>
            </w:tcBorders>
          </w:tcPr>
          <w:p w14:paraId="5A4B5276" w14:textId="77777777" w:rsidR="00F87E27" w:rsidRPr="00F4152D" w:rsidRDefault="00F87E27" w:rsidP="00F87E27">
            <w:pPr>
              <w:widowControl w:val="0"/>
              <w:autoSpaceDE w:val="0"/>
              <w:autoSpaceDN w:val="0"/>
              <w:adjustRightInd w:val="0"/>
              <w:spacing w:before="0"/>
              <w:rPr>
                <w:rFonts w:cstheme="minorHAnsi"/>
                <w:sz w:val="20"/>
                <w:szCs w:val="20"/>
              </w:rPr>
            </w:pPr>
          </w:p>
        </w:tc>
        <w:tc>
          <w:tcPr>
            <w:tcW w:w="3118" w:type="dxa"/>
            <w:gridSpan w:val="3"/>
            <w:tcBorders>
              <w:top w:val="single" w:sz="4" w:space="0" w:color="auto"/>
              <w:left w:val="nil"/>
              <w:right w:val="nil"/>
            </w:tcBorders>
          </w:tcPr>
          <w:p w14:paraId="16A75602" w14:textId="77777777" w:rsidR="00F87E27" w:rsidRPr="0078113B" w:rsidRDefault="00F87E27" w:rsidP="00F87E27">
            <w:pPr>
              <w:widowControl w:val="0"/>
              <w:autoSpaceDE w:val="0"/>
              <w:autoSpaceDN w:val="0"/>
              <w:adjustRightInd w:val="0"/>
              <w:spacing w:before="0"/>
              <w:jc w:val="center"/>
              <w:rPr>
                <w:rFonts w:cstheme="minorHAnsi"/>
                <w:b/>
                <w:sz w:val="20"/>
                <w:szCs w:val="20"/>
              </w:rPr>
            </w:pPr>
            <w:r w:rsidRPr="0078113B">
              <w:rPr>
                <w:rFonts w:cstheme="minorHAnsi"/>
                <w:b/>
                <w:sz w:val="20"/>
                <w:szCs w:val="20"/>
              </w:rPr>
              <w:t>Model 1</w:t>
            </w:r>
          </w:p>
        </w:tc>
        <w:tc>
          <w:tcPr>
            <w:tcW w:w="3119" w:type="dxa"/>
            <w:gridSpan w:val="3"/>
            <w:tcBorders>
              <w:top w:val="single" w:sz="4" w:space="0" w:color="auto"/>
              <w:left w:val="nil"/>
              <w:right w:val="nil"/>
            </w:tcBorders>
          </w:tcPr>
          <w:p w14:paraId="2C9B35BD" w14:textId="77777777" w:rsidR="00F87E27" w:rsidRPr="0078113B" w:rsidRDefault="00F87E27" w:rsidP="00F87E27">
            <w:pPr>
              <w:widowControl w:val="0"/>
              <w:autoSpaceDE w:val="0"/>
              <w:autoSpaceDN w:val="0"/>
              <w:adjustRightInd w:val="0"/>
              <w:spacing w:before="0"/>
              <w:jc w:val="center"/>
              <w:rPr>
                <w:rFonts w:cstheme="minorHAnsi"/>
                <w:b/>
                <w:sz w:val="20"/>
                <w:szCs w:val="20"/>
              </w:rPr>
            </w:pPr>
            <w:r w:rsidRPr="0078113B">
              <w:rPr>
                <w:rFonts w:cstheme="minorHAnsi"/>
                <w:b/>
                <w:sz w:val="20"/>
                <w:szCs w:val="20"/>
              </w:rPr>
              <w:t>Model 2</w:t>
            </w:r>
          </w:p>
        </w:tc>
      </w:tr>
      <w:tr w:rsidR="00F87E27" w:rsidRPr="0078113B" w14:paraId="36115259" w14:textId="77777777" w:rsidTr="00F87E27">
        <w:tc>
          <w:tcPr>
            <w:tcW w:w="3402" w:type="dxa"/>
            <w:tcBorders>
              <w:left w:val="nil"/>
              <w:bottom w:val="single" w:sz="4" w:space="0" w:color="auto"/>
              <w:right w:val="nil"/>
            </w:tcBorders>
          </w:tcPr>
          <w:p w14:paraId="385C0A0F" w14:textId="77777777" w:rsidR="00F87E27" w:rsidRPr="0078113B" w:rsidRDefault="00F87E27" w:rsidP="00F87E27">
            <w:pPr>
              <w:widowControl w:val="0"/>
              <w:autoSpaceDE w:val="0"/>
              <w:autoSpaceDN w:val="0"/>
              <w:adjustRightInd w:val="0"/>
              <w:spacing w:before="0"/>
              <w:rPr>
                <w:rFonts w:cstheme="minorHAnsi"/>
                <w:sz w:val="20"/>
                <w:szCs w:val="20"/>
              </w:rPr>
            </w:pPr>
          </w:p>
        </w:tc>
        <w:tc>
          <w:tcPr>
            <w:tcW w:w="1039" w:type="dxa"/>
            <w:tcBorders>
              <w:left w:val="nil"/>
              <w:bottom w:val="single" w:sz="4" w:space="0" w:color="auto"/>
              <w:right w:val="nil"/>
            </w:tcBorders>
          </w:tcPr>
          <w:p w14:paraId="3DFAABB4" w14:textId="77777777" w:rsidR="00F87E27" w:rsidRPr="0078113B" w:rsidRDefault="00F87E27" w:rsidP="00F87E27">
            <w:pPr>
              <w:widowControl w:val="0"/>
              <w:autoSpaceDE w:val="0"/>
              <w:autoSpaceDN w:val="0"/>
              <w:adjustRightInd w:val="0"/>
              <w:spacing w:before="0"/>
              <w:jc w:val="center"/>
              <w:rPr>
                <w:rFonts w:cstheme="minorHAnsi"/>
                <w:sz w:val="20"/>
                <w:szCs w:val="20"/>
              </w:rPr>
            </w:pPr>
            <w:r w:rsidRPr="0078113B">
              <w:rPr>
                <w:rFonts w:cstheme="minorHAnsi"/>
                <w:sz w:val="20"/>
                <w:szCs w:val="20"/>
              </w:rPr>
              <w:t>All job seekers</w:t>
            </w:r>
          </w:p>
        </w:tc>
        <w:tc>
          <w:tcPr>
            <w:tcW w:w="1040" w:type="dxa"/>
            <w:tcBorders>
              <w:left w:val="nil"/>
              <w:bottom w:val="single" w:sz="4" w:space="0" w:color="auto"/>
              <w:right w:val="nil"/>
            </w:tcBorders>
          </w:tcPr>
          <w:p w14:paraId="5499F274" w14:textId="77777777" w:rsidR="00F87E27" w:rsidRPr="0078113B" w:rsidRDefault="00F87E27" w:rsidP="00F87E27">
            <w:pPr>
              <w:widowControl w:val="0"/>
              <w:autoSpaceDE w:val="0"/>
              <w:autoSpaceDN w:val="0"/>
              <w:adjustRightInd w:val="0"/>
              <w:spacing w:before="0"/>
              <w:jc w:val="center"/>
              <w:rPr>
                <w:rFonts w:cstheme="minorHAnsi"/>
                <w:sz w:val="20"/>
                <w:szCs w:val="20"/>
              </w:rPr>
            </w:pPr>
            <w:r w:rsidRPr="0078113B">
              <w:rPr>
                <w:rFonts w:cstheme="minorHAnsi"/>
                <w:sz w:val="20"/>
                <w:szCs w:val="20"/>
              </w:rPr>
              <w:t>Women</w:t>
            </w:r>
          </w:p>
        </w:tc>
        <w:tc>
          <w:tcPr>
            <w:tcW w:w="1039" w:type="dxa"/>
            <w:tcBorders>
              <w:left w:val="nil"/>
              <w:bottom w:val="single" w:sz="4" w:space="0" w:color="auto"/>
              <w:right w:val="nil"/>
            </w:tcBorders>
          </w:tcPr>
          <w:p w14:paraId="30F732B8" w14:textId="77777777" w:rsidR="00F87E27" w:rsidRPr="0078113B" w:rsidRDefault="00F87E27" w:rsidP="00F87E27">
            <w:pPr>
              <w:widowControl w:val="0"/>
              <w:autoSpaceDE w:val="0"/>
              <w:autoSpaceDN w:val="0"/>
              <w:adjustRightInd w:val="0"/>
              <w:spacing w:before="0"/>
              <w:jc w:val="center"/>
              <w:rPr>
                <w:rFonts w:cstheme="minorHAnsi"/>
                <w:sz w:val="20"/>
                <w:szCs w:val="20"/>
              </w:rPr>
            </w:pPr>
            <w:r w:rsidRPr="0078113B">
              <w:rPr>
                <w:rFonts w:cstheme="minorHAnsi"/>
                <w:sz w:val="20"/>
                <w:szCs w:val="20"/>
              </w:rPr>
              <w:t>Men</w:t>
            </w:r>
          </w:p>
        </w:tc>
        <w:tc>
          <w:tcPr>
            <w:tcW w:w="1040" w:type="dxa"/>
            <w:tcBorders>
              <w:left w:val="nil"/>
              <w:bottom w:val="single" w:sz="4" w:space="0" w:color="auto"/>
              <w:right w:val="nil"/>
            </w:tcBorders>
          </w:tcPr>
          <w:p w14:paraId="166189DF" w14:textId="77777777" w:rsidR="00F87E27" w:rsidRPr="0078113B" w:rsidRDefault="00F87E27" w:rsidP="00F87E27">
            <w:pPr>
              <w:widowControl w:val="0"/>
              <w:autoSpaceDE w:val="0"/>
              <w:autoSpaceDN w:val="0"/>
              <w:adjustRightInd w:val="0"/>
              <w:spacing w:before="0"/>
              <w:jc w:val="center"/>
              <w:rPr>
                <w:rFonts w:cstheme="minorHAnsi"/>
                <w:sz w:val="20"/>
                <w:szCs w:val="20"/>
              </w:rPr>
            </w:pPr>
            <w:r w:rsidRPr="0078113B">
              <w:rPr>
                <w:rFonts w:cstheme="minorHAnsi"/>
                <w:sz w:val="20"/>
                <w:szCs w:val="20"/>
              </w:rPr>
              <w:t>All job seekers</w:t>
            </w:r>
          </w:p>
        </w:tc>
        <w:tc>
          <w:tcPr>
            <w:tcW w:w="1039" w:type="dxa"/>
            <w:tcBorders>
              <w:left w:val="nil"/>
              <w:bottom w:val="single" w:sz="4" w:space="0" w:color="auto"/>
              <w:right w:val="nil"/>
            </w:tcBorders>
          </w:tcPr>
          <w:p w14:paraId="36F2FF5D" w14:textId="77777777" w:rsidR="00F87E27" w:rsidRPr="0078113B" w:rsidRDefault="00F87E27" w:rsidP="00F87E27">
            <w:pPr>
              <w:widowControl w:val="0"/>
              <w:autoSpaceDE w:val="0"/>
              <w:autoSpaceDN w:val="0"/>
              <w:adjustRightInd w:val="0"/>
              <w:spacing w:before="0"/>
              <w:jc w:val="center"/>
              <w:rPr>
                <w:rFonts w:cstheme="minorHAnsi"/>
                <w:sz w:val="20"/>
                <w:szCs w:val="20"/>
              </w:rPr>
            </w:pPr>
            <w:r w:rsidRPr="0078113B">
              <w:rPr>
                <w:rFonts w:cstheme="minorHAnsi"/>
                <w:sz w:val="20"/>
                <w:szCs w:val="20"/>
              </w:rPr>
              <w:t>Women</w:t>
            </w:r>
          </w:p>
        </w:tc>
        <w:tc>
          <w:tcPr>
            <w:tcW w:w="1040" w:type="dxa"/>
            <w:tcBorders>
              <w:left w:val="nil"/>
              <w:bottom w:val="single" w:sz="4" w:space="0" w:color="auto"/>
              <w:right w:val="nil"/>
            </w:tcBorders>
          </w:tcPr>
          <w:p w14:paraId="233B53FA" w14:textId="77777777" w:rsidR="00F87E27" w:rsidRPr="0078113B" w:rsidRDefault="00F87E27" w:rsidP="00F87E27">
            <w:pPr>
              <w:widowControl w:val="0"/>
              <w:autoSpaceDE w:val="0"/>
              <w:autoSpaceDN w:val="0"/>
              <w:adjustRightInd w:val="0"/>
              <w:spacing w:before="0"/>
              <w:jc w:val="center"/>
              <w:rPr>
                <w:rFonts w:cstheme="minorHAnsi"/>
                <w:sz w:val="20"/>
                <w:szCs w:val="20"/>
              </w:rPr>
            </w:pPr>
            <w:r w:rsidRPr="0078113B">
              <w:rPr>
                <w:rFonts w:cstheme="minorHAnsi"/>
                <w:sz w:val="20"/>
                <w:szCs w:val="20"/>
              </w:rPr>
              <w:t>Men</w:t>
            </w:r>
          </w:p>
        </w:tc>
      </w:tr>
      <w:tr w:rsidR="00D64649" w:rsidRPr="0078113B" w14:paraId="58079664" w14:textId="77777777" w:rsidTr="00F87E27">
        <w:tc>
          <w:tcPr>
            <w:tcW w:w="3402" w:type="dxa"/>
            <w:tcBorders>
              <w:top w:val="single" w:sz="4" w:space="0" w:color="auto"/>
              <w:left w:val="nil"/>
              <w:bottom w:val="nil"/>
              <w:right w:val="nil"/>
            </w:tcBorders>
          </w:tcPr>
          <w:p w14:paraId="5190E078"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Female</w:t>
            </w:r>
          </w:p>
        </w:tc>
        <w:tc>
          <w:tcPr>
            <w:tcW w:w="1039" w:type="dxa"/>
            <w:tcBorders>
              <w:top w:val="single" w:sz="4" w:space="0" w:color="auto"/>
              <w:left w:val="nil"/>
              <w:bottom w:val="nil"/>
              <w:right w:val="nil"/>
            </w:tcBorders>
            <w:vAlign w:val="bottom"/>
          </w:tcPr>
          <w:p w14:paraId="3E004804"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-0.135***</w:t>
            </w:r>
          </w:p>
        </w:tc>
        <w:tc>
          <w:tcPr>
            <w:tcW w:w="1040" w:type="dxa"/>
            <w:tcBorders>
              <w:top w:val="single" w:sz="4" w:space="0" w:color="auto"/>
              <w:left w:val="nil"/>
              <w:bottom w:val="nil"/>
              <w:right w:val="nil"/>
            </w:tcBorders>
            <w:vAlign w:val="bottom"/>
          </w:tcPr>
          <w:p w14:paraId="2BD794ED"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39" w:type="dxa"/>
            <w:tcBorders>
              <w:top w:val="single" w:sz="4" w:space="0" w:color="auto"/>
              <w:left w:val="nil"/>
              <w:bottom w:val="nil"/>
              <w:right w:val="nil"/>
            </w:tcBorders>
            <w:vAlign w:val="bottom"/>
          </w:tcPr>
          <w:p w14:paraId="087908EA"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single" w:sz="4" w:space="0" w:color="auto"/>
              <w:left w:val="nil"/>
              <w:bottom w:val="nil"/>
              <w:right w:val="nil"/>
            </w:tcBorders>
            <w:vAlign w:val="bottom"/>
          </w:tcPr>
          <w:p w14:paraId="2657B10E"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-0.137***</w:t>
            </w:r>
          </w:p>
        </w:tc>
        <w:tc>
          <w:tcPr>
            <w:tcW w:w="1039" w:type="dxa"/>
            <w:tcBorders>
              <w:top w:val="single" w:sz="4" w:space="0" w:color="auto"/>
              <w:left w:val="nil"/>
              <w:bottom w:val="nil"/>
              <w:right w:val="nil"/>
            </w:tcBorders>
            <w:vAlign w:val="bottom"/>
          </w:tcPr>
          <w:p w14:paraId="0D303AD5"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single" w:sz="4" w:space="0" w:color="auto"/>
              <w:left w:val="nil"/>
              <w:bottom w:val="nil"/>
              <w:right w:val="nil"/>
            </w:tcBorders>
            <w:vAlign w:val="bottom"/>
          </w:tcPr>
          <w:p w14:paraId="0E4DC191"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r>
      <w:tr w:rsidR="00D64649" w:rsidRPr="0078113B" w14:paraId="082FD5A1" w14:textId="77777777" w:rsidTr="00CF2502">
        <w:tc>
          <w:tcPr>
            <w:tcW w:w="3402" w:type="dxa"/>
            <w:tcBorders>
              <w:top w:val="nil"/>
              <w:left w:val="nil"/>
              <w:bottom w:val="nil"/>
              <w:right w:val="nil"/>
            </w:tcBorders>
          </w:tcPr>
          <w:p w14:paraId="36215571"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37D7A518"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(0.016)</w:t>
            </w:r>
          </w:p>
        </w:tc>
        <w:tc>
          <w:tcPr>
            <w:tcW w:w="1040" w:type="dxa"/>
            <w:tcBorders>
              <w:top w:val="nil"/>
              <w:left w:val="nil"/>
              <w:bottom w:val="nil"/>
              <w:right w:val="nil"/>
            </w:tcBorders>
            <w:vAlign w:val="bottom"/>
          </w:tcPr>
          <w:p w14:paraId="66E569C6"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39" w:type="dxa"/>
            <w:tcBorders>
              <w:top w:val="nil"/>
              <w:left w:val="nil"/>
              <w:bottom w:val="nil"/>
              <w:right w:val="nil"/>
            </w:tcBorders>
            <w:vAlign w:val="bottom"/>
          </w:tcPr>
          <w:p w14:paraId="0A17CBE4"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nil"/>
              <w:right w:val="nil"/>
            </w:tcBorders>
            <w:vAlign w:val="bottom"/>
          </w:tcPr>
          <w:p w14:paraId="4DF5A01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(0.016)</w:t>
            </w:r>
          </w:p>
        </w:tc>
        <w:tc>
          <w:tcPr>
            <w:tcW w:w="1039" w:type="dxa"/>
            <w:tcBorders>
              <w:top w:val="nil"/>
              <w:left w:val="nil"/>
              <w:bottom w:val="nil"/>
              <w:right w:val="nil"/>
            </w:tcBorders>
            <w:vAlign w:val="bottom"/>
          </w:tcPr>
          <w:p w14:paraId="630AE639"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nil"/>
              <w:right w:val="nil"/>
            </w:tcBorders>
            <w:vAlign w:val="bottom"/>
          </w:tcPr>
          <w:p w14:paraId="342EF312"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r>
      <w:tr w:rsidR="00D64649" w:rsidRPr="0078113B" w14:paraId="05147A5E" w14:textId="77777777" w:rsidTr="00CF2502">
        <w:tc>
          <w:tcPr>
            <w:tcW w:w="3402" w:type="dxa"/>
            <w:tcBorders>
              <w:top w:val="nil"/>
              <w:left w:val="nil"/>
              <w:bottom w:val="nil"/>
              <w:right w:val="nil"/>
            </w:tcBorders>
          </w:tcPr>
          <w:p w14:paraId="2E233E08"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Married</w:t>
            </w:r>
          </w:p>
        </w:tc>
        <w:tc>
          <w:tcPr>
            <w:tcW w:w="1039" w:type="dxa"/>
            <w:tcBorders>
              <w:top w:val="nil"/>
              <w:left w:val="nil"/>
              <w:bottom w:val="nil"/>
              <w:right w:val="nil"/>
            </w:tcBorders>
            <w:vAlign w:val="bottom"/>
          </w:tcPr>
          <w:p w14:paraId="190F89C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0.010</w:t>
            </w:r>
          </w:p>
        </w:tc>
        <w:tc>
          <w:tcPr>
            <w:tcW w:w="1040" w:type="dxa"/>
            <w:tcBorders>
              <w:top w:val="nil"/>
              <w:left w:val="nil"/>
              <w:bottom w:val="nil"/>
              <w:right w:val="nil"/>
            </w:tcBorders>
            <w:vAlign w:val="bottom"/>
          </w:tcPr>
          <w:p w14:paraId="04248A9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-0.062**</w:t>
            </w:r>
          </w:p>
        </w:tc>
        <w:tc>
          <w:tcPr>
            <w:tcW w:w="1039" w:type="dxa"/>
            <w:tcBorders>
              <w:top w:val="nil"/>
              <w:left w:val="nil"/>
              <w:bottom w:val="nil"/>
              <w:right w:val="nil"/>
            </w:tcBorders>
            <w:vAlign w:val="bottom"/>
          </w:tcPr>
          <w:p w14:paraId="08E524F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0.075**</w:t>
            </w:r>
          </w:p>
        </w:tc>
        <w:tc>
          <w:tcPr>
            <w:tcW w:w="1040" w:type="dxa"/>
            <w:tcBorders>
              <w:top w:val="nil"/>
              <w:left w:val="nil"/>
              <w:bottom w:val="nil"/>
              <w:right w:val="nil"/>
            </w:tcBorders>
            <w:vAlign w:val="bottom"/>
          </w:tcPr>
          <w:p w14:paraId="59C7B8F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-0.001</w:t>
            </w:r>
          </w:p>
        </w:tc>
        <w:tc>
          <w:tcPr>
            <w:tcW w:w="1039" w:type="dxa"/>
            <w:tcBorders>
              <w:top w:val="nil"/>
              <w:left w:val="nil"/>
              <w:bottom w:val="nil"/>
              <w:right w:val="nil"/>
            </w:tcBorders>
            <w:vAlign w:val="bottom"/>
          </w:tcPr>
          <w:p w14:paraId="5E11015A"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-0.072*</w:t>
            </w:r>
          </w:p>
        </w:tc>
        <w:tc>
          <w:tcPr>
            <w:tcW w:w="1040" w:type="dxa"/>
            <w:tcBorders>
              <w:top w:val="nil"/>
              <w:left w:val="nil"/>
              <w:bottom w:val="nil"/>
              <w:right w:val="nil"/>
            </w:tcBorders>
            <w:vAlign w:val="bottom"/>
          </w:tcPr>
          <w:p w14:paraId="4D6DB70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0.071*</w:t>
            </w:r>
          </w:p>
        </w:tc>
      </w:tr>
      <w:tr w:rsidR="00D64649" w:rsidRPr="0078113B" w14:paraId="5BAC23D2" w14:textId="77777777" w:rsidTr="00CF2502">
        <w:tc>
          <w:tcPr>
            <w:tcW w:w="3402" w:type="dxa"/>
            <w:tcBorders>
              <w:top w:val="nil"/>
              <w:left w:val="nil"/>
              <w:bottom w:val="nil"/>
              <w:right w:val="nil"/>
            </w:tcBorders>
          </w:tcPr>
          <w:p w14:paraId="7DA7194C"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0E827ECF"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(0.022)</w:t>
            </w:r>
          </w:p>
        </w:tc>
        <w:tc>
          <w:tcPr>
            <w:tcW w:w="1040" w:type="dxa"/>
            <w:tcBorders>
              <w:top w:val="nil"/>
              <w:left w:val="nil"/>
              <w:bottom w:val="nil"/>
              <w:right w:val="nil"/>
            </w:tcBorders>
            <w:vAlign w:val="bottom"/>
          </w:tcPr>
          <w:p w14:paraId="3F478AF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(0.031)</w:t>
            </w:r>
          </w:p>
        </w:tc>
        <w:tc>
          <w:tcPr>
            <w:tcW w:w="1039" w:type="dxa"/>
            <w:tcBorders>
              <w:top w:val="nil"/>
              <w:left w:val="nil"/>
              <w:bottom w:val="nil"/>
              <w:right w:val="nil"/>
            </w:tcBorders>
            <w:vAlign w:val="bottom"/>
          </w:tcPr>
          <w:p w14:paraId="36AAEF5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(0.032)</w:t>
            </w:r>
          </w:p>
        </w:tc>
        <w:tc>
          <w:tcPr>
            <w:tcW w:w="1040" w:type="dxa"/>
            <w:tcBorders>
              <w:top w:val="nil"/>
              <w:left w:val="nil"/>
              <w:bottom w:val="nil"/>
              <w:right w:val="nil"/>
            </w:tcBorders>
            <w:vAlign w:val="bottom"/>
          </w:tcPr>
          <w:p w14:paraId="56AB91C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(0.027)</w:t>
            </w:r>
          </w:p>
        </w:tc>
        <w:tc>
          <w:tcPr>
            <w:tcW w:w="1039" w:type="dxa"/>
            <w:tcBorders>
              <w:top w:val="nil"/>
              <w:left w:val="nil"/>
              <w:bottom w:val="nil"/>
              <w:right w:val="nil"/>
            </w:tcBorders>
            <w:vAlign w:val="bottom"/>
          </w:tcPr>
          <w:p w14:paraId="0F043E3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(0.037)</w:t>
            </w:r>
          </w:p>
        </w:tc>
        <w:tc>
          <w:tcPr>
            <w:tcW w:w="1040" w:type="dxa"/>
            <w:tcBorders>
              <w:top w:val="nil"/>
              <w:left w:val="nil"/>
              <w:bottom w:val="nil"/>
              <w:right w:val="nil"/>
            </w:tcBorders>
            <w:vAlign w:val="bottom"/>
          </w:tcPr>
          <w:p w14:paraId="30D44D7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(0.040)</w:t>
            </w:r>
          </w:p>
        </w:tc>
      </w:tr>
      <w:tr w:rsidR="00D64649" w:rsidRPr="0078113B" w14:paraId="557BB877" w14:textId="77777777" w:rsidTr="00CF2502">
        <w:tc>
          <w:tcPr>
            <w:tcW w:w="3402" w:type="dxa"/>
            <w:tcBorders>
              <w:top w:val="nil"/>
              <w:left w:val="nil"/>
              <w:bottom w:val="nil"/>
              <w:right w:val="nil"/>
            </w:tcBorders>
          </w:tcPr>
          <w:p w14:paraId="75E71078"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ascii="Calibri" w:hAnsi="Calibri" w:cs="Calibri"/>
                <w:color w:val="000000"/>
                <w:sz w:val="20"/>
                <w:szCs w:val="20"/>
              </w:rPr>
              <w:t>Married*Currently employed</w:t>
            </w:r>
          </w:p>
        </w:tc>
        <w:tc>
          <w:tcPr>
            <w:tcW w:w="1039" w:type="dxa"/>
            <w:tcBorders>
              <w:top w:val="nil"/>
              <w:left w:val="nil"/>
              <w:bottom w:val="nil"/>
              <w:right w:val="nil"/>
            </w:tcBorders>
            <w:vAlign w:val="bottom"/>
          </w:tcPr>
          <w:p w14:paraId="3C6FBBFD"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nil"/>
              <w:right w:val="nil"/>
            </w:tcBorders>
            <w:vAlign w:val="bottom"/>
          </w:tcPr>
          <w:p w14:paraId="258B9E12"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39" w:type="dxa"/>
            <w:tcBorders>
              <w:top w:val="nil"/>
              <w:left w:val="nil"/>
              <w:bottom w:val="nil"/>
              <w:right w:val="nil"/>
            </w:tcBorders>
            <w:vAlign w:val="bottom"/>
          </w:tcPr>
          <w:p w14:paraId="783BE51D"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nil"/>
              <w:right w:val="nil"/>
            </w:tcBorders>
            <w:vAlign w:val="bottom"/>
          </w:tcPr>
          <w:p w14:paraId="2CD17BC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0.030</w:t>
            </w:r>
          </w:p>
        </w:tc>
        <w:tc>
          <w:tcPr>
            <w:tcW w:w="1039" w:type="dxa"/>
            <w:tcBorders>
              <w:top w:val="nil"/>
              <w:left w:val="nil"/>
              <w:bottom w:val="nil"/>
              <w:right w:val="nil"/>
            </w:tcBorders>
            <w:vAlign w:val="bottom"/>
          </w:tcPr>
          <w:p w14:paraId="7B87417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0.028</w:t>
            </w:r>
          </w:p>
        </w:tc>
        <w:tc>
          <w:tcPr>
            <w:tcW w:w="1040" w:type="dxa"/>
            <w:tcBorders>
              <w:top w:val="nil"/>
              <w:left w:val="nil"/>
              <w:bottom w:val="nil"/>
              <w:right w:val="nil"/>
            </w:tcBorders>
            <w:vAlign w:val="bottom"/>
          </w:tcPr>
          <w:p w14:paraId="0EE72B7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0.008</w:t>
            </w:r>
          </w:p>
        </w:tc>
      </w:tr>
      <w:tr w:rsidR="00D64649" w:rsidRPr="0078113B" w14:paraId="3002B6AA" w14:textId="77777777" w:rsidTr="00CF2502">
        <w:tc>
          <w:tcPr>
            <w:tcW w:w="3402" w:type="dxa"/>
            <w:tcBorders>
              <w:top w:val="nil"/>
              <w:left w:val="nil"/>
              <w:bottom w:val="nil"/>
              <w:right w:val="nil"/>
            </w:tcBorders>
          </w:tcPr>
          <w:p w14:paraId="0660A292"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44497FC0"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nil"/>
              <w:right w:val="nil"/>
            </w:tcBorders>
            <w:vAlign w:val="bottom"/>
          </w:tcPr>
          <w:p w14:paraId="52B6B1E1"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39" w:type="dxa"/>
            <w:tcBorders>
              <w:top w:val="nil"/>
              <w:left w:val="nil"/>
              <w:bottom w:val="nil"/>
              <w:right w:val="nil"/>
            </w:tcBorders>
            <w:vAlign w:val="bottom"/>
          </w:tcPr>
          <w:p w14:paraId="45D2E95E"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nil"/>
              <w:right w:val="nil"/>
            </w:tcBorders>
            <w:vAlign w:val="bottom"/>
          </w:tcPr>
          <w:p w14:paraId="474F92D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(0.046)</w:t>
            </w:r>
          </w:p>
        </w:tc>
        <w:tc>
          <w:tcPr>
            <w:tcW w:w="1039" w:type="dxa"/>
            <w:tcBorders>
              <w:top w:val="nil"/>
              <w:left w:val="nil"/>
              <w:bottom w:val="nil"/>
              <w:right w:val="nil"/>
            </w:tcBorders>
            <w:vAlign w:val="bottom"/>
          </w:tcPr>
          <w:p w14:paraId="52C0235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(0.064)</w:t>
            </w:r>
          </w:p>
        </w:tc>
        <w:tc>
          <w:tcPr>
            <w:tcW w:w="1040" w:type="dxa"/>
            <w:tcBorders>
              <w:top w:val="nil"/>
              <w:left w:val="nil"/>
              <w:bottom w:val="nil"/>
              <w:right w:val="nil"/>
            </w:tcBorders>
            <w:vAlign w:val="bottom"/>
          </w:tcPr>
          <w:p w14:paraId="301851B1"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(0.067)</w:t>
            </w:r>
          </w:p>
        </w:tc>
      </w:tr>
      <w:tr w:rsidR="00D64649" w:rsidRPr="0078113B" w14:paraId="65F11F9F" w14:textId="77777777" w:rsidTr="00CF2502">
        <w:tc>
          <w:tcPr>
            <w:tcW w:w="3402" w:type="dxa"/>
            <w:tcBorders>
              <w:top w:val="nil"/>
              <w:left w:val="nil"/>
              <w:bottom w:val="nil"/>
              <w:right w:val="nil"/>
            </w:tcBorders>
            <w:vAlign w:val="bottom"/>
          </w:tcPr>
          <w:p w14:paraId="7326568C"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Children (dummy)</w:t>
            </w:r>
          </w:p>
        </w:tc>
        <w:tc>
          <w:tcPr>
            <w:tcW w:w="1039" w:type="dxa"/>
            <w:tcBorders>
              <w:top w:val="nil"/>
              <w:left w:val="nil"/>
              <w:bottom w:val="nil"/>
              <w:right w:val="nil"/>
            </w:tcBorders>
            <w:vAlign w:val="bottom"/>
          </w:tcPr>
          <w:p w14:paraId="20D31AF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0.078***</w:t>
            </w:r>
          </w:p>
        </w:tc>
        <w:tc>
          <w:tcPr>
            <w:tcW w:w="1040" w:type="dxa"/>
            <w:tcBorders>
              <w:top w:val="nil"/>
              <w:left w:val="nil"/>
              <w:bottom w:val="nil"/>
              <w:right w:val="nil"/>
            </w:tcBorders>
            <w:vAlign w:val="bottom"/>
          </w:tcPr>
          <w:p w14:paraId="5DBD608C"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0.092***</w:t>
            </w:r>
          </w:p>
        </w:tc>
        <w:tc>
          <w:tcPr>
            <w:tcW w:w="1039" w:type="dxa"/>
            <w:tcBorders>
              <w:top w:val="nil"/>
              <w:left w:val="nil"/>
              <w:bottom w:val="nil"/>
              <w:right w:val="nil"/>
            </w:tcBorders>
            <w:vAlign w:val="bottom"/>
          </w:tcPr>
          <w:p w14:paraId="452DC24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0.054</w:t>
            </w:r>
          </w:p>
        </w:tc>
        <w:tc>
          <w:tcPr>
            <w:tcW w:w="1040" w:type="dxa"/>
            <w:tcBorders>
              <w:top w:val="nil"/>
              <w:left w:val="nil"/>
              <w:bottom w:val="nil"/>
              <w:right w:val="nil"/>
            </w:tcBorders>
            <w:vAlign w:val="bottom"/>
          </w:tcPr>
          <w:p w14:paraId="0782514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0.114***</w:t>
            </w:r>
          </w:p>
        </w:tc>
        <w:tc>
          <w:tcPr>
            <w:tcW w:w="1039" w:type="dxa"/>
            <w:tcBorders>
              <w:top w:val="nil"/>
              <w:left w:val="nil"/>
              <w:bottom w:val="nil"/>
              <w:right w:val="nil"/>
            </w:tcBorders>
            <w:vAlign w:val="bottom"/>
          </w:tcPr>
          <w:p w14:paraId="2D7572A1"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0.105***</w:t>
            </w:r>
          </w:p>
        </w:tc>
        <w:tc>
          <w:tcPr>
            <w:tcW w:w="1040" w:type="dxa"/>
            <w:tcBorders>
              <w:top w:val="nil"/>
              <w:left w:val="nil"/>
              <w:bottom w:val="nil"/>
              <w:right w:val="nil"/>
            </w:tcBorders>
            <w:vAlign w:val="bottom"/>
          </w:tcPr>
          <w:p w14:paraId="0DBB4FC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0.107**</w:t>
            </w:r>
          </w:p>
        </w:tc>
      </w:tr>
      <w:tr w:rsidR="00D64649" w:rsidRPr="0078113B" w14:paraId="1857DD3F" w14:textId="77777777" w:rsidTr="00CF2502">
        <w:tc>
          <w:tcPr>
            <w:tcW w:w="3402" w:type="dxa"/>
            <w:tcBorders>
              <w:top w:val="nil"/>
              <w:left w:val="nil"/>
              <w:bottom w:val="nil"/>
              <w:right w:val="nil"/>
            </w:tcBorders>
            <w:vAlign w:val="bottom"/>
          </w:tcPr>
          <w:p w14:paraId="6E5700C8"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1AC5F9AF"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(0.023)</w:t>
            </w:r>
          </w:p>
        </w:tc>
        <w:tc>
          <w:tcPr>
            <w:tcW w:w="1040" w:type="dxa"/>
            <w:tcBorders>
              <w:top w:val="nil"/>
              <w:left w:val="nil"/>
              <w:bottom w:val="nil"/>
              <w:right w:val="nil"/>
            </w:tcBorders>
            <w:vAlign w:val="bottom"/>
          </w:tcPr>
          <w:p w14:paraId="3808805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(0.032)</w:t>
            </w:r>
          </w:p>
        </w:tc>
        <w:tc>
          <w:tcPr>
            <w:tcW w:w="1039" w:type="dxa"/>
            <w:tcBorders>
              <w:top w:val="nil"/>
              <w:left w:val="nil"/>
              <w:bottom w:val="nil"/>
              <w:right w:val="nil"/>
            </w:tcBorders>
            <w:vAlign w:val="bottom"/>
          </w:tcPr>
          <w:p w14:paraId="392FAA2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(0.035)</w:t>
            </w:r>
          </w:p>
        </w:tc>
        <w:tc>
          <w:tcPr>
            <w:tcW w:w="1040" w:type="dxa"/>
            <w:tcBorders>
              <w:top w:val="nil"/>
              <w:left w:val="nil"/>
              <w:bottom w:val="nil"/>
              <w:right w:val="nil"/>
            </w:tcBorders>
            <w:vAlign w:val="bottom"/>
          </w:tcPr>
          <w:p w14:paraId="749F3DE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(0.028)</w:t>
            </w:r>
          </w:p>
        </w:tc>
        <w:tc>
          <w:tcPr>
            <w:tcW w:w="1039" w:type="dxa"/>
            <w:tcBorders>
              <w:top w:val="nil"/>
              <w:left w:val="nil"/>
              <w:bottom w:val="nil"/>
              <w:right w:val="nil"/>
            </w:tcBorders>
            <w:vAlign w:val="bottom"/>
          </w:tcPr>
          <w:p w14:paraId="1C16DFC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(0.038)</w:t>
            </w:r>
          </w:p>
        </w:tc>
        <w:tc>
          <w:tcPr>
            <w:tcW w:w="1040" w:type="dxa"/>
            <w:tcBorders>
              <w:top w:val="nil"/>
              <w:left w:val="nil"/>
              <w:bottom w:val="nil"/>
              <w:right w:val="nil"/>
            </w:tcBorders>
            <w:vAlign w:val="bottom"/>
          </w:tcPr>
          <w:p w14:paraId="3493776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(0.043)</w:t>
            </w:r>
          </w:p>
        </w:tc>
      </w:tr>
      <w:tr w:rsidR="00D64649" w:rsidRPr="0078113B" w14:paraId="4562C692" w14:textId="77777777" w:rsidTr="00B806AB">
        <w:tc>
          <w:tcPr>
            <w:tcW w:w="3402" w:type="dxa"/>
            <w:tcBorders>
              <w:top w:val="nil"/>
              <w:left w:val="nil"/>
              <w:right w:val="nil"/>
            </w:tcBorders>
            <w:vAlign w:val="bottom"/>
          </w:tcPr>
          <w:p w14:paraId="7DCF69EA"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ascii="Calibri" w:hAnsi="Calibri" w:cs="Calibri"/>
                <w:color w:val="000000"/>
                <w:sz w:val="20"/>
                <w:szCs w:val="20"/>
              </w:rPr>
              <w:t>Children*Currently employed</w:t>
            </w:r>
          </w:p>
        </w:tc>
        <w:tc>
          <w:tcPr>
            <w:tcW w:w="1039" w:type="dxa"/>
            <w:tcBorders>
              <w:top w:val="nil"/>
              <w:left w:val="nil"/>
              <w:right w:val="nil"/>
            </w:tcBorders>
            <w:vAlign w:val="bottom"/>
          </w:tcPr>
          <w:p w14:paraId="191F2069"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right w:val="nil"/>
            </w:tcBorders>
            <w:vAlign w:val="bottom"/>
          </w:tcPr>
          <w:p w14:paraId="5A2B0CEC"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39" w:type="dxa"/>
            <w:tcBorders>
              <w:top w:val="nil"/>
              <w:left w:val="nil"/>
              <w:right w:val="nil"/>
            </w:tcBorders>
            <w:vAlign w:val="bottom"/>
          </w:tcPr>
          <w:p w14:paraId="409B9D17"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right w:val="nil"/>
            </w:tcBorders>
            <w:vAlign w:val="bottom"/>
          </w:tcPr>
          <w:p w14:paraId="2CE64FA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-0.102**</w:t>
            </w:r>
          </w:p>
        </w:tc>
        <w:tc>
          <w:tcPr>
            <w:tcW w:w="1039" w:type="dxa"/>
            <w:tcBorders>
              <w:top w:val="nil"/>
              <w:left w:val="nil"/>
              <w:right w:val="nil"/>
            </w:tcBorders>
            <w:vAlign w:val="bottom"/>
          </w:tcPr>
          <w:p w14:paraId="1A8A7A6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-0.041</w:t>
            </w:r>
          </w:p>
        </w:tc>
        <w:tc>
          <w:tcPr>
            <w:tcW w:w="1040" w:type="dxa"/>
            <w:tcBorders>
              <w:top w:val="nil"/>
              <w:left w:val="nil"/>
              <w:right w:val="nil"/>
            </w:tcBorders>
            <w:vAlign w:val="bottom"/>
          </w:tcPr>
          <w:p w14:paraId="4D86BF3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-0.131*</w:t>
            </w:r>
          </w:p>
        </w:tc>
      </w:tr>
      <w:tr w:rsidR="00D64649" w:rsidRPr="0078113B" w14:paraId="007CB81B" w14:textId="77777777" w:rsidTr="00B806AB">
        <w:tc>
          <w:tcPr>
            <w:tcW w:w="3402" w:type="dxa"/>
            <w:tcBorders>
              <w:top w:val="nil"/>
              <w:left w:val="nil"/>
              <w:bottom w:val="single" w:sz="4" w:space="0" w:color="auto"/>
              <w:right w:val="nil"/>
            </w:tcBorders>
          </w:tcPr>
          <w:p w14:paraId="7968B936"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single" w:sz="4" w:space="0" w:color="auto"/>
              <w:right w:val="nil"/>
            </w:tcBorders>
            <w:vAlign w:val="bottom"/>
          </w:tcPr>
          <w:p w14:paraId="41963538"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single" w:sz="4" w:space="0" w:color="auto"/>
              <w:right w:val="nil"/>
            </w:tcBorders>
            <w:vAlign w:val="bottom"/>
          </w:tcPr>
          <w:p w14:paraId="3A846EB3"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39" w:type="dxa"/>
            <w:tcBorders>
              <w:top w:val="nil"/>
              <w:left w:val="nil"/>
              <w:bottom w:val="single" w:sz="4" w:space="0" w:color="auto"/>
              <w:right w:val="nil"/>
            </w:tcBorders>
            <w:vAlign w:val="bottom"/>
          </w:tcPr>
          <w:p w14:paraId="05979C34" w14:textId="77777777" w:rsidR="00D64649" w:rsidRPr="0078113B" w:rsidRDefault="00D64649" w:rsidP="00D64649">
            <w:pPr>
              <w:widowControl w:val="0"/>
              <w:autoSpaceDE w:val="0"/>
              <w:autoSpaceDN w:val="0"/>
              <w:adjustRightInd w:val="0"/>
              <w:spacing w:before="0"/>
              <w:jc w:val="center"/>
              <w:rPr>
                <w:rFonts w:cstheme="minorHAnsi"/>
                <w:sz w:val="20"/>
                <w:szCs w:val="20"/>
              </w:rPr>
            </w:pPr>
          </w:p>
        </w:tc>
        <w:tc>
          <w:tcPr>
            <w:tcW w:w="1040" w:type="dxa"/>
            <w:tcBorders>
              <w:top w:val="nil"/>
              <w:left w:val="nil"/>
              <w:bottom w:val="single" w:sz="4" w:space="0" w:color="auto"/>
              <w:right w:val="nil"/>
            </w:tcBorders>
            <w:vAlign w:val="bottom"/>
          </w:tcPr>
          <w:p w14:paraId="24501BD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(0.046)</w:t>
            </w:r>
          </w:p>
        </w:tc>
        <w:tc>
          <w:tcPr>
            <w:tcW w:w="1039" w:type="dxa"/>
            <w:tcBorders>
              <w:top w:val="nil"/>
              <w:left w:val="nil"/>
              <w:bottom w:val="single" w:sz="4" w:space="0" w:color="auto"/>
              <w:right w:val="nil"/>
            </w:tcBorders>
            <w:vAlign w:val="bottom"/>
          </w:tcPr>
          <w:p w14:paraId="304882E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(0.064)</w:t>
            </w:r>
          </w:p>
        </w:tc>
        <w:tc>
          <w:tcPr>
            <w:tcW w:w="1040" w:type="dxa"/>
            <w:tcBorders>
              <w:top w:val="nil"/>
              <w:left w:val="nil"/>
              <w:bottom w:val="single" w:sz="4" w:space="0" w:color="auto"/>
              <w:right w:val="nil"/>
            </w:tcBorders>
            <w:vAlign w:val="bottom"/>
          </w:tcPr>
          <w:p w14:paraId="68D2F7E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(0.069)</w:t>
            </w:r>
          </w:p>
        </w:tc>
      </w:tr>
      <w:tr w:rsidR="00D64649" w:rsidRPr="0078113B" w14:paraId="6FB78409" w14:textId="77777777" w:rsidTr="00B806AB">
        <w:tc>
          <w:tcPr>
            <w:tcW w:w="3402" w:type="dxa"/>
            <w:tcBorders>
              <w:top w:val="single" w:sz="4" w:space="0" w:color="auto"/>
              <w:left w:val="nil"/>
              <w:bottom w:val="nil"/>
              <w:right w:val="nil"/>
            </w:tcBorders>
          </w:tcPr>
          <w:p w14:paraId="4BAF81DB"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Capital city</w:t>
            </w:r>
          </w:p>
        </w:tc>
        <w:tc>
          <w:tcPr>
            <w:tcW w:w="1039" w:type="dxa"/>
            <w:tcBorders>
              <w:top w:val="single" w:sz="4" w:space="0" w:color="auto"/>
              <w:left w:val="nil"/>
              <w:bottom w:val="nil"/>
              <w:right w:val="nil"/>
            </w:tcBorders>
            <w:vAlign w:val="bottom"/>
          </w:tcPr>
          <w:p w14:paraId="2715822E"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0.164***</w:t>
            </w:r>
          </w:p>
        </w:tc>
        <w:tc>
          <w:tcPr>
            <w:tcW w:w="1040" w:type="dxa"/>
            <w:tcBorders>
              <w:top w:val="single" w:sz="4" w:space="0" w:color="auto"/>
              <w:left w:val="nil"/>
              <w:bottom w:val="nil"/>
              <w:right w:val="nil"/>
            </w:tcBorders>
            <w:vAlign w:val="bottom"/>
          </w:tcPr>
          <w:p w14:paraId="7F2FF8EC"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0.191***</w:t>
            </w:r>
          </w:p>
        </w:tc>
        <w:tc>
          <w:tcPr>
            <w:tcW w:w="1039" w:type="dxa"/>
            <w:tcBorders>
              <w:top w:val="single" w:sz="4" w:space="0" w:color="auto"/>
              <w:left w:val="nil"/>
              <w:bottom w:val="nil"/>
              <w:right w:val="nil"/>
            </w:tcBorders>
            <w:vAlign w:val="bottom"/>
          </w:tcPr>
          <w:p w14:paraId="6E6D6A3F"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0.144***</w:t>
            </w:r>
          </w:p>
        </w:tc>
        <w:tc>
          <w:tcPr>
            <w:tcW w:w="1040" w:type="dxa"/>
            <w:tcBorders>
              <w:top w:val="single" w:sz="4" w:space="0" w:color="auto"/>
              <w:left w:val="nil"/>
              <w:bottom w:val="nil"/>
              <w:right w:val="nil"/>
            </w:tcBorders>
            <w:vAlign w:val="bottom"/>
          </w:tcPr>
          <w:p w14:paraId="7691DE1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0.164***</w:t>
            </w:r>
          </w:p>
        </w:tc>
        <w:tc>
          <w:tcPr>
            <w:tcW w:w="1039" w:type="dxa"/>
            <w:tcBorders>
              <w:top w:val="single" w:sz="4" w:space="0" w:color="auto"/>
              <w:left w:val="nil"/>
              <w:bottom w:val="nil"/>
              <w:right w:val="nil"/>
            </w:tcBorders>
            <w:vAlign w:val="bottom"/>
          </w:tcPr>
          <w:p w14:paraId="5502AF5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0.190***</w:t>
            </w:r>
          </w:p>
        </w:tc>
        <w:tc>
          <w:tcPr>
            <w:tcW w:w="1040" w:type="dxa"/>
            <w:tcBorders>
              <w:top w:val="single" w:sz="4" w:space="0" w:color="auto"/>
              <w:left w:val="nil"/>
              <w:bottom w:val="nil"/>
              <w:right w:val="nil"/>
            </w:tcBorders>
            <w:vAlign w:val="bottom"/>
          </w:tcPr>
          <w:p w14:paraId="630C737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0.145***</w:t>
            </w:r>
          </w:p>
        </w:tc>
      </w:tr>
      <w:tr w:rsidR="00D64649" w:rsidRPr="0078113B" w14:paraId="72E3F346" w14:textId="77777777" w:rsidTr="00CF2502">
        <w:tc>
          <w:tcPr>
            <w:tcW w:w="3402" w:type="dxa"/>
            <w:tcBorders>
              <w:top w:val="nil"/>
              <w:left w:val="nil"/>
              <w:bottom w:val="single" w:sz="4" w:space="0" w:color="auto"/>
              <w:right w:val="nil"/>
            </w:tcBorders>
          </w:tcPr>
          <w:p w14:paraId="6E51303F"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single" w:sz="4" w:space="0" w:color="auto"/>
              <w:right w:val="nil"/>
            </w:tcBorders>
            <w:vAlign w:val="bottom"/>
          </w:tcPr>
          <w:p w14:paraId="3BB4DF24"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(0.017)</w:t>
            </w:r>
          </w:p>
        </w:tc>
        <w:tc>
          <w:tcPr>
            <w:tcW w:w="1040" w:type="dxa"/>
            <w:tcBorders>
              <w:top w:val="nil"/>
              <w:left w:val="nil"/>
              <w:bottom w:val="single" w:sz="4" w:space="0" w:color="auto"/>
              <w:right w:val="nil"/>
            </w:tcBorders>
            <w:vAlign w:val="bottom"/>
          </w:tcPr>
          <w:p w14:paraId="24E1447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(0.026)</w:t>
            </w:r>
          </w:p>
        </w:tc>
        <w:tc>
          <w:tcPr>
            <w:tcW w:w="1039" w:type="dxa"/>
            <w:tcBorders>
              <w:top w:val="nil"/>
              <w:left w:val="nil"/>
              <w:bottom w:val="single" w:sz="4" w:space="0" w:color="auto"/>
              <w:right w:val="nil"/>
            </w:tcBorders>
            <w:vAlign w:val="bottom"/>
          </w:tcPr>
          <w:p w14:paraId="710C61A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(0.022)</w:t>
            </w:r>
          </w:p>
        </w:tc>
        <w:tc>
          <w:tcPr>
            <w:tcW w:w="1040" w:type="dxa"/>
            <w:tcBorders>
              <w:top w:val="nil"/>
              <w:left w:val="nil"/>
              <w:bottom w:val="single" w:sz="4" w:space="0" w:color="auto"/>
              <w:right w:val="nil"/>
            </w:tcBorders>
            <w:vAlign w:val="bottom"/>
          </w:tcPr>
          <w:p w14:paraId="030ADDA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(0.017)</w:t>
            </w:r>
          </w:p>
        </w:tc>
        <w:tc>
          <w:tcPr>
            <w:tcW w:w="1039" w:type="dxa"/>
            <w:tcBorders>
              <w:top w:val="nil"/>
              <w:left w:val="nil"/>
              <w:bottom w:val="single" w:sz="4" w:space="0" w:color="auto"/>
              <w:right w:val="nil"/>
            </w:tcBorders>
            <w:vAlign w:val="bottom"/>
          </w:tcPr>
          <w:p w14:paraId="52E6C42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(0.026)</w:t>
            </w:r>
          </w:p>
        </w:tc>
        <w:tc>
          <w:tcPr>
            <w:tcW w:w="1040" w:type="dxa"/>
            <w:tcBorders>
              <w:top w:val="nil"/>
              <w:left w:val="nil"/>
              <w:bottom w:val="single" w:sz="4" w:space="0" w:color="auto"/>
              <w:right w:val="nil"/>
            </w:tcBorders>
            <w:vAlign w:val="bottom"/>
          </w:tcPr>
          <w:p w14:paraId="7A0026F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(0.022)</w:t>
            </w:r>
          </w:p>
        </w:tc>
      </w:tr>
      <w:tr w:rsidR="00D64649" w:rsidRPr="0078113B" w14:paraId="2A1AA813" w14:textId="77777777" w:rsidTr="00CF2502">
        <w:tc>
          <w:tcPr>
            <w:tcW w:w="3402" w:type="dxa"/>
            <w:tcBorders>
              <w:top w:val="single" w:sz="4" w:space="0" w:color="auto"/>
              <w:left w:val="nil"/>
              <w:bottom w:val="nil"/>
              <w:right w:val="nil"/>
            </w:tcBorders>
          </w:tcPr>
          <w:p w14:paraId="2DF8B5F3"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Secondary general</w:t>
            </w:r>
          </w:p>
        </w:tc>
        <w:tc>
          <w:tcPr>
            <w:tcW w:w="1039" w:type="dxa"/>
            <w:tcBorders>
              <w:top w:val="single" w:sz="4" w:space="0" w:color="auto"/>
              <w:left w:val="nil"/>
              <w:bottom w:val="nil"/>
              <w:right w:val="nil"/>
            </w:tcBorders>
            <w:vAlign w:val="bottom"/>
          </w:tcPr>
          <w:p w14:paraId="3968E5F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0.200***</w:t>
            </w:r>
          </w:p>
        </w:tc>
        <w:tc>
          <w:tcPr>
            <w:tcW w:w="1040" w:type="dxa"/>
            <w:tcBorders>
              <w:top w:val="single" w:sz="4" w:space="0" w:color="auto"/>
              <w:left w:val="nil"/>
              <w:bottom w:val="nil"/>
              <w:right w:val="nil"/>
            </w:tcBorders>
            <w:vAlign w:val="bottom"/>
          </w:tcPr>
          <w:p w14:paraId="084A576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0.229***</w:t>
            </w:r>
          </w:p>
        </w:tc>
        <w:tc>
          <w:tcPr>
            <w:tcW w:w="1039" w:type="dxa"/>
            <w:tcBorders>
              <w:top w:val="single" w:sz="4" w:space="0" w:color="auto"/>
              <w:left w:val="nil"/>
              <w:bottom w:val="nil"/>
              <w:right w:val="nil"/>
            </w:tcBorders>
            <w:vAlign w:val="bottom"/>
          </w:tcPr>
          <w:p w14:paraId="2706A4E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0.175***</w:t>
            </w:r>
          </w:p>
        </w:tc>
        <w:tc>
          <w:tcPr>
            <w:tcW w:w="1040" w:type="dxa"/>
            <w:tcBorders>
              <w:top w:val="single" w:sz="4" w:space="0" w:color="auto"/>
              <w:left w:val="nil"/>
              <w:bottom w:val="nil"/>
              <w:right w:val="nil"/>
            </w:tcBorders>
            <w:vAlign w:val="bottom"/>
          </w:tcPr>
          <w:p w14:paraId="44F170D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0.198***</w:t>
            </w:r>
          </w:p>
        </w:tc>
        <w:tc>
          <w:tcPr>
            <w:tcW w:w="1039" w:type="dxa"/>
            <w:tcBorders>
              <w:top w:val="single" w:sz="4" w:space="0" w:color="auto"/>
              <w:left w:val="nil"/>
              <w:bottom w:val="nil"/>
              <w:right w:val="nil"/>
            </w:tcBorders>
            <w:vAlign w:val="bottom"/>
          </w:tcPr>
          <w:p w14:paraId="7D8294A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0.227***</w:t>
            </w:r>
          </w:p>
        </w:tc>
        <w:tc>
          <w:tcPr>
            <w:tcW w:w="1040" w:type="dxa"/>
            <w:tcBorders>
              <w:top w:val="single" w:sz="4" w:space="0" w:color="auto"/>
              <w:left w:val="nil"/>
              <w:bottom w:val="nil"/>
              <w:right w:val="nil"/>
            </w:tcBorders>
            <w:vAlign w:val="bottom"/>
          </w:tcPr>
          <w:p w14:paraId="158F00B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0.176***</w:t>
            </w:r>
          </w:p>
        </w:tc>
      </w:tr>
      <w:tr w:rsidR="00D64649" w:rsidRPr="0078113B" w14:paraId="2B2E2CC3" w14:textId="77777777" w:rsidTr="00CF2502">
        <w:tc>
          <w:tcPr>
            <w:tcW w:w="3402" w:type="dxa"/>
            <w:tcBorders>
              <w:top w:val="nil"/>
              <w:left w:val="nil"/>
              <w:bottom w:val="nil"/>
              <w:right w:val="nil"/>
            </w:tcBorders>
          </w:tcPr>
          <w:p w14:paraId="5BAE9A99"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546DB42D"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(0.036)</w:t>
            </w:r>
          </w:p>
        </w:tc>
        <w:tc>
          <w:tcPr>
            <w:tcW w:w="1040" w:type="dxa"/>
            <w:tcBorders>
              <w:top w:val="nil"/>
              <w:left w:val="nil"/>
              <w:bottom w:val="nil"/>
              <w:right w:val="nil"/>
            </w:tcBorders>
            <w:vAlign w:val="bottom"/>
          </w:tcPr>
          <w:p w14:paraId="0FA5FEF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(0.051)</w:t>
            </w:r>
          </w:p>
        </w:tc>
        <w:tc>
          <w:tcPr>
            <w:tcW w:w="1039" w:type="dxa"/>
            <w:tcBorders>
              <w:top w:val="nil"/>
              <w:left w:val="nil"/>
              <w:bottom w:val="nil"/>
              <w:right w:val="nil"/>
            </w:tcBorders>
            <w:vAlign w:val="bottom"/>
          </w:tcPr>
          <w:p w14:paraId="6E32EA5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(0.051)</w:t>
            </w:r>
          </w:p>
        </w:tc>
        <w:tc>
          <w:tcPr>
            <w:tcW w:w="1040" w:type="dxa"/>
            <w:tcBorders>
              <w:top w:val="nil"/>
              <w:left w:val="nil"/>
              <w:bottom w:val="nil"/>
              <w:right w:val="nil"/>
            </w:tcBorders>
            <w:vAlign w:val="bottom"/>
          </w:tcPr>
          <w:p w14:paraId="32544C8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(0.036)</w:t>
            </w:r>
          </w:p>
        </w:tc>
        <w:tc>
          <w:tcPr>
            <w:tcW w:w="1039" w:type="dxa"/>
            <w:tcBorders>
              <w:top w:val="nil"/>
              <w:left w:val="nil"/>
              <w:bottom w:val="nil"/>
              <w:right w:val="nil"/>
            </w:tcBorders>
            <w:vAlign w:val="bottom"/>
          </w:tcPr>
          <w:p w14:paraId="6708403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(0.051)</w:t>
            </w:r>
          </w:p>
        </w:tc>
        <w:tc>
          <w:tcPr>
            <w:tcW w:w="1040" w:type="dxa"/>
            <w:tcBorders>
              <w:top w:val="nil"/>
              <w:left w:val="nil"/>
              <w:bottom w:val="nil"/>
              <w:right w:val="nil"/>
            </w:tcBorders>
            <w:vAlign w:val="bottom"/>
          </w:tcPr>
          <w:p w14:paraId="4293624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(0.051)</w:t>
            </w:r>
          </w:p>
        </w:tc>
      </w:tr>
      <w:tr w:rsidR="00D64649" w:rsidRPr="0078113B" w14:paraId="259F744C" w14:textId="77777777" w:rsidTr="00CF2502">
        <w:tc>
          <w:tcPr>
            <w:tcW w:w="3402" w:type="dxa"/>
            <w:tcBorders>
              <w:top w:val="nil"/>
              <w:left w:val="nil"/>
              <w:bottom w:val="nil"/>
              <w:right w:val="nil"/>
            </w:tcBorders>
          </w:tcPr>
          <w:p w14:paraId="25780F0E"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 xml:space="preserve">Secondary vocational/ special </w:t>
            </w:r>
          </w:p>
        </w:tc>
        <w:tc>
          <w:tcPr>
            <w:tcW w:w="1039" w:type="dxa"/>
            <w:tcBorders>
              <w:top w:val="nil"/>
              <w:left w:val="nil"/>
              <w:bottom w:val="nil"/>
              <w:right w:val="nil"/>
            </w:tcBorders>
            <w:vAlign w:val="bottom"/>
          </w:tcPr>
          <w:p w14:paraId="09E65A3D"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0.232***</w:t>
            </w:r>
          </w:p>
        </w:tc>
        <w:tc>
          <w:tcPr>
            <w:tcW w:w="1040" w:type="dxa"/>
            <w:tcBorders>
              <w:top w:val="nil"/>
              <w:left w:val="nil"/>
              <w:bottom w:val="nil"/>
              <w:right w:val="nil"/>
            </w:tcBorders>
            <w:vAlign w:val="bottom"/>
          </w:tcPr>
          <w:p w14:paraId="65209AF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0.289***</w:t>
            </w:r>
          </w:p>
        </w:tc>
        <w:tc>
          <w:tcPr>
            <w:tcW w:w="1039" w:type="dxa"/>
            <w:tcBorders>
              <w:top w:val="nil"/>
              <w:left w:val="nil"/>
              <w:bottom w:val="nil"/>
              <w:right w:val="nil"/>
            </w:tcBorders>
            <w:vAlign w:val="bottom"/>
          </w:tcPr>
          <w:p w14:paraId="2EE50604"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0.191***</w:t>
            </w:r>
          </w:p>
        </w:tc>
        <w:tc>
          <w:tcPr>
            <w:tcW w:w="1040" w:type="dxa"/>
            <w:tcBorders>
              <w:top w:val="nil"/>
              <w:left w:val="nil"/>
              <w:bottom w:val="nil"/>
              <w:right w:val="nil"/>
            </w:tcBorders>
            <w:vAlign w:val="bottom"/>
          </w:tcPr>
          <w:p w14:paraId="2324819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0.229***</w:t>
            </w:r>
          </w:p>
        </w:tc>
        <w:tc>
          <w:tcPr>
            <w:tcW w:w="1039" w:type="dxa"/>
            <w:tcBorders>
              <w:top w:val="nil"/>
              <w:left w:val="nil"/>
              <w:bottom w:val="nil"/>
              <w:right w:val="nil"/>
            </w:tcBorders>
            <w:vAlign w:val="bottom"/>
          </w:tcPr>
          <w:p w14:paraId="4A8CA29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0.287***</w:t>
            </w:r>
          </w:p>
        </w:tc>
        <w:tc>
          <w:tcPr>
            <w:tcW w:w="1040" w:type="dxa"/>
            <w:tcBorders>
              <w:top w:val="nil"/>
              <w:left w:val="nil"/>
              <w:bottom w:val="nil"/>
              <w:right w:val="nil"/>
            </w:tcBorders>
            <w:vAlign w:val="bottom"/>
          </w:tcPr>
          <w:p w14:paraId="1047980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0.193***</w:t>
            </w:r>
          </w:p>
        </w:tc>
      </w:tr>
      <w:tr w:rsidR="00D64649" w:rsidRPr="0078113B" w14:paraId="601B29F7" w14:textId="77777777" w:rsidTr="00CF2502">
        <w:tc>
          <w:tcPr>
            <w:tcW w:w="3402" w:type="dxa"/>
            <w:tcBorders>
              <w:top w:val="nil"/>
              <w:left w:val="nil"/>
              <w:bottom w:val="nil"/>
              <w:right w:val="nil"/>
            </w:tcBorders>
          </w:tcPr>
          <w:p w14:paraId="713D4CD7"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57B9CE0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(0.035)</w:t>
            </w:r>
          </w:p>
        </w:tc>
        <w:tc>
          <w:tcPr>
            <w:tcW w:w="1040" w:type="dxa"/>
            <w:tcBorders>
              <w:top w:val="nil"/>
              <w:left w:val="nil"/>
              <w:bottom w:val="nil"/>
              <w:right w:val="nil"/>
            </w:tcBorders>
            <w:vAlign w:val="bottom"/>
          </w:tcPr>
          <w:p w14:paraId="0E21375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(0.051)</w:t>
            </w:r>
          </w:p>
        </w:tc>
        <w:tc>
          <w:tcPr>
            <w:tcW w:w="1039" w:type="dxa"/>
            <w:tcBorders>
              <w:top w:val="nil"/>
              <w:left w:val="nil"/>
              <w:bottom w:val="nil"/>
              <w:right w:val="nil"/>
            </w:tcBorders>
            <w:vAlign w:val="bottom"/>
          </w:tcPr>
          <w:p w14:paraId="2B53B2F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(0.050)</w:t>
            </w:r>
          </w:p>
        </w:tc>
        <w:tc>
          <w:tcPr>
            <w:tcW w:w="1040" w:type="dxa"/>
            <w:tcBorders>
              <w:top w:val="nil"/>
              <w:left w:val="nil"/>
              <w:bottom w:val="nil"/>
              <w:right w:val="nil"/>
            </w:tcBorders>
            <w:vAlign w:val="bottom"/>
          </w:tcPr>
          <w:p w14:paraId="4505320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(0.035)</w:t>
            </w:r>
          </w:p>
        </w:tc>
        <w:tc>
          <w:tcPr>
            <w:tcW w:w="1039" w:type="dxa"/>
            <w:tcBorders>
              <w:top w:val="nil"/>
              <w:left w:val="nil"/>
              <w:bottom w:val="nil"/>
              <w:right w:val="nil"/>
            </w:tcBorders>
            <w:vAlign w:val="bottom"/>
          </w:tcPr>
          <w:p w14:paraId="735C116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(0.051)</w:t>
            </w:r>
          </w:p>
        </w:tc>
        <w:tc>
          <w:tcPr>
            <w:tcW w:w="1040" w:type="dxa"/>
            <w:tcBorders>
              <w:top w:val="nil"/>
              <w:left w:val="nil"/>
              <w:bottom w:val="nil"/>
              <w:right w:val="nil"/>
            </w:tcBorders>
            <w:vAlign w:val="bottom"/>
          </w:tcPr>
          <w:p w14:paraId="2E14695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(0.050)</w:t>
            </w:r>
          </w:p>
        </w:tc>
      </w:tr>
      <w:tr w:rsidR="00D64649" w:rsidRPr="0078113B" w14:paraId="4694EDDC" w14:textId="77777777" w:rsidTr="00CF2502">
        <w:tc>
          <w:tcPr>
            <w:tcW w:w="3402" w:type="dxa"/>
            <w:tcBorders>
              <w:top w:val="nil"/>
              <w:left w:val="nil"/>
              <w:bottom w:val="nil"/>
              <w:right w:val="nil"/>
            </w:tcBorders>
          </w:tcPr>
          <w:p w14:paraId="0D25DB60"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Incomplete tertiary</w:t>
            </w:r>
          </w:p>
        </w:tc>
        <w:tc>
          <w:tcPr>
            <w:tcW w:w="1039" w:type="dxa"/>
            <w:tcBorders>
              <w:top w:val="nil"/>
              <w:left w:val="nil"/>
              <w:bottom w:val="nil"/>
              <w:right w:val="nil"/>
            </w:tcBorders>
            <w:vAlign w:val="bottom"/>
          </w:tcPr>
          <w:p w14:paraId="005DA1E9"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0.241***</w:t>
            </w:r>
          </w:p>
        </w:tc>
        <w:tc>
          <w:tcPr>
            <w:tcW w:w="1040" w:type="dxa"/>
            <w:tcBorders>
              <w:top w:val="nil"/>
              <w:left w:val="nil"/>
              <w:bottom w:val="nil"/>
              <w:right w:val="nil"/>
            </w:tcBorders>
            <w:vAlign w:val="bottom"/>
          </w:tcPr>
          <w:p w14:paraId="2319055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0.287***</w:t>
            </w:r>
          </w:p>
        </w:tc>
        <w:tc>
          <w:tcPr>
            <w:tcW w:w="1039" w:type="dxa"/>
            <w:tcBorders>
              <w:top w:val="nil"/>
              <w:left w:val="nil"/>
              <w:bottom w:val="nil"/>
              <w:right w:val="nil"/>
            </w:tcBorders>
            <w:vAlign w:val="bottom"/>
          </w:tcPr>
          <w:p w14:paraId="11EDCB9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0.200***</w:t>
            </w:r>
          </w:p>
        </w:tc>
        <w:tc>
          <w:tcPr>
            <w:tcW w:w="1040" w:type="dxa"/>
            <w:tcBorders>
              <w:top w:val="nil"/>
              <w:left w:val="nil"/>
              <w:bottom w:val="nil"/>
              <w:right w:val="nil"/>
            </w:tcBorders>
            <w:vAlign w:val="bottom"/>
          </w:tcPr>
          <w:p w14:paraId="6AA76B6A"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0.239***</w:t>
            </w:r>
          </w:p>
        </w:tc>
        <w:tc>
          <w:tcPr>
            <w:tcW w:w="1039" w:type="dxa"/>
            <w:tcBorders>
              <w:top w:val="nil"/>
              <w:left w:val="nil"/>
              <w:bottom w:val="nil"/>
              <w:right w:val="nil"/>
            </w:tcBorders>
            <w:vAlign w:val="bottom"/>
          </w:tcPr>
          <w:p w14:paraId="33D0B75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0.286***</w:t>
            </w:r>
          </w:p>
        </w:tc>
        <w:tc>
          <w:tcPr>
            <w:tcW w:w="1040" w:type="dxa"/>
            <w:tcBorders>
              <w:top w:val="nil"/>
              <w:left w:val="nil"/>
              <w:bottom w:val="nil"/>
              <w:right w:val="nil"/>
            </w:tcBorders>
            <w:vAlign w:val="bottom"/>
          </w:tcPr>
          <w:p w14:paraId="691786A2"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0.201***</w:t>
            </w:r>
          </w:p>
        </w:tc>
      </w:tr>
      <w:tr w:rsidR="00D64649" w:rsidRPr="0078113B" w14:paraId="44D0D5D7" w14:textId="77777777" w:rsidTr="00CF2502">
        <w:tc>
          <w:tcPr>
            <w:tcW w:w="3402" w:type="dxa"/>
            <w:tcBorders>
              <w:top w:val="nil"/>
              <w:left w:val="nil"/>
              <w:right w:val="nil"/>
            </w:tcBorders>
          </w:tcPr>
          <w:p w14:paraId="5A75F82C"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right w:val="nil"/>
            </w:tcBorders>
            <w:vAlign w:val="bottom"/>
          </w:tcPr>
          <w:p w14:paraId="7ABE955C"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(0.036)</w:t>
            </w:r>
          </w:p>
        </w:tc>
        <w:tc>
          <w:tcPr>
            <w:tcW w:w="1040" w:type="dxa"/>
            <w:tcBorders>
              <w:top w:val="nil"/>
              <w:left w:val="nil"/>
              <w:right w:val="nil"/>
            </w:tcBorders>
            <w:vAlign w:val="bottom"/>
          </w:tcPr>
          <w:p w14:paraId="7C74E168"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(0.050)</w:t>
            </w:r>
          </w:p>
        </w:tc>
        <w:tc>
          <w:tcPr>
            <w:tcW w:w="1039" w:type="dxa"/>
            <w:tcBorders>
              <w:top w:val="nil"/>
              <w:left w:val="nil"/>
              <w:right w:val="nil"/>
            </w:tcBorders>
            <w:vAlign w:val="bottom"/>
          </w:tcPr>
          <w:p w14:paraId="2AF83DB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(0.051)</w:t>
            </w:r>
          </w:p>
        </w:tc>
        <w:tc>
          <w:tcPr>
            <w:tcW w:w="1040" w:type="dxa"/>
            <w:tcBorders>
              <w:top w:val="nil"/>
              <w:left w:val="nil"/>
              <w:right w:val="nil"/>
            </w:tcBorders>
            <w:vAlign w:val="bottom"/>
          </w:tcPr>
          <w:p w14:paraId="1064040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(0.036)</w:t>
            </w:r>
          </w:p>
        </w:tc>
        <w:tc>
          <w:tcPr>
            <w:tcW w:w="1039" w:type="dxa"/>
            <w:tcBorders>
              <w:top w:val="nil"/>
              <w:left w:val="nil"/>
              <w:right w:val="nil"/>
            </w:tcBorders>
            <w:vAlign w:val="bottom"/>
          </w:tcPr>
          <w:p w14:paraId="67FB27A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(0.050)</w:t>
            </w:r>
          </w:p>
        </w:tc>
        <w:tc>
          <w:tcPr>
            <w:tcW w:w="1040" w:type="dxa"/>
            <w:tcBorders>
              <w:top w:val="nil"/>
              <w:left w:val="nil"/>
              <w:right w:val="nil"/>
            </w:tcBorders>
            <w:vAlign w:val="bottom"/>
          </w:tcPr>
          <w:p w14:paraId="292D2AD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(0.051)</w:t>
            </w:r>
          </w:p>
        </w:tc>
      </w:tr>
      <w:tr w:rsidR="00D64649" w:rsidRPr="0078113B" w14:paraId="26EC01E0" w14:textId="77777777" w:rsidTr="00CF2502">
        <w:tc>
          <w:tcPr>
            <w:tcW w:w="3402" w:type="dxa"/>
            <w:tcBorders>
              <w:top w:val="nil"/>
              <w:left w:val="nil"/>
              <w:bottom w:val="nil"/>
              <w:right w:val="nil"/>
            </w:tcBorders>
          </w:tcPr>
          <w:p w14:paraId="1AA8763E"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Tertiary</w:t>
            </w:r>
          </w:p>
        </w:tc>
        <w:tc>
          <w:tcPr>
            <w:tcW w:w="1039" w:type="dxa"/>
            <w:tcBorders>
              <w:top w:val="nil"/>
              <w:left w:val="nil"/>
              <w:bottom w:val="nil"/>
              <w:right w:val="nil"/>
            </w:tcBorders>
            <w:vAlign w:val="bottom"/>
          </w:tcPr>
          <w:p w14:paraId="4BCCF9E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0.298***</w:t>
            </w:r>
          </w:p>
        </w:tc>
        <w:tc>
          <w:tcPr>
            <w:tcW w:w="1040" w:type="dxa"/>
            <w:tcBorders>
              <w:top w:val="nil"/>
              <w:left w:val="nil"/>
              <w:bottom w:val="nil"/>
              <w:right w:val="nil"/>
            </w:tcBorders>
            <w:vAlign w:val="bottom"/>
          </w:tcPr>
          <w:p w14:paraId="119BAA1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0.314***</w:t>
            </w:r>
          </w:p>
        </w:tc>
        <w:tc>
          <w:tcPr>
            <w:tcW w:w="1039" w:type="dxa"/>
            <w:tcBorders>
              <w:top w:val="nil"/>
              <w:left w:val="nil"/>
              <w:bottom w:val="nil"/>
              <w:right w:val="nil"/>
            </w:tcBorders>
            <w:vAlign w:val="bottom"/>
          </w:tcPr>
          <w:p w14:paraId="1BD8534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0.294***</w:t>
            </w:r>
          </w:p>
        </w:tc>
        <w:tc>
          <w:tcPr>
            <w:tcW w:w="1040" w:type="dxa"/>
            <w:tcBorders>
              <w:top w:val="nil"/>
              <w:left w:val="nil"/>
              <w:bottom w:val="nil"/>
              <w:right w:val="nil"/>
            </w:tcBorders>
            <w:vAlign w:val="bottom"/>
          </w:tcPr>
          <w:p w14:paraId="54FE8881"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0.296***</w:t>
            </w:r>
          </w:p>
        </w:tc>
        <w:tc>
          <w:tcPr>
            <w:tcW w:w="1039" w:type="dxa"/>
            <w:tcBorders>
              <w:top w:val="nil"/>
              <w:left w:val="nil"/>
              <w:bottom w:val="nil"/>
              <w:right w:val="nil"/>
            </w:tcBorders>
            <w:vAlign w:val="bottom"/>
          </w:tcPr>
          <w:p w14:paraId="43C796E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0.313***</w:t>
            </w:r>
          </w:p>
        </w:tc>
        <w:tc>
          <w:tcPr>
            <w:tcW w:w="1040" w:type="dxa"/>
            <w:tcBorders>
              <w:top w:val="nil"/>
              <w:left w:val="nil"/>
              <w:bottom w:val="nil"/>
              <w:right w:val="nil"/>
            </w:tcBorders>
            <w:vAlign w:val="bottom"/>
          </w:tcPr>
          <w:p w14:paraId="5AF5E8A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0.295***</w:t>
            </w:r>
          </w:p>
        </w:tc>
      </w:tr>
      <w:tr w:rsidR="00D64649" w:rsidRPr="0078113B" w14:paraId="3A0701C2" w14:textId="77777777" w:rsidTr="00CF2502">
        <w:tc>
          <w:tcPr>
            <w:tcW w:w="3402" w:type="dxa"/>
            <w:tcBorders>
              <w:top w:val="nil"/>
              <w:left w:val="nil"/>
              <w:bottom w:val="single" w:sz="4" w:space="0" w:color="auto"/>
              <w:right w:val="nil"/>
            </w:tcBorders>
          </w:tcPr>
          <w:p w14:paraId="4710BDB9"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single" w:sz="4" w:space="0" w:color="auto"/>
              <w:right w:val="nil"/>
            </w:tcBorders>
            <w:vAlign w:val="bottom"/>
          </w:tcPr>
          <w:p w14:paraId="684B49C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(0.036)</w:t>
            </w:r>
          </w:p>
        </w:tc>
        <w:tc>
          <w:tcPr>
            <w:tcW w:w="1040" w:type="dxa"/>
            <w:tcBorders>
              <w:top w:val="nil"/>
              <w:left w:val="nil"/>
              <w:bottom w:val="single" w:sz="4" w:space="0" w:color="auto"/>
              <w:right w:val="nil"/>
            </w:tcBorders>
            <w:vAlign w:val="bottom"/>
          </w:tcPr>
          <w:p w14:paraId="2B59725E"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(0.051)</w:t>
            </w:r>
          </w:p>
        </w:tc>
        <w:tc>
          <w:tcPr>
            <w:tcW w:w="1039" w:type="dxa"/>
            <w:tcBorders>
              <w:top w:val="nil"/>
              <w:left w:val="nil"/>
              <w:bottom w:val="single" w:sz="4" w:space="0" w:color="auto"/>
              <w:right w:val="nil"/>
            </w:tcBorders>
            <w:vAlign w:val="bottom"/>
          </w:tcPr>
          <w:p w14:paraId="2185404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(0.051)</w:t>
            </w:r>
          </w:p>
        </w:tc>
        <w:tc>
          <w:tcPr>
            <w:tcW w:w="1040" w:type="dxa"/>
            <w:tcBorders>
              <w:top w:val="nil"/>
              <w:left w:val="nil"/>
              <w:bottom w:val="single" w:sz="4" w:space="0" w:color="auto"/>
              <w:right w:val="nil"/>
            </w:tcBorders>
            <w:vAlign w:val="bottom"/>
          </w:tcPr>
          <w:p w14:paraId="10001CF2"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(0.036)</w:t>
            </w:r>
          </w:p>
        </w:tc>
        <w:tc>
          <w:tcPr>
            <w:tcW w:w="1039" w:type="dxa"/>
            <w:tcBorders>
              <w:top w:val="nil"/>
              <w:left w:val="nil"/>
              <w:bottom w:val="single" w:sz="4" w:space="0" w:color="auto"/>
              <w:right w:val="nil"/>
            </w:tcBorders>
            <w:vAlign w:val="bottom"/>
          </w:tcPr>
          <w:p w14:paraId="6F631D0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(0.051)</w:t>
            </w:r>
          </w:p>
        </w:tc>
        <w:tc>
          <w:tcPr>
            <w:tcW w:w="1040" w:type="dxa"/>
            <w:tcBorders>
              <w:top w:val="nil"/>
              <w:left w:val="nil"/>
              <w:bottom w:val="single" w:sz="4" w:space="0" w:color="auto"/>
              <w:right w:val="nil"/>
            </w:tcBorders>
            <w:vAlign w:val="bottom"/>
          </w:tcPr>
          <w:p w14:paraId="485D2FF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(0.051)</w:t>
            </w:r>
          </w:p>
        </w:tc>
      </w:tr>
      <w:tr w:rsidR="00D64649" w:rsidRPr="0078113B" w14:paraId="3A951347" w14:textId="77777777" w:rsidTr="00CF2502">
        <w:tc>
          <w:tcPr>
            <w:tcW w:w="3402" w:type="dxa"/>
            <w:tcBorders>
              <w:top w:val="single" w:sz="4" w:space="0" w:color="auto"/>
              <w:left w:val="nil"/>
              <w:bottom w:val="nil"/>
              <w:right w:val="nil"/>
            </w:tcBorders>
          </w:tcPr>
          <w:p w14:paraId="39DB4B31"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Number of languages</w:t>
            </w:r>
          </w:p>
        </w:tc>
        <w:tc>
          <w:tcPr>
            <w:tcW w:w="1039" w:type="dxa"/>
            <w:tcBorders>
              <w:top w:val="single" w:sz="4" w:space="0" w:color="auto"/>
              <w:left w:val="nil"/>
              <w:bottom w:val="nil"/>
              <w:right w:val="nil"/>
            </w:tcBorders>
            <w:vAlign w:val="bottom"/>
          </w:tcPr>
          <w:p w14:paraId="2CE056DE"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0.040***</w:t>
            </w:r>
          </w:p>
        </w:tc>
        <w:tc>
          <w:tcPr>
            <w:tcW w:w="1040" w:type="dxa"/>
            <w:tcBorders>
              <w:top w:val="single" w:sz="4" w:space="0" w:color="auto"/>
              <w:left w:val="nil"/>
              <w:bottom w:val="nil"/>
              <w:right w:val="nil"/>
            </w:tcBorders>
            <w:vAlign w:val="bottom"/>
          </w:tcPr>
          <w:p w14:paraId="357141BD"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0.036***</w:t>
            </w:r>
          </w:p>
        </w:tc>
        <w:tc>
          <w:tcPr>
            <w:tcW w:w="1039" w:type="dxa"/>
            <w:tcBorders>
              <w:top w:val="single" w:sz="4" w:space="0" w:color="auto"/>
              <w:left w:val="nil"/>
              <w:bottom w:val="nil"/>
              <w:right w:val="nil"/>
            </w:tcBorders>
            <w:vAlign w:val="bottom"/>
          </w:tcPr>
          <w:p w14:paraId="54F3C74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0.039***</w:t>
            </w:r>
          </w:p>
        </w:tc>
        <w:tc>
          <w:tcPr>
            <w:tcW w:w="1040" w:type="dxa"/>
            <w:tcBorders>
              <w:top w:val="single" w:sz="4" w:space="0" w:color="auto"/>
              <w:left w:val="nil"/>
              <w:bottom w:val="nil"/>
              <w:right w:val="nil"/>
            </w:tcBorders>
            <w:vAlign w:val="bottom"/>
          </w:tcPr>
          <w:p w14:paraId="272FC90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0.040***</w:t>
            </w:r>
          </w:p>
        </w:tc>
        <w:tc>
          <w:tcPr>
            <w:tcW w:w="1039" w:type="dxa"/>
            <w:tcBorders>
              <w:top w:val="single" w:sz="4" w:space="0" w:color="auto"/>
              <w:left w:val="nil"/>
              <w:bottom w:val="nil"/>
              <w:right w:val="nil"/>
            </w:tcBorders>
            <w:vAlign w:val="bottom"/>
          </w:tcPr>
          <w:p w14:paraId="6F40D9A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0.036***</w:t>
            </w:r>
          </w:p>
        </w:tc>
        <w:tc>
          <w:tcPr>
            <w:tcW w:w="1040" w:type="dxa"/>
            <w:tcBorders>
              <w:top w:val="single" w:sz="4" w:space="0" w:color="auto"/>
              <w:left w:val="nil"/>
              <w:bottom w:val="nil"/>
              <w:right w:val="nil"/>
            </w:tcBorders>
            <w:vAlign w:val="bottom"/>
          </w:tcPr>
          <w:p w14:paraId="25EAC50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0.039***</w:t>
            </w:r>
          </w:p>
        </w:tc>
      </w:tr>
      <w:tr w:rsidR="00D64649" w:rsidRPr="0078113B" w14:paraId="1D084729" w14:textId="77777777" w:rsidTr="00CF2502">
        <w:tc>
          <w:tcPr>
            <w:tcW w:w="3402" w:type="dxa"/>
            <w:tcBorders>
              <w:top w:val="nil"/>
              <w:left w:val="nil"/>
              <w:bottom w:val="nil"/>
              <w:right w:val="nil"/>
            </w:tcBorders>
          </w:tcPr>
          <w:p w14:paraId="0411690F"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2AF804E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(0.009)</w:t>
            </w:r>
          </w:p>
        </w:tc>
        <w:tc>
          <w:tcPr>
            <w:tcW w:w="1040" w:type="dxa"/>
            <w:tcBorders>
              <w:top w:val="nil"/>
              <w:left w:val="nil"/>
              <w:bottom w:val="nil"/>
              <w:right w:val="nil"/>
            </w:tcBorders>
            <w:vAlign w:val="bottom"/>
          </w:tcPr>
          <w:p w14:paraId="07E0919F"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(0.013)</w:t>
            </w:r>
          </w:p>
        </w:tc>
        <w:tc>
          <w:tcPr>
            <w:tcW w:w="1039" w:type="dxa"/>
            <w:tcBorders>
              <w:top w:val="nil"/>
              <w:left w:val="nil"/>
              <w:bottom w:val="nil"/>
              <w:right w:val="nil"/>
            </w:tcBorders>
            <w:vAlign w:val="bottom"/>
          </w:tcPr>
          <w:p w14:paraId="4D3F3EB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(0.013)</w:t>
            </w:r>
          </w:p>
        </w:tc>
        <w:tc>
          <w:tcPr>
            <w:tcW w:w="1040" w:type="dxa"/>
            <w:tcBorders>
              <w:top w:val="nil"/>
              <w:left w:val="nil"/>
              <w:bottom w:val="nil"/>
              <w:right w:val="nil"/>
            </w:tcBorders>
            <w:vAlign w:val="bottom"/>
          </w:tcPr>
          <w:p w14:paraId="0E5647B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(0.009)</w:t>
            </w:r>
          </w:p>
        </w:tc>
        <w:tc>
          <w:tcPr>
            <w:tcW w:w="1039" w:type="dxa"/>
            <w:tcBorders>
              <w:top w:val="nil"/>
              <w:left w:val="nil"/>
              <w:bottom w:val="nil"/>
              <w:right w:val="nil"/>
            </w:tcBorders>
            <w:vAlign w:val="bottom"/>
          </w:tcPr>
          <w:p w14:paraId="1F0A827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(0.013)</w:t>
            </w:r>
          </w:p>
        </w:tc>
        <w:tc>
          <w:tcPr>
            <w:tcW w:w="1040" w:type="dxa"/>
            <w:tcBorders>
              <w:top w:val="nil"/>
              <w:left w:val="nil"/>
              <w:bottom w:val="nil"/>
              <w:right w:val="nil"/>
            </w:tcBorders>
            <w:vAlign w:val="bottom"/>
          </w:tcPr>
          <w:p w14:paraId="713BC52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(0.013)</w:t>
            </w:r>
          </w:p>
        </w:tc>
      </w:tr>
      <w:tr w:rsidR="00D64649" w:rsidRPr="0078113B" w14:paraId="10D3E7AB" w14:textId="77777777" w:rsidTr="00CF2502">
        <w:tc>
          <w:tcPr>
            <w:tcW w:w="3402" w:type="dxa"/>
            <w:tcBorders>
              <w:top w:val="nil"/>
              <w:left w:val="nil"/>
              <w:bottom w:val="nil"/>
              <w:right w:val="nil"/>
            </w:tcBorders>
          </w:tcPr>
          <w:p w14:paraId="619EB474"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Romanian is native</w:t>
            </w:r>
          </w:p>
        </w:tc>
        <w:tc>
          <w:tcPr>
            <w:tcW w:w="1039" w:type="dxa"/>
            <w:tcBorders>
              <w:top w:val="nil"/>
              <w:left w:val="nil"/>
              <w:bottom w:val="nil"/>
              <w:right w:val="nil"/>
            </w:tcBorders>
            <w:vAlign w:val="bottom"/>
          </w:tcPr>
          <w:p w14:paraId="207DA7B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-0.014</w:t>
            </w:r>
          </w:p>
        </w:tc>
        <w:tc>
          <w:tcPr>
            <w:tcW w:w="1040" w:type="dxa"/>
            <w:tcBorders>
              <w:top w:val="nil"/>
              <w:left w:val="nil"/>
              <w:bottom w:val="nil"/>
              <w:right w:val="nil"/>
            </w:tcBorders>
            <w:vAlign w:val="bottom"/>
          </w:tcPr>
          <w:p w14:paraId="0F97448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-0.003</w:t>
            </w:r>
          </w:p>
        </w:tc>
        <w:tc>
          <w:tcPr>
            <w:tcW w:w="1039" w:type="dxa"/>
            <w:tcBorders>
              <w:top w:val="nil"/>
              <w:left w:val="nil"/>
              <w:bottom w:val="nil"/>
              <w:right w:val="nil"/>
            </w:tcBorders>
            <w:vAlign w:val="bottom"/>
          </w:tcPr>
          <w:p w14:paraId="392D12B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-0.020</w:t>
            </w:r>
          </w:p>
        </w:tc>
        <w:tc>
          <w:tcPr>
            <w:tcW w:w="1040" w:type="dxa"/>
            <w:tcBorders>
              <w:top w:val="nil"/>
              <w:left w:val="nil"/>
              <w:bottom w:val="nil"/>
              <w:right w:val="nil"/>
            </w:tcBorders>
            <w:vAlign w:val="bottom"/>
          </w:tcPr>
          <w:p w14:paraId="1132B86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-0.014</w:t>
            </w:r>
          </w:p>
        </w:tc>
        <w:tc>
          <w:tcPr>
            <w:tcW w:w="1039" w:type="dxa"/>
            <w:tcBorders>
              <w:top w:val="nil"/>
              <w:left w:val="nil"/>
              <w:bottom w:val="nil"/>
              <w:right w:val="nil"/>
            </w:tcBorders>
            <w:vAlign w:val="bottom"/>
          </w:tcPr>
          <w:p w14:paraId="61D88E9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-0.003</w:t>
            </w:r>
          </w:p>
        </w:tc>
        <w:tc>
          <w:tcPr>
            <w:tcW w:w="1040" w:type="dxa"/>
            <w:tcBorders>
              <w:top w:val="nil"/>
              <w:left w:val="nil"/>
              <w:bottom w:val="nil"/>
              <w:right w:val="nil"/>
            </w:tcBorders>
            <w:vAlign w:val="bottom"/>
          </w:tcPr>
          <w:p w14:paraId="4BE44FB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-0.020</w:t>
            </w:r>
          </w:p>
        </w:tc>
      </w:tr>
      <w:tr w:rsidR="00D64649" w:rsidRPr="0078113B" w14:paraId="5AEC2BF6" w14:textId="77777777" w:rsidTr="00E91DF3">
        <w:tc>
          <w:tcPr>
            <w:tcW w:w="3402" w:type="dxa"/>
            <w:tcBorders>
              <w:top w:val="nil"/>
              <w:left w:val="nil"/>
              <w:bottom w:val="single" w:sz="4" w:space="0" w:color="auto"/>
              <w:right w:val="nil"/>
            </w:tcBorders>
          </w:tcPr>
          <w:p w14:paraId="2C6B5514"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single" w:sz="4" w:space="0" w:color="auto"/>
              <w:right w:val="nil"/>
            </w:tcBorders>
            <w:vAlign w:val="bottom"/>
          </w:tcPr>
          <w:p w14:paraId="2CAB9E7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(0.014)</w:t>
            </w:r>
          </w:p>
        </w:tc>
        <w:tc>
          <w:tcPr>
            <w:tcW w:w="1040" w:type="dxa"/>
            <w:tcBorders>
              <w:top w:val="nil"/>
              <w:left w:val="nil"/>
              <w:bottom w:val="single" w:sz="4" w:space="0" w:color="auto"/>
              <w:right w:val="nil"/>
            </w:tcBorders>
            <w:vAlign w:val="bottom"/>
          </w:tcPr>
          <w:p w14:paraId="4EEABF3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(0.021)</w:t>
            </w:r>
          </w:p>
        </w:tc>
        <w:tc>
          <w:tcPr>
            <w:tcW w:w="1039" w:type="dxa"/>
            <w:tcBorders>
              <w:top w:val="nil"/>
              <w:left w:val="nil"/>
              <w:bottom w:val="single" w:sz="4" w:space="0" w:color="auto"/>
              <w:right w:val="nil"/>
            </w:tcBorders>
            <w:vAlign w:val="bottom"/>
          </w:tcPr>
          <w:p w14:paraId="1EB5F96C"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(0.019)</w:t>
            </w:r>
          </w:p>
        </w:tc>
        <w:tc>
          <w:tcPr>
            <w:tcW w:w="1040" w:type="dxa"/>
            <w:tcBorders>
              <w:top w:val="nil"/>
              <w:left w:val="nil"/>
              <w:bottom w:val="single" w:sz="4" w:space="0" w:color="auto"/>
              <w:right w:val="nil"/>
            </w:tcBorders>
            <w:vAlign w:val="bottom"/>
          </w:tcPr>
          <w:p w14:paraId="462E5B4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(0.014)</w:t>
            </w:r>
          </w:p>
        </w:tc>
        <w:tc>
          <w:tcPr>
            <w:tcW w:w="1039" w:type="dxa"/>
            <w:tcBorders>
              <w:top w:val="nil"/>
              <w:left w:val="nil"/>
              <w:bottom w:val="single" w:sz="4" w:space="0" w:color="auto"/>
              <w:right w:val="nil"/>
            </w:tcBorders>
            <w:vAlign w:val="bottom"/>
          </w:tcPr>
          <w:p w14:paraId="7B71AC9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(0.021)</w:t>
            </w:r>
          </w:p>
        </w:tc>
        <w:tc>
          <w:tcPr>
            <w:tcW w:w="1040" w:type="dxa"/>
            <w:tcBorders>
              <w:top w:val="nil"/>
              <w:left w:val="nil"/>
              <w:bottom w:val="single" w:sz="4" w:space="0" w:color="auto"/>
              <w:right w:val="nil"/>
            </w:tcBorders>
            <w:vAlign w:val="bottom"/>
          </w:tcPr>
          <w:p w14:paraId="52F6A38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(0.019)</w:t>
            </w:r>
          </w:p>
        </w:tc>
      </w:tr>
      <w:tr w:rsidR="00D64649" w:rsidRPr="0078113B" w14:paraId="31A8C7AF" w14:textId="77777777" w:rsidTr="00E91DF3">
        <w:tc>
          <w:tcPr>
            <w:tcW w:w="3402" w:type="dxa"/>
            <w:tcBorders>
              <w:top w:val="single" w:sz="4" w:space="0" w:color="auto"/>
              <w:left w:val="nil"/>
              <w:bottom w:val="nil"/>
              <w:right w:val="nil"/>
            </w:tcBorders>
          </w:tcPr>
          <w:p w14:paraId="315F65DE"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Experience</w:t>
            </w:r>
          </w:p>
        </w:tc>
        <w:tc>
          <w:tcPr>
            <w:tcW w:w="1039" w:type="dxa"/>
            <w:tcBorders>
              <w:top w:val="single" w:sz="4" w:space="0" w:color="auto"/>
              <w:left w:val="nil"/>
              <w:bottom w:val="nil"/>
              <w:right w:val="nil"/>
            </w:tcBorders>
            <w:vAlign w:val="bottom"/>
          </w:tcPr>
          <w:p w14:paraId="33D3C5E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0.020***</w:t>
            </w:r>
          </w:p>
        </w:tc>
        <w:tc>
          <w:tcPr>
            <w:tcW w:w="1040" w:type="dxa"/>
            <w:tcBorders>
              <w:top w:val="single" w:sz="4" w:space="0" w:color="auto"/>
              <w:left w:val="nil"/>
              <w:bottom w:val="nil"/>
              <w:right w:val="nil"/>
            </w:tcBorders>
            <w:vAlign w:val="bottom"/>
          </w:tcPr>
          <w:p w14:paraId="5E5BD0A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0.022***</w:t>
            </w:r>
          </w:p>
        </w:tc>
        <w:tc>
          <w:tcPr>
            <w:tcW w:w="1039" w:type="dxa"/>
            <w:tcBorders>
              <w:top w:val="single" w:sz="4" w:space="0" w:color="auto"/>
              <w:left w:val="nil"/>
              <w:bottom w:val="nil"/>
              <w:right w:val="nil"/>
            </w:tcBorders>
            <w:vAlign w:val="bottom"/>
          </w:tcPr>
          <w:p w14:paraId="035FCD04"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0.018***</w:t>
            </w:r>
          </w:p>
        </w:tc>
        <w:tc>
          <w:tcPr>
            <w:tcW w:w="1040" w:type="dxa"/>
            <w:tcBorders>
              <w:top w:val="single" w:sz="4" w:space="0" w:color="auto"/>
              <w:left w:val="nil"/>
              <w:bottom w:val="nil"/>
              <w:right w:val="nil"/>
            </w:tcBorders>
            <w:vAlign w:val="bottom"/>
          </w:tcPr>
          <w:p w14:paraId="0D48D71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0.020***</w:t>
            </w:r>
          </w:p>
        </w:tc>
        <w:tc>
          <w:tcPr>
            <w:tcW w:w="1039" w:type="dxa"/>
            <w:tcBorders>
              <w:top w:val="single" w:sz="4" w:space="0" w:color="auto"/>
              <w:left w:val="nil"/>
              <w:bottom w:val="nil"/>
              <w:right w:val="nil"/>
            </w:tcBorders>
            <w:vAlign w:val="bottom"/>
          </w:tcPr>
          <w:p w14:paraId="3E704F8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0.022***</w:t>
            </w:r>
          </w:p>
        </w:tc>
        <w:tc>
          <w:tcPr>
            <w:tcW w:w="1040" w:type="dxa"/>
            <w:tcBorders>
              <w:top w:val="single" w:sz="4" w:space="0" w:color="auto"/>
              <w:left w:val="nil"/>
              <w:bottom w:val="nil"/>
              <w:right w:val="nil"/>
            </w:tcBorders>
            <w:vAlign w:val="bottom"/>
          </w:tcPr>
          <w:p w14:paraId="75A763B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0.017***</w:t>
            </w:r>
          </w:p>
        </w:tc>
      </w:tr>
      <w:tr w:rsidR="00D64649" w:rsidRPr="0078113B" w14:paraId="160FE354" w14:textId="77777777" w:rsidTr="00CF2502">
        <w:tc>
          <w:tcPr>
            <w:tcW w:w="3402" w:type="dxa"/>
            <w:tcBorders>
              <w:top w:val="nil"/>
              <w:left w:val="nil"/>
              <w:bottom w:val="nil"/>
              <w:right w:val="nil"/>
            </w:tcBorders>
          </w:tcPr>
          <w:p w14:paraId="33014F94"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5456B3C9"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(0.003)</w:t>
            </w:r>
          </w:p>
        </w:tc>
        <w:tc>
          <w:tcPr>
            <w:tcW w:w="1040" w:type="dxa"/>
            <w:tcBorders>
              <w:top w:val="nil"/>
              <w:left w:val="nil"/>
              <w:bottom w:val="nil"/>
              <w:right w:val="nil"/>
            </w:tcBorders>
            <w:vAlign w:val="bottom"/>
          </w:tcPr>
          <w:p w14:paraId="1D3C09C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(0.006)</w:t>
            </w:r>
          </w:p>
        </w:tc>
        <w:tc>
          <w:tcPr>
            <w:tcW w:w="1039" w:type="dxa"/>
            <w:tcBorders>
              <w:top w:val="nil"/>
              <w:left w:val="nil"/>
              <w:bottom w:val="nil"/>
              <w:right w:val="nil"/>
            </w:tcBorders>
            <w:vAlign w:val="bottom"/>
          </w:tcPr>
          <w:p w14:paraId="234EDB8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(0.004)</w:t>
            </w:r>
          </w:p>
        </w:tc>
        <w:tc>
          <w:tcPr>
            <w:tcW w:w="1040" w:type="dxa"/>
            <w:tcBorders>
              <w:top w:val="nil"/>
              <w:left w:val="nil"/>
              <w:bottom w:val="nil"/>
              <w:right w:val="nil"/>
            </w:tcBorders>
            <w:vAlign w:val="bottom"/>
          </w:tcPr>
          <w:p w14:paraId="2348762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(0.003)</w:t>
            </w:r>
          </w:p>
        </w:tc>
        <w:tc>
          <w:tcPr>
            <w:tcW w:w="1039" w:type="dxa"/>
            <w:tcBorders>
              <w:top w:val="nil"/>
              <w:left w:val="nil"/>
              <w:bottom w:val="nil"/>
              <w:right w:val="nil"/>
            </w:tcBorders>
            <w:vAlign w:val="bottom"/>
          </w:tcPr>
          <w:p w14:paraId="2DEA75AA"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(0.006)</w:t>
            </w:r>
          </w:p>
        </w:tc>
        <w:tc>
          <w:tcPr>
            <w:tcW w:w="1040" w:type="dxa"/>
            <w:tcBorders>
              <w:top w:val="nil"/>
              <w:left w:val="nil"/>
              <w:bottom w:val="nil"/>
              <w:right w:val="nil"/>
            </w:tcBorders>
            <w:vAlign w:val="bottom"/>
          </w:tcPr>
          <w:p w14:paraId="16B0C20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(0.004)</w:t>
            </w:r>
          </w:p>
        </w:tc>
      </w:tr>
      <w:tr w:rsidR="00D64649" w:rsidRPr="0078113B" w14:paraId="185C4F60" w14:textId="77777777" w:rsidTr="00E91DF3">
        <w:tc>
          <w:tcPr>
            <w:tcW w:w="3402" w:type="dxa"/>
            <w:tcBorders>
              <w:top w:val="nil"/>
              <w:left w:val="nil"/>
              <w:right w:val="nil"/>
            </w:tcBorders>
          </w:tcPr>
          <w:p w14:paraId="7A90D91D"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Experience squared</w:t>
            </w:r>
          </w:p>
        </w:tc>
        <w:tc>
          <w:tcPr>
            <w:tcW w:w="1039" w:type="dxa"/>
            <w:tcBorders>
              <w:top w:val="nil"/>
              <w:left w:val="nil"/>
              <w:right w:val="nil"/>
            </w:tcBorders>
            <w:vAlign w:val="bottom"/>
          </w:tcPr>
          <w:p w14:paraId="21E6384E"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-0.001***</w:t>
            </w:r>
          </w:p>
        </w:tc>
        <w:tc>
          <w:tcPr>
            <w:tcW w:w="1040" w:type="dxa"/>
            <w:tcBorders>
              <w:top w:val="nil"/>
              <w:left w:val="nil"/>
              <w:right w:val="nil"/>
            </w:tcBorders>
            <w:vAlign w:val="bottom"/>
          </w:tcPr>
          <w:p w14:paraId="180ACB1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-0.001***</w:t>
            </w:r>
          </w:p>
        </w:tc>
        <w:tc>
          <w:tcPr>
            <w:tcW w:w="1039" w:type="dxa"/>
            <w:tcBorders>
              <w:top w:val="nil"/>
              <w:left w:val="nil"/>
              <w:right w:val="nil"/>
            </w:tcBorders>
            <w:vAlign w:val="bottom"/>
          </w:tcPr>
          <w:p w14:paraId="711E51D9"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-0.000***</w:t>
            </w:r>
          </w:p>
        </w:tc>
        <w:tc>
          <w:tcPr>
            <w:tcW w:w="1040" w:type="dxa"/>
            <w:tcBorders>
              <w:top w:val="nil"/>
              <w:left w:val="nil"/>
              <w:right w:val="nil"/>
            </w:tcBorders>
            <w:vAlign w:val="bottom"/>
          </w:tcPr>
          <w:p w14:paraId="3336F4E2"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-0.000***</w:t>
            </w:r>
          </w:p>
        </w:tc>
        <w:tc>
          <w:tcPr>
            <w:tcW w:w="1039" w:type="dxa"/>
            <w:tcBorders>
              <w:top w:val="nil"/>
              <w:left w:val="nil"/>
              <w:right w:val="nil"/>
            </w:tcBorders>
            <w:vAlign w:val="bottom"/>
          </w:tcPr>
          <w:p w14:paraId="5E5D501A"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-0.001***</w:t>
            </w:r>
          </w:p>
        </w:tc>
        <w:tc>
          <w:tcPr>
            <w:tcW w:w="1040" w:type="dxa"/>
            <w:tcBorders>
              <w:top w:val="nil"/>
              <w:left w:val="nil"/>
              <w:right w:val="nil"/>
            </w:tcBorders>
            <w:vAlign w:val="bottom"/>
          </w:tcPr>
          <w:p w14:paraId="3CD6D2A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-0.000***</w:t>
            </w:r>
          </w:p>
        </w:tc>
      </w:tr>
      <w:tr w:rsidR="00D64649" w:rsidRPr="0078113B" w14:paraId="5B9AD4B6" w14:textId="77777777" w:rsidTr="00E91DF3">
        <w:tc>
          <w:tcPr>
            <w:tcW w:w="3402" w:type="dxa"/>
            <w:tcBorders>
              <w:top w:val="nil"/>
              <w:left w:val="nil"/>
              <w:bottom w:val="single" w:sz="4" w:space="0" w:color="auto"/>
              <w:right w:val="nil"/>
            </w:tcBorders>
          </w:tcPr>
          <w:p w14:paraId="285DCF46"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single" w:sz="4" w:space="0" w:color="auto"/>
              <w:right w:val="nil"/>
            </w:tcBorders>
            <w:vAlign w:val="bottom"/>
          </w:tcPr>
          <w:p w14:paraId="31E5692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(0.000)</w:t>
            </w:r>
          </w:p>
        </w:tc>
        <w:tc>
          <w:tcPr>
            <w:tcW w:w="1040" w:type="dxa"/>
            <w:tcBorders>
              <w:top w:val="nil"/>
              <w:left w:val="nil"/>
              <w:bottom w:val="single" w:sz="4" w:space="0" w:color="auto"/>
              <w:right w:val="nil"/>
            </w:tcBorders>
            <w:vAlign w:val="bottom"/>
          </w:tcPr>
          <w:p w14:paraId="48FFC3E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(0.000)</w:t>
            </w:r>
          </w:p>
        </w:tc>
        <w:tc>
          <w:tcPr>
            <w:tcW w:w="1039" w:type="dxa"/>
            <w:tcBorders>
              <w:top w:val="nil"/>
              <w:left w:val="nil"/>
              <w:bottom w:val="single" w:sz="4" w:space="0" w:color="auto"/>
              <w:right w:val="nil"/>
            </w:tcBorders>
            <w:vAlign w:val="bottom"/>
          </w:tcPr>
          <w:p w14:paraId="170B3A6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(0.000)</w:t>
            </w:r>
          </w:p>
        </w:tc>
        <w:tc>
          <w:tcPr>
            <w:tcW w:w="1040" w:type="dxa"/>
            <w:tcBorders>
              <w:top w:val="nil"/>
              <w:left w:val="nil"/>
              <w:bottom w:val="single" w:sz="4" w:space="0" w:color="auto"/>
              <w:right w:val="nil"/>
            </w:tcBorders>
            <w:vAlign w:val="bottom"/>
          </w:tcPr>
          <w:p w14:paraId="24CB5D54"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(0.000)</w:t>
            </w:r>
          </w:p>
        </w:tc>
        <w:tc>
          <w:tcPr>
            <w:tcW w:w="1039" w:type="dxa"/>
            <w:tcBorders>
              <w:top w:val="nil"/>
              <w:left w:val="nil"/>
              <w:bottom w:val="single" w:sz="4" w:space="0" w:color="auto"/>
              <w:right w:val="nil"/>
            </w:tcBorders>
            <w:vAlign w:val="bottom"/>
          </w:tcPr>
          <w:p w14:paraId="28C81AE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(0.000)</w:t>
            </w:r>
          </w:p>
        </w:tc>
        <w:tc>
          <w:tcPr>
            <w:tcW w:w="1040" w:type="dxa"/>
            <w:tcBorders>
              <w:top w:val="nil"/>
              <w:left w:val="nil"/>
              <w:bottom w:val="single" w:sz="4" w:space="0" w:color="auto"/>
              <w:right w:val="nil"/>
            </w:tcBorders>
            <w:vAlign w:val="bottom"/>
          </w:tcPr>
          <w:p w14:paraId="1FBE1E3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(0.000)</w:t>
            </w:r>
          </w:p>
        </w:tc>
      </w:tr>
      <w:tr w:rsidR="00D64649" w:rsidRPr="0078113B" w14:paraId="065FC3C4" w14:textId="77777777" w:rsidTr="00E91DF3">
        <w:tc>
          <w:tcPr>
            <w:tcW w:w="3402" w:type="dxa"/>
            <w:tcBorders>
              <w:top w:val="single" w:sz="4" w:space="0" w:color="auto"/>
              <w:left w:val="nil"/>
              <w:bottom w:val="nil"/>
              <w:right w:val="nil"/>
            </w:tcBorders>
          </w:tcPr>
          <w:p w14:paraId="5DDF400E"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Number of employment episodes</w:t>
            </w:r>
          </w:p>
        </w:tc>
        <w:tc>
          <w:tcPr>
            <w:tcW w:w="1039" w:type="dxa"/>
            <w:tcBorders>
              <w:top w:val="single" w:sz="4" w:space="0" w:color="auto"/>
              <w:left w:val="nil"/>
              <w:bottom w:val="nil"/>
              <w:right w:val="nil"/>
            </w:tcBorders>
            <w:vAlign w:val="bottom"/>
          </w:tcPr>
          <w:p w14:paraId="58A92F2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0.026***</w:t>
            </w:r>
          </w:p>
        </w:tc>
        <w:tc>
          <w:tcPr>
            <w:tcW w:w="1040" w:type="dxa"/>
            <w:tcBorders>
              <w:top w:val="single" w:sz="4" w:space="0" w:color="auto"/>
              <w:left w:val="nil"/>
              <w:bottom w:val="nil"/>
              <w:right w:val="nil"/>
            </w:tcBorders>
            <w:vAlign w:val="bottom"/>
          </w:tcPr>
          <w:p w14:paraId="6D83C63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0.019**</w:t>
            </w:r>
          </w:p>
        </w:tc>
        <w:tc>
          <w:tcPr>
            <w:tcW w:w="1039" w:type="dxa"/>
            <w:tcBorders>
              <w:top w:val="single" w:sz="4" w:space="0" w:color="auto"/>
              <w:left w:val="nil"/>
              <w:bottom w:val="nil"/>
              <w:right w:val="nil"/>
            </w:tcBorders>
            <w:vAlign w:val="bottom"/>
          </w:tcPr>
          <w:p w14:paraId="7358D36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0.029***</w:t>
            </w:r>
          </w:p>
        </w:tc>
        <w:tc>
          <w:tcPr>
            <w:tcW w:w="1040" w:type="dxa"/>
            <w:tcBorders>
              <w:top w:val="single" w:sz="4" w:space="0" w:color="auto"/>
              <w:left w:val="nil"/>
              <w:bottom w:val="nil"/>
              <w:right w:val="nil"/>
            </w:tcBorders>
            <w:vAlign w:val="bottom"/>
          </w:tcPr>
          <w:p w14:paraId="31B3B82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0.025***</w:t>
            </w:r>
          </w:p>
        </w:tc>
        <w:tc>
          <w:tcPr>
            <w:tcW w:w="1039" w:type="dxa"/>
            <w:tcBorders>
              <w:top w:val="single" w:sz="4" w:space="0" w:color="auto"/>
              <w:left w:val="nil"/>
              <w:bottom w:val="nil"/>
              <w:right w:val="nil"/>
            </w:tcBorders>
            <w:vAlign w:val="bottom"/>
          </w:tcPr>
          <w:p w14:paraId="56AD0CA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0.019**</w:t>
            </w:r>
          </w:p>
        </w:tc>
        <w:tc>
          <w:tcPr>
            <w:tcW w:w="1040" w:type="dxa"/>
            <w:tcBorders>
              <w:top w:val="single" w:sz="4" w:space="0" w:color="auto"/>
              <w:left w:val="nil"/>
              <w:bottom w:val="nil"/>
              <w:right w:val="nil"/>
            </w:tcBorders>
            <w:vAlign w:val="bottom"/>
          </w:tcPr>
          <w:p w14:paraId="47CC5ED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0.029***</w:t>
            </w:r>
          </w:p>
        </w:tc>
      </w:tr>
      <w:tr w:rsidR="00D64649" w:rsidRPr="0078113B" w14:paraId="1D66265F" w14:textId="77777777" w:rsidTr="00CF2502">
        <w:tc>
          <w:tcPr>
            <w:tcW w:w="3402" w:type="dxa"/>
            <w:tcBorders>
              <w:top w:val="nil"/>
              <w:left w:val="nil"/>
              <w:bottom w:val="nil"/>
              <w:right w:val="nil"/>
            </w:tcBorders>
          </w:tcPr>
          <w:p w14:paraId="22E5DF44"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67B2FBD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(0.006)</w:t>
            </w:r>
          </w:p>
        </w:tc>
        <w:tc>
          <w:tcPr>
            <w:tcW w:w="1040" w:type="dxa"/>
            <w:tcBorders>
              <w:top w:val="nil"/>
              <w:left w:val="nil"/>
              <w:bottom w:val="nil"/>
              <w:right w:val="nil"/>
            </w:tcBorders>
            <w:vAlign w:val="bottom"/>
          </w:tcPr>
          <w:p w14:paraId="5874FDB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(0.009)</w:t>
            </w:r>
          </w:p>
        </w:tc>
        <w:tc>
          <w:tcPr>
            <w:tcW w:w="1039" w:type="dxa"/>
            <w:tcBorders>
              <w:top w:val="nil"/>
              <w:left w:val="nil"/>
              <w:bottom w:val="nil"/>
              <w:right w:val="nil"/>
            </w:tcBorders>
            <w:vAlign w:val="bottom"/>
          </w:tcPr>
          <w:p w14:paraId="1B352FD1"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(0.007)</w:t>
            </w:r>
          </w:p>
        </w:tc>
        <w:tc>
          <w:tcPr>
            <w:tcW w:w="1040" w:type="dxa"/>
            <w:tcBorders>
              <w:top w:val="nil"/>
              <w:left w:val="nil"/>
              <w:bottom w:val="nil"/>
              <w:right w:val="nil"/>
            </w:tcBorders>
            <w:vAlign w:val="bottom"/>
          </w:tcPr>
          <w:p w14:paraId="6278277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(0.006)</w:t>
            </w:r>
          </w:p>
        </w:tc>
        <w:tc>
          <w:tcPr>
            <w:tcW w:w="1039" w:type="dxa"/>
            <w:tcBorders>
              <w:top w:val="nil"/>
              <w:left w:val="nil"/>
              <w:bottom w:val="nil"/>
              <w:right w:val="nil"/>
            </w:tcBorders>
            <w:vAlign w:val="bottom"/>
          </w:tcPr>
          <w:p w14:paraId="368EBF1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(0.009)</w:t>
            </w:r>
          </w:p>
        </w:tc>
        <w:tc>
          <w:tcPr>
            <w:tcW w:w="1040" w:type="dxa"/>
            <w:tcBorders>
              <w:top w:val="nil"/>
              <w:left w:val="nil"/>
              <w:bottom w:val="nil"/>
              <w:right w:val="nil"/>
            </w:tcBorders>
            <w:vAlign w:val="bottom"/>
          </w:tcPr>
          <w:p w14:paraId="1D45E4C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(0.007)</w:t>
            </w:r>
          </w:p>
        </w:tc>
      </w:tr>
      <w:tr w:rsidR="00D64649" w:rsidRPr="0078113B" w14:paraId="571AEAEA" w14:textId="77777777" w:rsidTr="00CF2502">
        <w:tc>
          <w:tcPr>
            <w:tcW w:w="3402" w:type="dxa"/>
            <w:tcBorders>
              <w:top w:val="nil"/>
              <w:left w:val="nil"/>
              <w:bottom w:val="nil"/>
              <w:right w:val="nil"/>
            </w:tcBorders>
            <w:vAlign w:val="bottom"/>
          </w:tcPr>
          <w:p w14:paraId="72DAC4F4"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ascii="Calibri" w:hAnsi="Calibri" w:cs="Calibri"/>
                <w:color w:val="000000"/>
                <w:sz w:val="20"/>
                <w:szCs w:val="20"/>
              </w:rPr>
              <w:t>Currently employed</w:t>
            </w:r>
          </w:p>
        </w:tc>
        <w:tc>
          <w:tcPr>
            <w:tcW w:w="1039" w:type="dxa"/>
            <w:tcBorders>
              <w:top w:val="nil"/>
              <w:left w:val="nil"/>
              <w:bottom w:val="nil"/>
              <w:right w:val="nil"/>
            </w:tcBorders>
            <w:vAlign w:val="bottom"/>
          </w:tcPr>
          <w:p w14:paraId="4DC2B88E"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0.133***</w:t>
            </w:r>
          </w:p>
        </w:tc>
        <w:tc>
          <w:tcPr>
            <w:tcW w:w="1040" w:type="dxa"/>
            <w:tcBorders>
              <w:top w:val="nil"/>
              <w:left w:val="nil"/>
              <w:bottom w:val="nil"/>
              <w:right w:val="nil"/>
            </w:tcBorders>
            <w:vAlign w:val="bottom"/>
          </w:tcPr>
          <w:p w14:paraId="422EF96D"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0.110***</w:t>
            </w:r>
          </w:p>
        </w:tc>
        <w:tc>
          <w:tcPr>
            <w:tcW w:w="1039" w:type="dxa"/>
            <w:tcBorders>
              <w:top w:val="nil"/>
              <w:left w:val="nil"/>
              <w:bottom w:val="nil"/>
              <w:right w:val="nil"/>
            </w:tcBorders>
            <w:vAlign w:val="bottom"/>
          </w:tcPr>
          <w:p w14:paraId="1F239C4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0.147***</w:t>
            </w:r>
          </w:p>
        </w:tc>
        <w:tc>
          <w:tcPr>
            <w:tcW w:w="1040" w:type="dxa"/>
            <w:tcBorders>
              <w:top w:val="nil"/>
              <w:left w:val="nil"/>
              <w:bottom w:val="nil"/>
              <w:right w:val="nil"/>
            </w:tcBorders>
            <w:vAlign w:val="bottom"/>
          </w:tcPr>
          <w:p w14:paraId="342EDC7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0.158***</w:t>
            </w:r>
          </w:p>
        </w:tc>
        <w:tc>
          <w:tcPr>
            <w:tcW w:w="1039" w:type="dxa"/>
            <w:tcBorders>
              <w:top w:val="nil"/>
              <w:left w:val="nil"/>
              <w:bottom w:val="nil"/>
              <w:right w:val="nil"/>
            </w:tcBorders>
            <w:vAlign w:val="bottom"/>
          </w:tcPr>
          <w:p w14:paraId="04CC42B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0.115***</w:t>
            </w:r>
          </w:p>
        </w:tc>
        <w:tc>
          <w:tcPr>
            <w:tcW w:w="1040" w:type="dxa"/>
            <w:tcBorders>
              <w:top w:val="nil"/>
              <w:left w:val="nil"/>
              <w:bottom w:val="nil"/>
              <w:right w:val="nil"/>
            </w:tcBorders>
            <w:vAlign w:val="bottom"/>
          </w:tcPr>
          <w:p w14:paraId="2B28CBB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0.188***</w:t>
            </w:r>
          </w:p>
        </w:tc>
      </w:tr>
      <w:tr w:rsidR="00D64649" w:rsidRPr="0078113B" w14:paraId="5623BC21" w14:textId="77777777" w:rsidTr="00CF2502">
        <w:tc>
          <w:tcPr>
            <w:tcW w:w="3402" w:type="dxa"/>
            <w:tcBorders>
              <w:top w:val="nil"/>
              <w:left w:val="nil"/>
              <w:bottom w:val="nil"/>
              <w:right w:val="nil"/>
            </w:tcBorders>
            <w:vAlign w:val="bottom"/>
          </w:tcPr>
          <w:p w14:paraId="3EB2F3E4"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72434658"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(0.017)</w:t>
            </w:r>
          </w:p>
        </w:tc>
        <w:tc>
          <w:tcPr>
            <w:tcW w:w="1040" w:type="dxa"/>
            <w:tcBorders>
              <w:top w:val="nil"/>
              <w:left w:val="nil"/>
              <w:bottom w:val="nil"/>
              <w:right w:val="nil"/>
            </w:tcBorders>
            <w:vAlign w:val="bottom"/>
          </w:tcPr>
          <w:p w14:paraId="19EE99F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(0.026)</w:t>
            </w:r>
          </w:p>
        </w:tc>
        <w:tc>
          <w:tcPr>
            <w:tcW w:w="1039" w:type="dxa"/>
            <w:tcBorders>
              <w:top w:val="nil"/>
              <w:left w:val="nil"/>
              <w:bottom w:val="nil"/>
              <w:right w:val="nil"/>
            </w:tcBorders>
            <w:vAlign w:val="bottom"/>
          </w:tcPr>
          <w:p w14:paraId="7195D6F8"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(0.022)</w:t>
            </w:r>
          </w:p>
        </w:tc>
        <w:tc>
          <w:tcPr>
            <w:tcW w:w="1040" w:type="dxa"/>
            <w:tcBorders>
              <w:top w:val="nil"/>
              <w:left w:val="nil"/>
              <w:bottom w:val="nil"/>
              <w:right w:val="nil"/>
            </w:tcBorders>
            <w:vAlign w:val="bottom"/>
          </w:tcPr>
          <w:p w14:paraId="1C64EF6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(0.021)</w:t>
            </w:r>
          </w:p>
        </w:tc>
        <w:tc>
          <w:tcPr>
            <w:tcW w:w="1039" w:type="dxa"/>
            <w:tcBorders>
              <w:top w:val="nil"/>
              <w:left w:val="nil"/>
              <w:bottom w:val="nil"/>
              <w:right w:val="nil"/>
            </w:tcBorders>
            <w:vAlign w:val="bottom"/>
          </w:tcPr>
          <w:p w14:paraId="6741912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(0.032)</w:t>
            </w:r>
          </w:p>
        </w:tc>
        <w:tc>
          <w:tcPr>
            <w:tcW w:w="1040" w:type="dxa"/>
            <w:tcBorders>
              <w:top w:val="nil"/>
              <w:left w:val="nil"/>
              <w:bottom w:val="nil"/>
              <w:right w:val="nil"/>
            </w:tcBorders>
            <w:vAlign w:val="bottom"/>
          </w:tcPr>
          <w:p w14:paraId="596A17E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(0.027)</w:t>
            </w:r>
          </w:p>
        </w:tc>
      </w:tr>
      <w:tr w:rsidR="00D64649" w:rsidRPr="0078113B" w14:paraId="4BD3A395" w14:textId="77777777" w:rsidTr="00E91DF3">
        <w:tc>
          <w:tcPr>
            <w:tcW w:w="3402" w:type="dxa"/>
            <w:tcBorders>
              <w:top w:val="nil"/>
              <w:left w:val="nil"/>
              <w:right w:val="nil"/>
            </w:tcBorders>
          </w:tcPr>
          <w:p w14:paraId="33F51535"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Joblessness of 6 months and more</w:t>
            </w:r>
          </w:p>
        </w:tc>
        <w:tc>
          <w:tcPr>
            <w:tcW w:w="1039" w:type="dxa"/>
            <w:tcBorders>
              <w:top w:val="nil"/>
              <w:left w:val="nil"/>
              <w:right w:val="nil"/>
            </w:tcBorders>
            <w:vAlign w:val="bottom"/>
          </w:tcPr>
          <w:p w14:paraId="5C3B563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-0.050</w:t>
            </w:r>
          </w:p>
        </w:tc>
        <w:tc>
          <w:tcPr>
            <w:tcW w:w="1040" w:type="dxa"/>
            <w:tcBorders>
              <w:top w:val="nil"/>
              <w:left w:val="nil"/>
              <w:right w:val="nil"/>
            </w:tcBorders>
            <w:vAlign w:val="bottom"/>
          </w:tcPr>
          <w:p w14:paraId="6B674C2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-0.152</w:t>
            </w:r>
          </w:p>
        </w:tc>
        <w:tc>
          <w:tcPr>
            <w:tcW w:w="1039" w:type="dxa"/>
            <w:tcBorders>
              <w:top w:val="nil"/>
              <w:left w:val="nil"/>
              <w:right w:val="nil"/>
            </w:tcBorders>
            <w:vAlign w:val="bottom"/>
          </w:tcPr>
          <w:p w14:paraId="74E15BA4"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0.005</w:t>
            </w:r>
          </w:p>
        </w:tc>
        <w:tc>
          <w:tcPr>
            <w:tcW w:w="1040" w:type="dxa"/>
            <w:tcBorders>
              <w:top w:val="nil"/>
              <w:left w:val="nil"/>
              <w:right w:val="nil"/>
            </w:tcBorders>
            <w:vAlign w:val="bottom"/>
          </w:tcPr>
          <w:p w14:paraId="04859CF1"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-0.067</w:t>
            </w:r>
          </w:p>
        </w:tc>
        <w:tc>
          <w:tcPr>
            <w:tcW w:w="1039" w:type="dxa"/>
            <w:tcBorders>
              <w:top w:val="nil"/>
              <w:left w:val="nil"/>
              <w:right w:val="nil"/>
            </w:tcBorders>
            <w:vAlign w:val="bottom"/>
          </w:tcPr>
          <w:p w14:paraId="14E26E7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-0.155</w:t>
            </w:r>
          </w:p>
        </w:tc>
        <w:tc>
          <w:tcPr>
            <w:tcW w:w="1040" w:type="dxa"/>
            <w:tcBorders>
              <w:top w:val="nil"/>
              <w:left w:val="nil"/>
              <w:right w:val="nil"/>
            </w:tcBorders>
            <w:vAlign w:val="bottom"/>
          </w:tcPr>
          <w:p w14:paraId="4DB5A04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-0.025</w:t>
            </w:r>
          </w:p>
        </w:tc>
      </w:tr>
      <w:tr w:rsidR="00D64649" w:rsidRPr="0078113B" w14:paraId="64077E9C" w14:textId="77777777" w:rsidTr="00E91DF3">
        <w:tc>
          <w:tcPr>
            <w:tcW w:w="3402" w:type="dxa"/>
            <w:tcBorders>
              <w:top w:val="nil"/>
              <w:left w:val="nil"/>
              <w:bottom w:val="single" w:sz="4" w:space="0" w:color="auto"/>
              <w:right w:val="nil"/>
            </w:tcBorders>
          </w:tcPr>
          <w:p w14:paraId="11375D67"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single" w:sz="4" w:space="0" w:color="auto"/>
              <w:right w:val="nil"/>
            </w:tcBorders>
            <w:vAlign w:val="bottom"/>
          </w:tcPr>
          <w:p w14:paraId="1406FCD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(0.062)</w:t>
            </w:r>
          </w:p>
        </w:tc>
        <w:tc>
          <w:tcPr>
            <w:tcW w:w="1040" w:type="dxa"/>
            <w:tcBorders>
              <w:top w:val="nil"/>
              <w:left w:val="nil"/>
              <w:bottom w:val="single" w:sz="4" w:space="0" w:color="auto"/>
              <w:right w:val="nil"/>
            </w:tcBorders>
            <w:vAlign w:val="bottom"/>
          </w:tcPr>
          <w:p w14:paraId="6B1E24A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(0.105)</w:t>
            </w:r>
          </w:p>
        </w:tc>
        <w:tc>
          <w:tcPr>
            <w:tcW w:w="1039" w:type="dxa"/>
            <w:tcBorders>
              <w:top w:val="nil"/>
              <w:left w:val="nil"/>
              <w:bottom w:val="single" w:sz="4" w:space="0" w:color="auto"/>
              <w:right w:val="nil"/>
            </w:tcBorders>
            <w:vAlign w:val="bottom"/>
          </w:tcPr>
          <w:p w14:paraId="7E704FF6"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(0.078)</w:t>
            </w:r>
          </w:p>
        </w:tc>
        <w:tc>
          <w:tcPr>
            <w:tcW w:w="1040" w:type="dxa"/>
            <w:tcBorders>
              <w:top w:val="nil"/>
              <w:left w:val="nil"/>
              <w:bottom w:val="single" w:sz="4" w:space="0" w:color="auto"/>
              <w:right w:val="nil"/>
            </w:tcBorders>
            <w:vAlign w:val="bottom"/>
          </w:tcPr>
          <w:p w14:paraId="35B88CF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(0.063)</w:t>
            </w:r>
          </w:p>
        </w:tc>
        <w:tc>
          <w:tcPr>
            <w:tcW w:w="1039" w:type="dxa"/>
            <w:tcBorders>
              <w:top w:val="nil"/>
              <w:left w:val="nil"/>
              <w:bottom w:val="single" w:sz="4" w:space="0" w:color="auto"/>
              <w:right w:val="nil"/>
            </w:tcBorders>
            <w:vAlign w:val="bottom"/>
          </w:tcPr>
          <w:p w14:paraId="040508F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(0.106)</w:t>
            </w:r>
          </w:p>
        </w:tc>
        <w:tc>
          <w:tcPr>
            <w:tcW w:w="1040" w:type="dxa"/>
            <w:tcBorders>
              <w:top w:val="nil"/>
              <w:left w:val="nil"/>
              <w:bottom w:val="single" w:sz="4" w:space="0" w:color="auto"/>
              <w:right w:val="nil"/>
            </w:tcBorders>
            <w:vAlign w:val="bottom"/>
          </w:tcPr>
          <w:p w14:paraId="5036DEA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(0.078)</w:t>
            </w:r>
          </w:p>
        </w:tc>
      </w:tr>
      <w:tr w:rsidR="00D64649" w:rsidRPr="0078113B" w14:paraId="694736F7" w14:textId="77777777" w:rsidTr="00E91DF3">
        <w:tc>
          <w:tcPr>
            <w:tcW w:w="3402" w:type="dxa"/>
            <w:tcBorders>
              <w:top w:val="single" w:sz="4" w:space="0" w:color="auto"/>
              <w:left w:val="nil"/>
              <w:bottom w:val="nil"/>
              <w:right w:val="nil"/>
            </w:tcBorders>
          </w:tcPr>
          <w:p w14:paraId="0E910263"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Looking for full-time employment</w:t>
            </w:r>
          </w:p>
        </w:tc>
        <w:tc>
          <w:tcPr>
            <w:tcW w:w="1039" w:type="dxa"/>
            <w:tcBorders>
              <w:top w:val="single" w:sz="4" w:space="0" w:color="auto"/>
              <w:left w:val="nil"/>
              <w:bottom w:val="nil"/>
              <w:right w:val="nil"/>
            </w:tcBorders>
            <w:vAlign w:val="bottom"/>
          </w:tcPr>
          <w:p w14:paraId="6C15500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0.145***</w:t>
            </w:r>
          </w:p>
        </w:tc>
        <w:tc>
          <w:tcPr>
            <w:tcW w:w="1040" w:type="dxa"/>
            <w:tcBorders>
              <w:top w:val="single" w:sz="4" w:space="0" w:color="auto"/>
              <w:left w:val="nil"/>
              <w:bottom w:val="nil"/>
              <w:right w:val="nil"/>
            </w:tcBorders>
            <w:vAlign w:val="bottom"/>
          </w:tcPr>
          <w:p w14:paraId="08AC020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0.138***</w:t>
            </w:r>
          </w:p>
        </w:tc>
        <w:tc>
          <w:tcPr>
            <w:tcW w:w="1039" w:type="dxa"/>
            <w:tcBorders>
              <w:top w:val="single" w:sz="4" w:space="0" w:color="auto"/>
              <w:left w:val="nil"/>
              <w:bottom w:val="nil"/>
              <w:right w:val="nil"/>
            </w:tcBorders>
            <w:vAlign w:val="bottom"/>
          </w:tcPr>
          <w:p w14:paraId="49D56B6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0.144***</w:t>
            </w:r>
          </w:p>
        </w:tc>
        <w:tc>
          <w:tcPr>
            <w:tcW w:w="1040" w:type="dxa"/>
            <w:tcBorders>
              <w:top w:val="single" w:sz="4" w:space="0" w:color="auto"/>
              <w:left w:val="nil"/>
              <w:bottom w:val="nil"/>
              <w:right w:val="nil"/>
            </w:tcBorders>
            <w:vAlign w:val="bottom"/>
          </w:tcPr>
          <w:p w14:paraId="1B85369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0.144***</w:t>
            </w:r>
          </w:p>
        </w:tc>
        <w:tc>
          <w:tcPr>
            <w:tcW w:w="1039" w:type="dxa"/>
            <w:tcBorders>
              <w:top w:val="single" w:sz="4" w:space="0" w:color="auto"/>
              <w:left w:val="nil"/>
              <w:bottom w:val="nil"/>
              <w:right w:val="nil"/>
            </w:tcBorders>
            <w:vAlign w:val="bottom"/>
          </w:tcPr>
          <w:p w14:paraId="608CFEB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0.138***</w:t>
            </w:r>
          </w:p>
        </w:tc>
        <w:tc>
          <w:tcPr>
            <w:tcW w:w="1040" w:type="dxa"/>
            <w:tcBorders>
              <w:top w:val="single" w:sz="4" w:space="0" w:color="auto"/>
              <w:left w:val="nil"/>
              <w:bottom w:val="nil"/>
              <w:right w:val="nil"/>
            </w:tcBorders>
            <w:vAlign w:val="bottom"/>
          </w:tcPr>
          <w:p w14:paraId="1C14E94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0.144***</w:t>
            </w:r>
          </w:p>
        </w:tc>
      </w:tr>
      <w:tr w:rsidR="00D64649" w:rsidRPr="0078113B" w14:paraId="4209BCD8" w14:textId="77777777" w:rsidTr="00CF2502">
        <w:tc>
          <w:tcPr>
            <w:tcW w:w="3402" w:type="dxa"/>
            <w:tcBorders>
              <w:top w:val="nil"/>
              <w:left w:val="nil"/>
              <w:bottom w:val="nil"/>
              <w:right w:val="nil"/>
            </w:tcBorders>
          </w:tcPr>
          <w:p w14:paraId="6C149591"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6CBAD4D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(0.017)</w:t>
            </w:r>
          </w:p>
        </w:tc>
        <w:tc>
          <w:tcPr>
            <w:tcW w:w="1040" w:type="dxa"/>
            <w:tcBorders>
              <w:top w:val="nil"/>
              <w:left w:val="nil"/>
              <w:bottom w:val="nil"/>
              <w:right w:val="nil"/>
            </w:tcBorders>
            <w:vAlign w:val="bottom"/>
          </w:tcPr>
          <w:p w14:paraId="5683E4A4"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(0.024)</w:t>
            </w:r>
          </w:p>
        </w:tc>
        <w:tc>
          <w:tcPr>
            <w:tcW w:w="1039" w:type="dxa"/>
            <w:tcBorders>
              <w:top w:val="nil"/>
              <w:left w:val="nil"/>
              <w:bottom w:val="nil"/>
              <w:right w:val="nil"/>
            </w:tcBorders>
            <w:vAlign w:val="bottom"/>
          </w:tcPr>
          <w:p w14:paraId="1CE74BC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(0.024)</w:t>
            </w:r>
          </w:p>
        </w:tc>
        <w:tc>
          <w:tcPr>
            <w:tcW w:w="1040" w:type="dxa"/>
            <w:tcBorders>
              <w:top w:val="nil"/>
              <w:left w:val="nil"/>
              <w:bottom w:val="nil"/>
              <w:right w:val="nil"/>
            </w:tcBorders>
            <w:vAlign w:val="bottom"/>
          </w:tcPr>
          <w:p w14:paraId="705225B1"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(0.017)</w:t>
            </w:r>
          </w:p>
        </w:tc>
        <w:tc>
          <w:tcPr>
            <w:tcW w:w="1039" w:type="dxa"/>
            <w:tcBorders>
              <w:top w:val="nil"/>
              <w:left w:val="nil"/>
              <w:bottom w:val="nil"/>
              <w:right w:val="nil"/>
            </w:tcBorders>
            <w:vAlign w:val="bottom"/>
          </w:tcPr>
          <w:p w14:paraId="1A7CFDCD"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(0.024)</w:t>
            </w:r>
          </w:p>
        </w:tc>
        <w:tc>
          <w:tcPr>
            <w:tcW w:w="1040" w:type="dxa"/>
            <w:tcBorders>
              <w:top w:val="nil"/>
              <w:left w:val="nil"/>
              <w:bottom w:val="nil"/>
              <w:right w:val="nil"/>
            </w:tcBorders>
            <w:vAlign w:val="bottom"/>
          </w:tcPr>
          <w:p w14:paraId="482156B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(0.024)</w:t>
            </w:r>
          </w:p>
        </w:tc>
      </w:tr>
      <w:tr w:rsidR="00D64649" w:rsidRPr="0078113B" w14:paraId="0109820B" w14:textId="77777777" w:rsidTr="00CF2502">
        <w:tc>
          <w:tcPr>
            <w:tcW w:w="3402" w:type="dxa"/>
            <w:tcBorders>
              <w:top w:val="nil"/>
              <w:left w:val="nil"/>
              <w:bottom w:val="nil"/>
              <w:right w:val="nil"/>
            </w:tcBorders>
          </w:tcPr>
          <w:p w14:paraId="0A9E940C"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Availability for business trips</w:t>
            </w:r>
          </w:p>
        </w:tc>
        <w:tc>
          <w:tcPr>
            <w:tcW w:w="1039" w:type="dxa"/>
            <w:tcBorders>
              <w:top w:val="nil"/>
              <w:left w:val="nil"/>
              <w:bottom w:val="nil"/>
              <w:right w:val="nil"/>
            </w:tcBorders>
            <w:vAlign w:val="bottom"/>
          </w:tcPr>
          <w:p w14:paraId="00A2413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0.090***</w:t>
            </w:r>
          </w:p>
        </w:tc>
        <w:tc>
          <w:tcPr>
            <w:tcW w:w="1040" w:type="dxa"/>
            <w:tcBorders>
              <w:top w:val="nil"/>
              <w:left w:val="nil"/>
              <w:bottom w:val="nil"/>
              <w:right w:val="nil"/>
            </w:tcBorders>
            <w:vAlign w:val="bottom"/>
          </w:tcPr>
          <w:p w14:paraId="6BAC9EF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0.075***</w:t>
            </w:r>
          </w:p>
        </w:tc>
        <w:tc>
          <w:tcPr>
            <w:tcW w:w="1039" w:type="dxa"/>
            <w:tcBorders>
              <w:top w:val="nil"/>
              <w:left w:val="nil"/>
              <w:bottom w:val="nil"/>
              <w:right w:val="nil"/>
            </w:tcBorders>
            <w:vAlign w:val="bottom"/>
          </w:tcPr>
          <w:p w14:paraId="585A53B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0.109***</w:t>
            </w:r>
          </w:p>
        </w:tc>
        <w:tc>
          <w:tcPr>
            <w:tcW w:w="1040" w:type="dxa"/>
            <w:tcBorders>
              <w:top w:val="nil"/>
              <w:left w:val="nil"/>
              <w:bottom w:val="nil"/>
              <w:right w:val="nil"/>
            </w:tcBorders>
            <w:vAlign w:val="bottom"/>
          </w:tcPr>
          <w:p w14:paraId="1C4AD339"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0.088***</w:t>
            </w:r>
          </w:p>
        </w:tc>
        <w:tc>
          <w:tcPr>
            <w:tcW w:w="1039" w:type="dxa"/>
            <w:tcBorders>
              <w:top w:val="nil"/>
              <w:left w:val="nil"/>
              <w:bottom w:val="nil"/>
              <w:right w:val="nil"/>
            </w:tcBorders>
            <w:vAlign w:val="bottom"/>
          </w:tcPr>
          <w:p w14:paraId="7D96049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0.075***</w:t>
            </w:r>
          </w:p>
        </w:tc>
        <w:tc>
          <w:tcPr>
            <w:tcW w:w="1040" w:type="dxa"/>
            <w:tcBorders>
              <w:top w:val="nil"/>
              <w:left w:val="nil"/>
              <w:bottom w:val="nil"/>
              <w:right w:val="nil"/>
            </w:tcBorders>
            <w:vAlign w:val="bottom"/>
          </w:tcPr>
          <w:p w14:paraId="7F3A778E"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0.105***</w:t>
            </w:r>
          </w:p>
        </w:tc>
      </w:tr>
      <w:tr w:rsidR="00D64649" w:rsidRPr="0078113B" w14:paraId="26272518" w14:textId="77777777" w:rsidTr="00CF2502">
        <w:tc>
          <w:tcPr>
            <w:tcW w:w="3402" w:type="dxa"/>
            <w:tcBorders>
              <w:top w:val="nil"/>
              <w:left w:val="nil"/>
              <w:bottom w:val="nil"/>
              <w:right w:val="nil"/>
            </w:tcBorders>
          </w:tcPr>
          <w:p w14:paraId="64CE926C"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63D41C70"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(0.017)</w:t>
            </w:r>
          </w:p>
        </w:tc>
        <w:tc>
          <w:tcPr>
            <w:tcW w:w="1040" w:type="dxa"/>
            <w:tcBorders>
              <w:top w:val="nil"/>
              <w:left w:val="nil"/>
              <w:bottom w:val="nil"/>
              <w:right w:val="nil"/>
            </w:tcBorders>
            <w:vAlign w:val="bottom"/>
          </w:tcPr>
          <w:p w14:paraId="5B53ECDF"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(0.023)</w:t>
            </w:r>
          </w:p>
        </w:tc>
        <w:tc>
          <w:tcPr>
            <w:tcW w:w="1039" w:type="dxa"/>
            <w:tcBorders>
              <w:top w:val="nil"/>
              <w:left w:val="nil"/>
              <w:bottom w:val="nil"/>
              <w:right w:val="nil"/>
            </w:tcBorders>
            <w:vAlign w:val="bottom"/>
          </w:tcPr>
          <w:p w14:paraId="3DB30E5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(0.024)</w:t>
            </w:r>
          </w:p>
        </w:tc>
        <w:tc>
          <w:tcPr>
            <w:tcW w:w="1040" w:type="dxa"/>
            <w:tcBorders>
              <w:top w:val="nil"/>
              <w:left w:val="nil"/>
              <w:bottom w:val="nil"/>
              <w:right w:val="nil"/>
            </w:tcBorders>
            <w:vAlign w:val="bottom"/>
          </w:tcPr>
          <w:p w14:paraId="1939E597"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(0.017)</w:t>
            </w:r>
          </w:p>
        </w:tc>
        <w:tc>
          <w:tcPr>
            <w:tcW w:w="1039" w:type="dxa"/>
            <w:tcBorders>
              <w:top w:val="nil"/>
              <w:left w:val="nil"/>
              <w:bottom w:val="nil"/>
              <w:right w:val="nil"/>
            </w:tcBorders>
            <w:vAlign w:val="bottom"/>
          </w:tcPr>
          <w:p w14:paraId="5D299E5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(0.023)</w:t>
            </w:r>
          </w:p>
        </w:tc>
        <w:tc>
          <w:tcPr>
            <w:tcW w:w="1040" w:type="dxa"/>
            <w:tcBorders>
              <w:top w:val="nil"/>
              <w:left w:val="nil"/>
              <w:bottom w:val="nil"/>
              <w:right w:val="nil"/>
            </w:tcBorders>
            <w:vAlign w:val="bottom"/>
          </w:tcPr>
          <w:p w14:paraId="20ACF45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(0.024)</w:t>
            </w:r>
          </w:p>
        </w:tc>
      </w:tr>
      <w:tr w:rsidR="00D64649" w:rsidRPr="0078113B" w14:paraId="0EB0C9C1" w14:textId="77777777" w:rsidTr="00CF2502">
        <w:tc>
          <w:tcPr>
            <w:tcW w:w="3402" w:type="dxa"/>
            <w:tcBorders>
              <w:top w:val="nil"/>
              <w:left w:val="nil"/>
              <w:bottom w:val="nil"/>
              <w:right w:val="nil"/>
            </w:tcBorders>
          </w:tcPr>
          <w:p w14:paraId="46C6E1FC"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Readiness to move to another city</w:t>
            </w:r>
          </w:p>
        </w:tc>
        <w:tc>
          <w:tcPr>
            <w:tcW w:w="1039" w:type="dxa"/>
            <w:tcBorders>
              <w:top w:val="nil"/>
              <w:left w:val="nil"/>
              <w:bottom w:val="nil"/>
              <w:right w:val="nil"/>
            </w:tcBorders>
            <w:vAlign w:val="bottom"/>
          </w:tcPr>
          <w:p w14:paraId="56D85956"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0.118***</w:t>
            </w:r>
          </w:p>
        </w:tc>
        <w:tc>
          <w:tcPr>
            <w:tcW w:w="1040" w:type="dxa"/>
            <w:tcBorders>
              <w:top w:val="nil"/>
              <w:left w:val="nil"/>
              <w:bottom w:val="nil"/>
              <w:right w:val="nil"/>
            </w:tcBorders>
            <w:vAlign w:val="bottom"/>
          </w:tcPr>
          <w:p w14:paraId="44E81B7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0.113***</w:t>
            </w:r>
          </w:p>
        </w:tc>
        <w:tc>
          <w:tcPr>
            <w:tcW w:w="1039" w:type="dxa"/>
            <w:tcBorders>
              <w:top w:val="nil"/>
              <w:left w:val="nil"/>
              <w:bottom w:val="nil"/>
              <w:right w:val="nil"/>
            </w:tcBorders>
            <w:vAlign w:val="bottom"/>
          </w:tcPr>
          <w:p w14:paraId="1771D12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0.111***</w:t>
            </w:r>
          </w:p>
        </w:tc>
        <w:tc>
          <w:tcPr>
            <w:tcW w:w="1040" w:type="dxa"/>
            <w:tcBorders>
              <w:top w:val="nil"/>
              <w:left w:val="nil"/>
              <w:bottom w:val="nil"/>
              <w:right w:val="nil"/>
            </w:tcBorders>
            <w:vAlign w:val="bottom"/>
          </w:tcPr>
          <w:p w14:paraId="0470F4B3"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0.116***</w:t>
            </w:r>
          </w:p>
        </w:tc>
        <w:tc>
          <w:tcPr>
            <w:tcW w:w="1039" w:type="dxa"/>
            <w:tcBorders>
              <w:top w:val="nil"/>
              <w:left w:val="nil"/>
              <w:bottom w:val="nil"/>
              <w:right w:val="nil"/>
            </w:tcBorders>
            <w:vAlign w:val="bottom"/>
          </w:tcPr>
          <w:p w14:paraId="7C68275A"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0.112***</w:t>
            </w:r>
          </w:p>
        </w:tc>
        <w:tc>
          <w:tcPr>
            <w:tcW w:w="1040" w:type="dxa"/>
            <w:tcBorders>
              <w:top w:val="nil"/>
              <w:left w:val="nil"/>
              <w:bottom w:val="nil"/>
              <w:right w:val="nil"/>
            </w:tcBorders>
            <w:vAlign w:val="bottom"/>
          </w:tcPr>
          <w:p w14:paraId="42BAADF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0.109***</w:t>
            </w:r>
          </w:p>
        </w:tc>
      </w:tr>
      <w:tr w:rsidR="00D64649" w:rsidRPr="0078113B" w14:paraId="48E0927D" w14:textId="77777777" w:rsidTr="00CF2502">
        <w:tc>
          <w:tcPr>
            <w:tcW w:w="3402" w:type="dxa"/>
            <w:tcBorders>
              <w:top w:val="nil"/>
              <w:left w:val="nil"/>
              <w:bottom w:val="nil"/>
              <w:right w:val="nil"/>
            </w:tcBorders>
          </w:tcPr>
          <w:p w14:paraId="2F38AF9B" w14:textId="77777777" w:rsidR="00D64649" w:rsidRPr="0078113B" w:rsidRDefault="00D64649" w:rsidP="00D64649">
            <w:pPr>
              <w:widowControl w:val="0"/>
              <w:autoSpaceDE w:val="0"/>
              <w:autoSpaceDN w:val="0"/>
              <w:adjustRightInd w:val="0"/>
              <w:spacing w:before="0"/>
              <w:rPr>
                <w:rFonts w:cstheme="minorHAnsi"/>
                <w:sz w:val="20"/>
                <w:szCs w:val="20"/>
              </w:rPr>
            </w:pPr>
          </w:p>
        </w:tc>
        <w:tc>
          <w:tcPr>
            <w:tcW w:w="1039" w:type="dxa"/>
            <w:tcBorders>
              <w:top w:val="nil"/>
              <w:left w:val="nil"/>
              <w:bottom w:val="nil"/>
              <w:right w:val="nil"/>
            </w:tcBorders>
            <w:vAlign w:val="bottom"/>
          </w:tcPr>
          <w:p w14:paraId="2CB59385"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(0.020)</w:t>
            </w:r>
          </w:p>
        </w:tc>
        <w:tc>
          <w:tcPr>
            <w:tcW w:w="1040" w:type="dxa"/>
            <w:tcBorders>
              <w:top w:val="nil"/>
              <w:left w:val="nil"/>
              <w:bottom w:val="nil"/>
              <w:right w:val="nil"/>
            </w:tcBorders>
            <w:vAlign w:val="bottom"/>
          </w:tcPr>
          <w:p w14:paraId="4CE9105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(0.034)</w:t>
            </w:r>
          </w:p>
        </w:tc>
        <w:tc>
          <w:tcPr>
            <w:tcW w:w="1039" w:type="dxa"/>
            <w:tcBorders>
              <w:top w:val="nil"/>
              <w:left w:val="nil"/>
              <w:bottom w:val="nil"/>
              <w:right w:val="nil"/>
            </w:tcBorders>
            <w:vAlign w:val="bottom"/>
          </w:tcPr>
          <w:p w14:paraId="2425785C"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(0.025)</w:t>
            </w:r>
          </w:p>
        </w:tc>
        <w:tc>
          <w:tcPr>
            <w:tcW w:w="1040" w:type="dxa"/>
            <w:tcBorders>
              <w:top w:val="nil"/>
              <w:left w:val="nil"/>
              <w:bottom w:val="nil"/>
              <w:right w:val="nil"/>
            </w:tcBorders>
            <w:vAlign w:val="bottom"/>
          </w:tcPr>
          <w:p w14:paraId="4C871A38"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(0.020)</w:t>
            </w:r>
          </w:p>
        </w:tc>
        <w:tc>
          <w:tcPr>
            <w:tcW w:w="1039" w:type="dxa"/>
            <w:tcBorders>
              <w:top w:val="nil"/>
              <w:left w:val="nil"/>
              <w:bottom w:val="nil"/>
              <w:right w:val="nil"/>
            </w:tcBorders>
            <w:vAlign w:val="bottom"/>
          </w:tcPr>
          <w:p w14:paraId="7605A40B"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(0.034)</w:t>
            </w:r>
          </w:p>
        </w:tc>
        <w:tc>
          <w:tcPr>
            <w:tcW w:w="1040" w:type="dxa"/>
            <w:tcBorders>
              <w:top w:val="nil"/>
              <w:left w:val="nil"/>
              <w:bottom w:val="nil"/>
              <w:right w:val="nil"/>
            </w:tcBorders>
            <w:vAlign w:val="bottom"/>
          </w:tcPr>
          <w:p w14:paraId="517321B2" w14:textId="77777777" w:rsidR="00D64649" w:rsidRPr="0078113B" w:rsidRDefault="00D64649" w:rsidP="00D64649">
            <w:pPr>
              <w:widowControl w:val="0"/>
              <w:autoSpaceDE w:val="0"/>
              <w:autoSpaceDN w:val="0"/>
              <w:adjustRightInd w:val="0"/>
              <w:spacing w:before="0"/>
              <w:jc w:val="center"/>
              <w:rPr>
                <w:rFonts w:cstheme="minorHAnsi"/>
                <w:color w:val="000000"/>
                <w:sz w:val="20"/>
                <w:szCs w:val="20"/>
              </w:rPr>
            </w:pPr>
            <w:r w:rsidRPr="0078113B">
              <w:rPr>
                <w:rFonts w:cstheme="minorHAnsi"/>
                <w:color w:val="000000"/>
                <w:sz w:val="20"/>
                <w:szCs w:val="20"/>
              </w:rPr>
              <w:t>(0.025)</w:t>
            </w:r>
          </w:p>
        </w:tc>
      </w:tr>
      <w:tr w:rsidR="00D64649" w:rsidRPr="0078113B" w14:paraId="6E2BAC0C" w14:textId="77777777" w:rsidTr="00CF2502">
        <w:tc>
          <w:tcPr>
            <w:tcW w:w="3402" w:type="dxa"/>
            <w:tcBorders>
              <w:top w:val="single" w:sz="4" w:space="0" w:color="auto"/>
              <w:left w:val="nil"/>
              <w:bottom w:val="nil"/>
              <w:right w:val="nil"/>
            </w:tcBorders>
          </w:tcPr>
          <w:p w14:paraId="6A60A3AB"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N</w:t>
            </w:r>
          </w:p>
        </w:tc>
        <w:tc>
          <w:tcPr>
            <w:tcW w:w="1039" w:type="dxa"/>
            <w:tcBorders>
              <w:top w:val="single" w:sz="4" w:space="0" w:color="auto"/>
              <w:left w:val="nil"/>
              <w:bottom w:val="nil"/>
              <w:right w:val="nil"/>
            </w:tcBorders>
            <w:vAlign w:val="bottom"/>
          </w:tcPr>
          <w:p w14:paraId="1873C44B"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3,063</w:t>
            </w:r>
          </w:p>
        </w:tc>
        <w:tc>
          <w:tcPr>
            <w:tcW w:w="1040" w:type="dxa"/>
            <w:tcBorders>
              <w:top w:val="single" w:sz="4" w:space="0" w:color="auto"/>
              <w:left w:val="nil"/>
              <w:bottom w:val="nil"/>
              <w:right w:val="nil"/>
            </w:tcBorders>
            <w:vAlign w:val="bottom"/>
          </w:tcPr>
          <w:p w14:paraId="2C3E3DAD"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1,328</w:t>
            </w:r>
          </w:p>
        </w:tc>
        <w:tc>
          <w:tcPr>
            <w:tcW w:w="1039" w:type="dxa"/>
            <w:tcBorders>
              <w:top w:val="single" w:sz="4" w:space="0" w:color="auto"/>
              <w:left w:val="nil"/>
              <w:bottom w:val="nil"/>
              <w:right w:val="nil"/>
            </w:tcBorders>
            <w:vAlign w:val="bottom"/>
          </w:tcPr>
          <w:p w14:paraId="6AD0D3D0"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1,735</w:t>
            </w:r>
          </w:p>
        </w:tc>
        <w:tc>
          <w:tcPr>
            <w:tcW w:w="1040" w:type="dxa"/>
            <w:tcBorders>
              <w:top w:val="single" w:sz="4" w:space="0" w:color="auto"/>
              <w:left w:val="nil"/>
              <w:bottom w:val="nil"/>
              <w:right w:val="nil"/>
            </w:tcBorders>
            <w:vAlign w:val="bottom"/>
          </w:tcPr>
          <w:p w14:paraId="685AB4B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3,063</w:t>
            </w:r>
          </w:p>
        </w:tc>
        <w:tc>
          <w:tcPr>
            <w:tcW w:w="1039" w:type="dxa"/>
            <w:tcBorders>
              <w:top w:val="single" w:sz="4" w:space="0" w:color="auto"/>
              <w:left w:val="nil"/>
              <w:bottom w:val="nil"/>
              <w:right w:val="nil"/>
            </w:tcBorders>
            <w:vAlign w:val="bottom"/>
          </w:tcPr>
          <w:p w14:paraId="7AD3CEE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1,328</w:t>
            </w:r>
          </w:p>
        </w:tc>
        <w:tc>
          <w:tcPr>
            <w:tcW w:w="1040" w:type="dxa"/>
            <w:tcBorders>
              <w:top w:val="single" w:sz="4" w:space="0" w:color="auto"/>
              <w:left w:val="nil"/>
              <w:bottom w:val="nil"/>
              <w:right w:val="nil"/>
            </w:tcBorders>
            <w:vAlign w:val="bottom"/>
          </w:tcPr>
          <w:p w14:paraId="2AB49E5A"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1,735</w:t>
            </w:r>
          </w:p>
        </w:tc>
      </w:tr>
      <w:tr w:rsidR="00D64649" w:rsidRPr="0078113B" w14:paraId="4B076BAB" w14:textId="77777777" w:rsidTr="00CF2502">
        <w:tc>
          <w:tcPr>
            <w:tcW w:w="3402" w:type="dxa"/>
            <w:tcBorders>
              <w:top w:val="nil"/>
              <w:left w:val="nil"/>
              <w:bottom w:val="single" w:sz="4" w:space="0" w:color="auto"/>
              <w:right w:val="nil"/>
            </w:tcBorders>
          </w:tcPr>
          <w:p w14:paraId="1C7441E5" w14:textId="77777777" w:rsidR="00D64649" w:rsidRPr="0078113B" w:rsidRDefault="00D64649" w:rsidP="00D64649">
            <w:pPr>
              <w:widowControl w:val="0"/>
              <w:autoSpaceDE w:val="0"/>
              <w:autoSpaceDN w:val="0"/>
              <w:adjustRightInd w:val="0"/>
              <w:spacing w:before="0"/>
              <w:rPr>
                <w:rFonts w:cstheme="minorHAnsi"/>
                <w:sz w:val="20"/>
                <w:szCs w:val="20"/>
              </w:rPr>
            </w:pPr>
            <w:r w:rsidRPr="0078113B">
              <w:rPr>
                <w:rFonts w:cstheme="minorHAnsi"/>
                <w:sz w:val="20"/>
                <w:szCs w:val="20"/>
              </w:rPr>
              <w:t>R</w:t>
            </w:r>
            <w:r w:rsidRPr="0078113B">
              <w:rPr>
                <w:rFonts w:cstheme="minorHAnsi"/>
                <w:sz w:val="20"/>
                <w:szCs w:val="20"/>
                <w:vertAlign w:val="superscript"/>
              </w:rPr>
              <w:t>2</w:t>
            </w:r>
          </w:p>
        </w:tc>
        <w:tc>
          <w:tcPr>
            <w:tcW w:w="1039" w:type="dxa"/>
            <w:tcBorders>
              <w:top w:val="nil"/>
              <w:left w:val="nil"/>
              <w:bottom w:val="single" w:sz="4" w:space="0" w:color="auto"/>
              <w:right w:val="nil"/>
            </w:tcBorders>
            <w:vAlign w:val="bottom"/>
          </w:tcPr>
          <w:p w14:paraId="3310B9A5"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0.395</w:t>
            </w:r>
          </w:p>
        </w:tc>
        <w:tc>
          <w:tcPr>
            <w:tcW w:w="1040" w:type="dxa"/>
            <w:tcBorders>
              <w:top w:val="nil"/>
              <w:left w:val="nil"/>
              <w:bottom w:val="single" w:sz="4" w:space="0" w:color="auto"/>
              <w:right w:val="nil"/>
            </w:tcBorders>
            <w:vAlign w:val="bottom"/>
          </w:tcPr>
          <w:p w14:paraId="23AEC569"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0.342</w:t>
            </w:r>
          </w:p>
        </w:tc>
        <w:tc>
          <w:tcPr>
            <w:tcW w:w="1039" w:type="dxa"/>
            <w:tcBorders>
              <w:top w:val="nil"/>
              <w:left w:val="nil"/>
              <w:bottom w:val="single" w:sz="4" w:space="0" w:color="auto"/>
              <w:right w:val="nil"/>
            </w:tcBorders>
            <w:vAlign w:val="bottom"/>
          </w:tcPr>
          <w:p w14:paraId="02D81827"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0.410</w:t>
            </w:r>
          </w:p>
        </w:tc>
        <w:tc>
          <w:tcPr>
            <w:tcW w:w="1040" w:type="dxa"/>
            <w:tcBorders>
              <w:top w:val="nil"/>
              <w:left w:val="nil"/>
              <w:bottom w:val="single" w:sz="4" w:space="0" w:color="auto"/>
              <w:right w:val="nil"/>
            </w:tcBorders>
            <w:vAlign w:val="bottom"/>
          </w:tcPr>
          <w:p w14:paraId="37233CD3"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0.396</w:t>
            </w:r>
          </w:p>
        </w:tc>
        <w:tc>
          <w:tcPr>
            <w:tcW w:w="1039" w:type="dxa"/>
            <w:tcBorders>
              <w:top w:val="nil"/>
              <w:left w:val="nil"/>
              <w:bottom w:val="single" w:sz="4" w:space="0" w:color="auto"/>
              <w:right w:val="nil"/>
            </w:tcBorders>
            <w:vAlign w:val="bottom"/>
          </w:tcPr>
          <w:p w14:paraId="5DE14E62"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0.342</w:t>
            </w:r>
          </w:p>
        </w:tc>
        <w:tc>
          <w:tcPr>
            <w:tcW w:w="1040" w:type="dxa"/>
            <w:tcBorders>
              <w:top w:val="nil"/>
              <w:left w:val="nil"/>
              <w:bottom w:val="single" w:sz="4" w:space="0" w:color="auto"/>
              <w:right w:val="nil"/>
            </w:tcBorders>
            <w:vAlign w:val="bottom"/>
          </w:tcPr>
          <w:p w14:paraId="2788ED61" w14:textId="77777777" w:rsidR="00D64649" w:rsidRPr="0078113B" w:rsidRDefault="00D64649" w:rsidP="00D64649">
            <w:pPr>
              <w:widowControl w:val="0"/>
              <w:autoSpaceDE w:val="0"/>
              <w:autoSpaceDN w:val="0"/>
              <w:adjustRightInd w:val="0"/>
              <w:spacing w:before="0"/>
              <w:jc w:val="center"/>
              <w:rPr>
                <w:rFonts w:cstheme="minorHAnsi"/>
                <w:sz w:val="20"/>
                <w:szCs w:val="20"/>
              </w:rPr>
            </w:pPr>
            <w:r w:rsidRPr="0078113B">
              <w:rPr>
                <w:rFonts w:cstheme="minorHAnsi"/>
                <w:color w:val="000000"/>
                <w:sz w:val="20"/>
                <w:szCs w:val="20"/>
              </w:rPr>
              <w:t>0.413</w:t>
            </w:r>
          </w:p>
        </w:tc>
      </w:tr>
    </w:tbl>
    <w:p w14:paraId="76BA5942" w14:textId="77777777" w:rsidR="002214BA" w:rsidRPr="002E29DE" w:rsidRDefault="00F4152D" w:rsidP="00532DF9">
      <w:pPr>
        <w:widowControl w:val="0"/>
        <w:autoSpaceDE w:val="0"/>
        <w:autoSpaceDN w:val="0"/>
        <w:adjustRightInd w:val="0"/>
        <w:jc w:val="both"/>
        <w:rPr>
          <w:rFonts w:cstheme="minorHAnsi"/>
          <w:i/>
          <w:sz w:val="20"/>
          <w:szCs w:val="20"/>
        </w:rPr>
      </w:pPr>
      <w:r w:rsidRPr="002E29DE">
        <w:rPr>
          <w:rFonts w:cstheme="minorHAnsi"/>
          <w:i/>
          <w:sz w:val="20"/>
          <w:szCs w:val="20"/>
        </w:rPr>
        <w:t xml:space="preserve">Note: Sample includes job seekers reporting desired wage of at least 2000 MDL. Dependent variable is the logarithm of desired wage. </w:t>
      </w:r>
      <w:r w:rsidR="0003612C" w:rsidRPr="002E29DE">
        <w:rPr>
          <w:rFonts w:cstheme="minorHAnsi"/>
          <w:i/>
          <w:sz w:val="20"/>
          <w:szCs w:val="20"/>
        </w:rPr>
        <w:t>Standard errors in parentheses</w:t>
      </w:r>
      <w:r w:rsidRPr="002E29DE">
        <w:rPr>
          <w:rFonts w:cstheme="minorHAnsi"/>
          <w:i/>
          <w:sz w:val="20"/>
          <w:szCs w:val="20"/>
        </w:rPr>
        <w:t xml:space="preserve">. </w:t>
      </w:r>
      <w:proofErr w:type="gramStart"/>
      <w:r w:rsidR="0003612C" w:rsidRPr="002E29DE">
        <w:rPr>
          <w:rFonts w:cstheme="minorHAnsi"/>
          <w:i/>
          <w:iCs/>
          <w:sz w:val="20"/>
          <w:szCs w:val="20"/>
        </w:rPr>
        <w:t>p</w:t>
      </w:r>
      <w:proofErr w:type="gramEnd"/>
      <w:r w:rsidR="0003612C" w:rsidRPr="002E29DE">
        <w:rPr>
          <w:rFonts w:cstheme="minorHAnsi"/>
          <w:i/>
          <w:sz w:val="20"/>
          <w:szCs w:val="20"/>
        </w:rPr>
        <w:t xml:space="preserve"> &lt; 0.10, ** </w:t>
      </w:r>
      <w:r w:rsidR="0003612C" w:rsidRPr="002E29DE">
        <w:rPr>
          <w:rFonts w:cstheme="minorHAnsi"/>
          <w:i/>
          <w:iCs/>
          <w:sz w:val="20"/>
          <w:szCs w:val="20"/>
        </w:rPr>
        <w:t>p</w:t>
      </w:r>
      <w:r w:rsidR="0003612C" w:rsidRPr="002E29DE">
        <w:rPr>
          <w:rFonts w:cstheme="minorHAnsi"/>
          <w:i/>
          <w:sz w:val="20"/>
          <w:szCs w:val="20"/>
        </w:rPr>
        <w:t xml:space="preserve"> &lt; 0.05, *** </w:t>
      </w:r>
      <w:r w:rsidR="0003612C" w:rsidRPr="002E29DE">
        <w:rPr>
          <w:rFonts w:cstheme="minorHAnsi"/>
          <w:i/>
          <w:iCs/>
          <w:sz w:val="20"/>
          <w:szCs w:val="20"/>
        </w:rPr>
        <w:t>p</w:t>
      </w:r>
      <w:r w:rsidR="0003612C" w:rsidRPr="002E29DE">
        <w:rPr>
          <w:rFonts w:cstheme="minorHAnsi"/>
          <w:i/>
          <w:sz w:val="20"/>
          <w:szCs w:val="20"/>
        </w:rPr>
        <w:t xml:space="preserve"> &lt; 0.01</w:t>
      </w:r>
      <w:r w:rsidRPr="002E29DE">
        <w:rPr>
          <w:rFonts w:cstheme="minorHAnsi"/>
          <w:i/>
          <w:sz w:val="20"/>
          <w:szCs w:val="20"/>
        </w:rPr>
        <w:t>. All variable</w:t>
      </w:r>
      <w:r w:rsidR="00E91DF3" w:rsidRPr="002E29DE">
        <w:rPr>
          <w:rFonts w:cstheme="minorHAnsi"/>
          <w:i/>
          <w:sz w:val="20"/>
          <w:szCs w:val="20"/>
        </w:rPr>
        <w:t>s</w:t>
      </w:r>
      <w:r w:rsidRPr="002E29DE">
        <w:rPr>
          <w:rFonts w:cstheme="minorHAnsi"/>
          <w:i/>
          <w:sz w:val="20"/>
          <w:szCs w:val="20"/>
        </w:rPr>
        <w:t xml:space="preserve"> except for </w:t>
      </w:r>
      <w:r w:rsidR="003F5F9C" w:rsidRPr="002E29DE">
        <w:rPr>
          <w:rFonts w:cstheme="minorHAnsi"/>
          <w:i/>
          <w:sz w:val="20"/>
          <w:szCs w:val="20"/>
        </w:rPr>
        <w:t xml:space="preserve">number of languages, </w:t>
      </w:r>
      <w:r w:rsidRPr="002E29DE">
        <w:rPr>
          <w:rFonts w:cstheme="minorHAnsi"/>
          <w:i/>
          <w:sz w:val="20"/>
          <w:szCs w:val="20"/>
        </w:rPr>
        <w:t>experience</w:t>
      </w:r>
      <w:r w:rsidR="00E91DF3" w:rsidRPr="002E29DE">
        <w:rPr>
          <w:rFonts w:cstheme="minorHAnsi"/>
          <w:i/>
          <w:sz w:val="20"/>
          <w:szCs w:val="20"/>
        </w:rPr>
        <w:t>,</w:t>
      </w:r>
      <w:r w:rsidRPr="002E29DE">
        <w:rPr>
          <w:rFonts w:cstheme="minorHAnsi"/>
          <w:i/>
          <w:sz w:val="20"/>
          <w:szCs w:val="20"/>
        </w:rPr>
        <w:t xml:space="preserve"> </w:t>
      </w:r>
      <w:r w:rsidR="00E91DF3" w:rsidRPr="002E29DE">
        <w:rPr>
          <w:rFonts w:cstheme="minorHAnsi"/>
          <w:i/>
          <w:sz w:val="20"/>
          <w:szCs w:val="20"/>
        </w:rPr>
        <w:t xml:space="preserve">and number of employment episodes </w:t>
      </w:r>
      <w:r w:rsidRPr="002E29DE">
        <w:rPr>
          <w:rFonts w:cstheme="minorHAnsi"/>
          <w:i/>
          <w:sz w:val="20"/>
          <w:szCs w:val="20"/>
        </w:rPr>
        <w:t>are dummy variables. Regressions also include sector</w:t>
      </w:r>
      <w:r w:rsidR="00532DF9" w:rsidRPr="002E29DE">
        <w:rPr>
          <w:rFonts w:cstheme="minorHAnsi"/>
          <w:i/>
          <w:sz w:val="20"/>
          <w:szCs w:val="20"/>
        </w:rPr>
        <w:t xml:space="preserve"> and occupation </w:t>
      </w:r>
      <w:r w:rsidRPr="002E29DE">
        <w:rPr>
          <w:rFonts w:cstheme="minorHAnsi"/>
          <w:i/>
          <w:sz w:val="20"/>
          <w:szCs w:val="20"/>
        </w:rPr>
        <w:t xml:space="preserve">dummies and a constant term. Reference categories: Male; Unmarried; With no children; </w:t>
      </w:r>
      <w:r w:rsidR="00E91DF3" w:rsidRPr="002E29DE">
        <w:rPr>
          <w:rFonts w:cstheme="minorHAnsi"/>
          <w:i/>
          <w:sz w:val="20"/>
          <w:szCs w:val="20"/>
        </w:rPr>
        <w:t xml:space="preserve">Other city; </w:t>
      </w:r>
      <w:r w:rsidRPr="002E29DE">
        <w:rPr>
          <w:rFonts w:cstheme="minorHAnsi"/>
          <w:i/>
          <w:sz w:val="20"/>
          <w:szCs w:val="20"/>
        </w:rPr>
        <w:t xml:space="preserve">Student; Russian or other language is native; </w:t>
      </w:r>
      <w:r w:rsidR="003F5F9C" w:rsidRPr="002E29DE">
        <w:rPr>
          <w:rFonts w:cstheme="minorHAnsi"/>
          <w:i/>
          <w:sz w:val="20"/>
          <w:szCs w:val="20"/>
        </w:rPr>
        <w:t>Joblessness of up to 6 months; Looking for p</w:t>
      </w:r>
      <w:r w:rsidRPr="002E29DE">
        <w:rPr>
          <w:rFonts w:cstheme="minorHAnsi"/>
          <w:i/>
          <w:sz w:val="20"/>
          <w:szCs w:val="20"/>
        </w:rPr>
        <w:t>art-time, shift or distance work</w:t>
      </w:r>
      <w:r w:rsidR="003F5F9C" w:rsidRPr="002E29DE">
        <w:rPr>
          <w:rFonts w:cstheme="minorHAnsi"/>
          <w:i/>
          <w:sz w:val="20"/>
          <w:szCs w:val="20"/>
        </w:rPr>
        <w:t>; Non-available for business trips; Unready to move.</w:t>
      </w:r>
    </w:p>
    <w:p w14:paraId="65FF2685" w14:textId="77777777" w:rsidR="002214BA" w:rsidRPr="0078113B" w:rsidRDefault="002214BA">
      <w:pPr>
        <w:spacing w:before="0" w:after="160" w:line="259" w:lineRule="auto"/>
        <w:rPr>
          <w:rFonts w:ascii="Times New Roman" w:hAnsi="Times New Roman" w:cs="Times New Roman"/>
          <w:i/>
          <w:sz w:val="20"/>
          <w:szCs w:val="20"/>
        </w:rPr>
      </w:pPr>
      <w:r w:rsidRPr="0078113B">
        <w:rPr>
          <w:rFonts w:ascii="Times New Roman" w:hAnsi="Times New Roman" w:cs="Times New Roman"/>
          <w:i/>
          <w:sz w:val="20"/>
          <w:szCs w:val="20"/>
        </w:rPr>
        <w:br w:type="page"/>
      </w:r>
    </w:p>
    <w:p w14:paraId="0875ABBD" w14:textId="2500B87A" w:rsidR="002214BA" w:rsidRPr="0078113B" w:rsidRDefault="00A038A5" w:rsidP="002214BA">
      <w:pPr>
        <w:pStyle w:val="ad"/>
        <w:jc w:val="left"/>
        <w:rPr>
          <w:rFonts w:ascii="NewCaledoniaLTStd" w:hAnsi="NewCaledoniaLTStd" w:cs="NewCaledoniaLTStd"/>
          <w:sz w:val="21"/>
          <w:szCs w:val="21"/>
          <w:lang w:val="en-US"/>
        </w:rPr>
      </w:pPr>
      <w:bookmarkStart w:id="170" w:name="_Ref526181056"/>
      <w:bookmarkStart w:id="171" w:name="_Toc533185144"/>
      <w:r>
        <w:lastRenderedPageBreak/>
        <w:t>Table A-</w:t>
      </w:r>
      <w:r>
        <w:fldChar w:fldCharType="begin"/>
      </w:r>
      <w:r>
        <w:instrText xml:space="preserve"> SEQ Table_A- \* ARABIC </w:instrText>
      </w:r>
      <w:r>
        <w:fldChar w:fldCharType="separate"/>
      </w:r>
      <w:r>
        <w:rPr>
          <w:noProof/>
        </w:rPr>
        <w:t>14</w:t>
      </w:r>
      <w:r>
        <w:fldChar w:fldCharType="end"/>
      </w:r>
      <w:bookmarkEnd w:id="170"/>
      <w:r w:rsidR="002214BA" w:rsidRPr="0078113B">
        <w:rPr>
          <w:lang w:val="en-US"/>
        </w:rPr>
        <w:t xml:space="preserve">: Oaxaca-Blinder decomposition of gender gap in log salary expected by job </w:t>
      </w:r>
      <w:r w:rsidR="00C13C86" w:rsidRPr="0078113B">
        <w:rPr>
          <w:lang w:val="en-US"/>
        </w:rPr>
        <w:t>seekers</w:t>
      </w:r>
      <w:r w:rsidR="002214BA" w:rsidRPr="0078113B">
        <w:rPr>
          <w:lang w:val="en-US"/>
        </w:rPr>
        <w:t>, 2018</w:t>
      </w:r>
      <w:bookmarkEnd w:id="171"/>
    </w:p>
    <w:tbl>
      <w:tblPr>
        <w:tblpPr w:leftFromText="180" w:rightFromText="180" w:vertAnchor="text" w:tblpY="1"/>
        <w:tblOverlap w:val="never"/>
        <w:tblW w:w="7371" w:type="dxa"/>
        <w:tblLayout w:type="fixed"/>
        <w:tblLook w:val="04A0" w:firstRow="1" w:lastRow="0" w:firstColumn="1" w:lastColumn="0" w:noHBand="0" w:noVBand="1"/>
      </w:tblPr>
      <w:tblGrid>
        <w:gridCol w:w="3544"/>
        <w:gridCol w:w="1417"/>
        <w:gridCol w:w="2410"/>
      </w:tblGrid>
      <w:tr w:rsidR="002214BA" w:rsidRPr="0078113B" w14:paraId="65B0479F" w14:textId="77777777" w:rsidTr="006A52DF">
        <w:tc>
          <w:tcPr>
            <w:tcW w:w="3544" w:type="dxa"/>
            <w:tcBorders>
              <w:top w:val="single" w:sz="4" w:space="0" w:color="auto"/>
              <w:left w:val="nil"/>
              <w:bottom w:val="single" w:sz="4" w:space="0" w:color="auto"/>
              <w:right w:val="nil"/>
            </w:tcBorders>
            <w:shd w:val="clear" w:color="auto" w:fill="auto"/>
            <w:noWrap/>
            <w:vAlign w:val="bottom"/>
          </w:tcPr>
          <w:p w14:paraId="254A28F6" w14:textId="77777777" w:rsidR="002214BA" w:rsidRPr="0078113B" w:rsidRDefault="002214BA" w:rsidP="00B16937">
            <w:pPr>
              <w:spacing w:before="0"/>
              <w:rPr>
                <w:rFonts w:eastAsia="Times New Roman" w:cstheme="minorHAnsi"/>
                <w:i/>
                <w:iCs/>
                <w:color w:val="000000"/>
                <w:sz w:val="20"/>
                <w:szCs w:val="20"/>
                <w:lang w:val="en-US"/>
              </w:rPr>
            </w:pPr>
          </w:p>
        </w:tc>
        <w:tc>
          <w:tcPr>
            <w:tcW w:w="1417" w:type="dxa"/>
            <w:tcBorders>
              <w:top w:val="single" w:sz="4" w:space="0" w:color="auto"/>
              <w:left w:val="nil"/>
              <w:bottom w:val="single" w:sz="4" w:space="0" w:color="auto"/>
              <w:right w:val="nil"/>
            </w:tcBorders>
            <w:shd w:val="clear" w:color="auto" w:fill="auto"/>
            <w:noWrap/>
            <w:vAlign w:val="bottom"/>
          </w:tcPr>
          <w:p w14:paraId="29121ACB" w14:textId="77777777" w:rsidR="002214BA" w:rsidRPr="0078113B" w:rsidRDefault="002214BA"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log points</w:t>
            </w:r>
          </w:p>
        </w:tc>
        <w:tc>
          <w:tcPr>
            <w:tcW w:w="2410" w:type="dxa"/>
            <w:tcBorders>
              <w:top w:val="single" w:sz="4" w:space="0" w:color="auto"/>
              <w:left w:val="nil"/>
              <w:bottom w:val="single" w:sz="4" w:space="0" w:color="auto"/>
              <w:right w:val="nil"/>
            </w:tcBorders>
            <w:shd w:val="clear" w:color="auto" w:fill="auto"/>
            <w:noWrap/>
            <w:vAlign w:val="bottom"/>
          </w:tcPr>
          <w:p w14:paraId="369AA4C7" w14:textId="77777777" w:rsidR="002214BA" w:rsidRPr="0078113B" w:rsidRDefault="002214BA"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 xml:space="preserve">percent of gender gap </w:t>
            </w:r>
          </w:p>
        </w:tc>
      </w:tr>
      <w:tr w:rsidR="002214BA" w:rsidRPr="0078113B" w14:paraId="6B1A795A" w14:textId="77777777" w:rsidTr="006A52DF">
        <w:tc>
          <w:tcPr>
            <w:tcW w:w="3544" w:type="dxa"/>
            <w:tcBorders>
              <w:top w:val="nil"/>
              <w:left w:val="nil"/>
              <w:bottom w:val="nil"/>
              <w:right w:val="nil"/>
            </w:tcBorders>
            <w:shd w:val="clear" w:color="auto" w:fill="auto"/>
            <w:noWrap/>
            <w:vAlign w:val="bottom"/>
            <w:hideMark/>
          </w:tcPr>
          <w:p w14:paraId="36B89D17" w14:textId="77777777" w:rsidR="002214BA" w:rsidRPr="0078113B" w:rsidRDefault="002214BA" w:rsidP="00B16937">
            <w:pPr>
              <w:spacing w:before="0"/>
              <w:rPr>
                <w:rFonts w:eastAsia="Times New Roman" w:cstheme="minorHAnsi"/>
                <w:color w:val="000000"/>
                <w:sz w:val="20"/>
                <w:szCs w:val="20"/>
                <w:lang w:val="en-US"/>
              </w:rPr>
            </w:pPr>
            <w:r w:rsidRPr="0078113B">
              <w:rPr>
                <w:rFonts w:eastAsia="Times New Roman" w:cstheme="minorHAnsi"/>
                <w:color w:val="000000"/>
                <w:sz w:val="20"/>
                <w:szCs w:val="20"/>
                <w:lang w:val="en-US"/>
              </w:rPr>
              <w:t>Total pay gap</w:t>
            </w:r>
          </w:p>
        </w:tc>
        <w:tc>
          <w:tcPr>
            <w:tcW w:w="1417" w:type="dxa"/>
            <w:tcBorders>
              <w:top w:val="nil"/>
              <w:left w:val="nil"/>
              <w:bottom w:val="nil"/>
              <w:right w:val="nil"/>
            </w:tcBorders>
            <w:shd w:val="clear" w:color="auto" w:fill="auto"/>
            <w:noWrap/>
            <w:vAlign w:val="bottom"/>
            <w:hideMark/>
          </w:tcPr>
          <w:p w14:paraId="636F5EA2" w14:textId="77777777" w:rsidR="002214BA"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0.245</w:t>
            </w:r>
            <w:r w:rsidR="002214BA" w:rsidRPr="0078113B">
              <w:rPr>
                <w:rFonts w:eastAsia="Times New Roman" w:cstheme="minorHAnsi"/>
                <w:bCs/>
                <w:color w:val="000000"/>
                <w:sz w:val="20"/>
                <w:szCs w:val="20"/>
                <w:lang w:val="en-US"/>
              </w:rPr>
              <w:t>***</w:t>
            </w:r>
          </w:p>
        </w:tc>
        <w:tc>
          <w:tcPr>
            <w:tcW w:w="2410" w:type="dxa"/>
            <w:tcBorders>
              <w:top w:val="nil"/>
              <w:left w:val="nil"/>
              <w:bottom w:val="nil"/>
              <w:right w:val="nil"/>
            </w:tcBorders>
            <w:shd w:val="clear" w:color="auto" w:fill="auto"/>
            <w:noWrap/>
            <w:vAlign w:val="bottom"/>
            <w:hideMark/>
          </w:tcPr>
          <w:p w14:paraId="428E608A" w14:textId="77777777" w:rsidR="002214BA" w:rsidRPr="0078113B" w:rsidRDefault="002214BA"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100</w:t>
            </w:r>
          </w:p>
        </w:tc>
      </w:tr>
      <w:tr w:rsidR="00B16937" w:rsidRPr="0078113B" w14:paraId="62AB413D" w14:textId="77777777" w:rsidTr="006A52DF">
        <w:tc>
          <w:tcPr>
            <w:tcW w:w="3544" w:type="dxa"/>
            <w:tcBorders>
              <w:top w:val="nil"/>
              <w:left w:val="nil"/>
              <w:bottom w:val="nil"/>
              <w:right w:val="nil"/>
            </w:tcBorders>
            <w:shd w:val="clear" w:color="auto" w:fill="auto"/>
            <w:noWrap/>
            <w:vAlign w:val="bottom"/>
            <w:hideMark/>
          </w:tcPr>
          <w:p w14:paraId="71AE6F1F" w14:textId="77777777" w:rsidR="00B16937" w:rsidRPr="0078113B" w:rsidRDefault="00B16937" w:rsidP="00B16937">
            <w:pPr>
              <w:spacing w:before="0"/>
              <w:rPr>
                <w:rFonts w:eastAsia="Times New Roman" w:cstheme="minorHAnsi"/>
                <w:color w:val="000000"/>
                <w:sz w:val="20"/>
                <w:szCs w:val="20"/>
                <w:lang w:val="en-US"/>
              </w:rPr>
            </w:pPr>
            <w:r w:rsidRPr="0078113B">
              <w:rPr>
                <w:rFonts w:eastAsia="Times New Roman" w:cstheme="minorHAnsi"/>
                <w:color w:val="000000"/>
                <w:sz w:val="20"/>
                <w:szCs w:val="20"/>
                <w:lang w:val="en-US"/>
              </w:rPr>
              <w:t>Total explained gap</w:t>
            </w:r>
          </w:p>
        </w:tc>
        <w:tc>
          <w:tcPr>
            <w:tcW w:w="1417" w:type="dxa"/>
            <w:tcBorders>
              <w:top w:val="nil"/>
              <w:left w:val="nil"/>
              <w:bottom w:val="nil"/>
              <w:right w:val="nil"/>
            </w:tcBorders>
            <w:shd w:val="clear" w:color="auto" w:fill="auto"/>
            <w:noWrap/>
            <w:vAlign w:val="bottom"/>
            <w:hideMark/>
          </w:tcPr>
          <w:p w14:paraId="4BE9FB29"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0.051***</w:t>
            </w:r>
          </w:p>
        </w:tc>
        <w:tc>
          <w:tcPr>
            <w:tcW w:w="2410" w:type="dxa"/>
            <w:tcBorders>
              <w:top w:val="nil"/>
              <w:left w:val="nil"/>
              <w:bottom w:val="nil"/>
              <w:right w:val="nil"/>
            </w:tcBorders>
            <w:shd w:val="clear" w:color="auto" w:fill="auto"/>
            <w:noWrap/>
            <w:vAlign w:val="bottom"/>
            <w:hideMark/>
          </w:tcPr>
          <w:p w14:paraId="6A553A52"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20.6</w:t>
            </w:r>
          </w:p>
        </w:tc>
      </w:tr>
      <w:tr w:rsidR="00B16937" w:rsidRPr="0078113B" w14:paraId="30B14456" w14:textId="77777777" w:rsidTr="006A52DF">
        <w:tc>
          <w:tcPr>
            <w:tcW w:w="3544" w:type="dxa"/>
            <w:tcBorders>
              <w:top w:val="nil"/>
              <w:left w:val="nil"/>
              <w:bottom w:val="nil"/>
              <w:right w:val="nil"/>
            </w:tcBorders>
            <w:shd w:val="clear" w:color="auto" w:fill="auto"/>
            <w:noWrap/>
            <w:vAlign w:val="bottom"/>
            <w:hideMark/>
          </w:tcPr>
          <w:p w14:paraId="5EF2BF1D"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Education</w:t>
            </w:r>
          </w:p>
        </w:tc>
        <w:tc>
          <w:tcPr>
            <w:tcW w:w="1417" w:type="dxa"/>
            <w:tcBorders>
              <w:top w:val="nil"/>
              <w:left w:val="nil"/>
              <w:bottom w:val="nil"/>
              <w:right w:val="nil"/>
            </w:tcBorders>
            <w:shd w:val="clear" w:color="auto" w:fill="auto"/>
            <w:noWrap/>
            <w:vAlign w:val="bottom"/>
            <w:hideMark/>
          </w:tcPr>
          <w:p w14:paraId="219AA257" w14:textId="77777777" w:rsidR="00B16937" w:rsidRPr="0078113B" w:rsidRDefault="00B16937" w:rsidP="00B16937">
            <w:pPr>
              <w:spacing w:before="0"/>
              <w:jc w:val="center"/>
              <w:rPr>
                <w:rFonts w:eastAsia="Times New Roman" w:cstheme="minorHAnsi"/>
                <w:bCs/>
                <w:color w:val="000000"/>
                <w:sz w:val="20"/>
                <w:szCs w:val="20"/>
                <w:lang w:val="en-US"/>
              </w:rPr>
            </w:pPr>
            <w:r w:rsidRPr="0078113B">
              <w:rPr>
                <w:rFonts w:eastAsia="Times New Roman" w:cstheme="minorHAnsi"/>
                <w:color w:val="000000"/>
                <w:sz w:val="20"/>
                <w:szCs w:val="20"/>
                <w:lang w:val="en-US"/>
              </w:rPr>
              <w:t>0.001</w:t>
            </w:r>
          </w:p>
        </w:tc>
        <w:tc>
          <w:tcPr>
            <w:tcW w:w="2410" w:type="dxa"/>
            <w:tcBorders>
              <w:top w:val="nil"/>
              <w:left w:val="nil"/>
              <w:bottom w:val="nil"/>
              <w:right w:val="nil"/>
            </w:tcBorders>
            <w:shd w:val="clear" w:color="auto" w:fill="auto"/>
            <w:noWrap/>
            <w:vAlign w:val="bottom"/>
            <w:hideMark/>
          </w:tcPr>
          <w:p w14:paraId="44529F2C"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0.3</w:t>
            </w:r>
          </w:p>
        </w:tc>
      </w:tr>
      <w:tr w:rsidR="00B16937" w:rsidRPr="0078113B" w14:paraId="552F7957" w14:textId="77777777" w:rsidTr="006A52DF">
        <w:tc>
          <w:tcPr>
            <w:tcW w:w="3544" w:type="dxa"/>
            <w:tcBorders>
              <w:top w:val="nil"/>
              <w:left w:val="nil"/>
              <w:bottom w:val="nil"/>
              <w:right w:val="nil"/>
            </w:tcBorders>
            <w:shd w:val="clear" w:color="auto" w:fill="auto"/>
            <w:noWrap/>
            <w:vAlign w:val="bottom"/>
          </w:tcPr>
          <w:p w14:paraId="1B97598E"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Number of languages</w:t>
            </w:r>
          </w:p>
        </w:tc>
        <w:tc>
          <w:tcPr>
            <w:tcW w:w="1417" w:type="dxa"/>
            <w:tcBorders>
              <w:top w:val="nil"/>
              <w:left w:val="nil"/>
              <w:bottom w:val="nil"/>
              <w:right w:val="nil"/>
            </w:tcBorders>
            <w:shd w:val="clear" w:color="auto" w:fill="auto"/>
            <w:noWrap/>
            <w:vAlign w:val="bottom"/>
          </w:tcPr>
          <w:p w14:paraId="18536CE9"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-0.007***</w:t>
            </w:r>
          </w:p>
        </w:tc>
        <w:tc>
          <w:tcPr>
            <w:tcW w:w="2410" w:type="dxa"/>
            <w:tcBorders>
              <w:top w:val="nil"/>
              <w:left w:val="nil"/>
              <w:bottom w:val="nil"/>
              <w:right w:val="nil"/>
            </w:tcBorders>
            <w:shd w:val="clear" w:color="auto" w:fill="auto"/>
            <w:noWrap/>
            <w:vAlign w:val="bottom"/>
          </w:tcPr>
          <w:p w14:paraId="5385F5B1"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-3.0</w:t>
            </w:r>
          </w:p>
        </w:tc>
      </w:tr>
      <w:tr w:rsidR="00B16937" w:rsidRPr="0078113B" w14:paraId="2F87D546" w14:textId="77777777" w:rsidTr="006A52DF">
        <w:tc>
          <w:tcPr>
            <w:tcW w:w="3544" w:type="dxa"/>
            <w:tcBorders>
              <w:top w:val="nil"/>
              <w:left w:val="nil"/>
              <w:bottom w:val="nil"/>
              <w:right w:val="nil"/>
            </w:tcBorders>
            <w:shd w:val="clear" w:color="auto" w:fill="auto"/>
            <w:noWrap/>
            <w:vAlign w:val="bottom"/>
          </w:tcPr>
          <w:p w14:paraId="194EE9FB"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Romanian is native</w:t>
            </w:r>
          </w:p>
        </w:tc>
        <w:tc>
          <w:tcPr>
            <w:tcW w:w="1417" w:type="dxa"/>
            <w:tcBorders>
              <w:top w:val="nil"/>
              <w:left w:val="nil"/>
              <w:bottom w:val="nil"/>
              <w:right w:val="nil"/>
            </w:tcBorders>
            <w:shd w:val="clear" w:color="auto" w:fill="auto"/>
            <w:noWrap/>
            <w:vAlign w:val="bottom"/>
          </w:tcPr>
          <w:p w14:paraId="037300D4"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0.000</w:t>
            </w:r>
          </w:p>
        </w:tc>
        <w:tc>
          <w:tcPr>
            <w:tcW w:w="2410" w:type="dxa"/>
            <w:tcBorders>
              <w:top w:val="nil"/>
              <w:left w:val="nil"/>
              <w:bottom w:val="nil"/>
              <w:right w:val="nil"/>
            </w:tcBorders>
            <w:shd w:val="clear" w:color="auto" w:fill="auto"/>
            <w:noWrap/>
            <w:vAlign w:val="bottom"/>
          </w:tcPr>
          <w:p w14:paraId="6DF372CB"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-0.1</w:t>
            </w:r>
          </w:p>
        </w:tc>
      </w:tr>
      <w:tr w:rsidR="00B16937" w:rsidRPr="0078113B" w14:paraId="601FCD3E" w14:textId="77777777" w:rsidTr="006A52DF">
        <w:tc>
          <w:tcPr>
            <w:tcW w:w="3544" w:type="dxa"/>
            <w:tcBorders>
              <w:top w:val="nil"/>
              <w:left w:val="nil"/>
              <w:bottom w:val="nil"/>
              <w:right w:val="nil"/>
            </w:tcBorders>
            <w:shd w:val="clear" w:color="auto" w:fill="auto"/>
            <w:noWrap/>
            <w:vAlign w:val="bottom"/>
            <w:hideMark/>
          </w:tcPr>
          <w:p w14:paraId="090DBE44"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Married</w:t>
            </w:r>
          </w:p>
        </w:tc>
        <w:tc>
          <w:tcPr>
            <w:tcW w:w="1417" w:type="dxa"/>
            <w:tcBorders>
              <w:top w:val="nil"/>
              <w:left w:val="nil"/>
              <w:bottom w:val="nil"/>
              <w:right w:val="nil"/>
            </w:tcBorders>
            <w:shd w:val="clear" w:color="auto" w:fill="auto"/>
            <w:noWrap/>
            <w:vAlign w:val="bottom"/>
            <w:hideMark/>
          </w:tcPr>
          <w:p w14:paraId="6F48F664"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0.000</w:t>
            </w:r>
          </w:p>
        </w:tc>
        <w:tc>
          <w:tcPr>
            <w:tcW w:w="2410" w:type="dxa"/>
            <w:tcBorders>
              <w:top w:val="nil"/>
              <w:left w:val="nil"/>
              <w:bottom w:val="nil"/>
              <w:right w:val="nil"/>
            </w:tcBorders>
            <w:shd w:val="clear" w:color="auto" w:fill="auto"/>
            <w:noWrap/>
            <w:vAlign w:val="bottom"/>
            <w:hideMark/>
          </w:tcPr>
          <w:p w14:paraId="5D21434D"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w:t>
            </w:r>
          </w:p>
        </w:tc>
      </w:tr>
      <w:tr w:rsidR="00B16937" w:rsidRPr="0078113B" w14:paraId="7EF47748" w14:textId="77777777" w:rsidTr="006A52DF">
        <w:tc>
          <w:tcPr>
            <w:tcW w:w="3544" w:type="dxa"/>
            <w:tcBorders>
              <w:top w:val="nil"/>
              <w:left w:val="nil"/>
              <w:bottom w:val="nil"/>
              <w:right w:val="nil"/>
            </w:tcBorders>
            <w:shd w:val="clear" w:color="auto" w:fill="auto"/>
            <w:noWrap/>
            <w:vAlign w:val="bottom"/>
            <w:hideMark/>
          </w:tcPr>
          <w:p w14:paraId="3F11AF6C"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Presence of children</w:t>
            </w:r>
          </w:p>
        </w:tc>
        <w:tc>
          <w:tcPr>
            <w:tcW w:w="1417" w:type="dxa"/>
            <w:tcBorders>
              <w:top w:val="nil"/>
              <w:left w:val="nil"/>
              <w:bottom w:val="nil"/>
              <w:right w:val="nil"/>
            </w:tcBorders>
            <w:shd w:val="clear" w:color="auto" w:fill="auto"/>
            <w:noWrap/>
            <w:vAlign w:val="bottom"/>
            <w:hideMark/>
          </w:tcPr>
          <w:p w14:paraId="24838B4B"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-0.003*</w:t>
            </w:r>
          </w:p>
        </w:tc>
        <w:tc>
          <w:tcPr>
            <w:tcW w:w="2410" w:type="dxa"/>
            <w:tcBorders>
              <w:top w:val="nil"/>
              <w:left w:val="nil"/>
              <w:bottom w:val="nil"/>
              <w:right w:val="nil"/>
            </w:tcBorders>
            <w:shd w:val="clear" w:color="auto" w:fill="auto"/>
            <w:noWrap/>
            <w:vAlign w:val="bottom"/>
            <w:hideMark/>
          </w:tcPr>
          <w:p w14:paraId="6583738B"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-1.2</w:t>
            </w:r>
          </w:p>
        </w:tc>
      </w:tr>
      <w:tr w:rsidR="00B16937" w:rsidRPr="0078113B" w14:paraId="33339381" w14:textId="77777777" w:rsidTr="006A52DF">
        <w:tc>
          <w:tcPr>
            <w:tcW w:w="3544" w:type="dxa"/>
            <w:tcBorders>
              <w:top w:val="nil"/>
              <w:left w:val="nil"/>
              <w:bottom w:val="nil"/>
              <w:right w:val="nil"/>
            </w:tcBorders>
            <w:shd w:val="clear" w:color="auto" w:fill="auto"/>
            <w:noWrap/>
            <w:vAlign w:val="bottom"/>
            <w:hideMark/>
          </w:tcPr>
          <w:p w14:paraId="0390F28E"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Capital city</w:t>
            </w:r>
          </w:p>
        </w:tc>
        <w:tc>
          <w:tcPr>
            <w:tcW w:w="1417" w:type="dxa"/>
            <w:tcBorders>
              <w:top w:val="nil"/>
              <w:left w:val="nil"/>
              <w:bottom w:val="nil"/>
              <w:right w:val="nil"/>
            </w:tcBorders>
            <w:shd w:val="clear" w:color="auto" w:fill="auto"/>
            <w:noWrap/>
            <w:vAlign w:val="bottom"/>
            <w:hideMark/>
          </w:tcPr>
          <w:p w14:paraId="6AB5EC8D"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-0.009***</w:t>
            </w:r>
          </w:p>
        </w:tc>
        <w:tc>
          <w:tcPr>
            <w:tcW w:w="2410" w:type="dxa"/>
            <w:tcBorders>
              <w:top w:val="nil"/>
              <w:left w:val="nil"/>
              <w:bottom w:val="nil"/>
              <w:right w:val="nil"/>
            </w:tcBorders>
            <w:shd w:val="clear" w:color="auto" w:fill="auto"/>
            <w:noWrap/>
            <w:vAlign w:val="bottom"/>
            <w:hideMark/>
          </w:tcPr>
          <w:p w14:paraId="6040DB8D"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-3.6</w:t>
            </w:r>
          </w:p>
        </w:tc>
      </w:tr>
      <w:tr w:rsidR="00B16937" w:rsidRPr="0078113B" w14:paraId="371E7641" w14:textId="77777777" w:rsidTr="006A52DF">
        <w:tc>
          <w:tcPr>
            <w:tcW w:w="3544" w:type="dxa"/>
            <w:tcBorders>
              <w:top w:val="nil"/>
              <w:left w:val="nil"/>
              <w:bottom w:val="nil"/>
              <w:right w:val="nil"/>
            </w:tcBorders>
            <w:shd w:val="clear" w:color="auto" w:fill="auto"/>
            <w:noWrap/>
            <w:vAlign w:val="bottom"/>
            <w:hideMark/>
          </w:tcPr>
          <w:p w14:paraId="5CAE8930"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Occupation</w:t>
            </w:r>
          </w:p>
        </w:tc>
        <w:tc>
          <w:tcPr>
            <w:tcW w:w="1417" w:type="dxa"/>
            <w:tcBorders>
              <w:top w:val="nil"/>
              <w:left w:val="nil"/>
              <w:bottom w:val="nil"/>
              <w:right w:val="nil"/>
            </w:tcBorders>
            <w:shd w:val="clear" w:color="auto" w:fill="auto"/>
            <w:noWrap/>
            <w:vAlign w:val="bottom"/>
            <w:hideMark/>
          </w:tcPr>
          <w:p w14:paraId="2ED1E1A9" w14:textId="77777777" w:rsidR="00B16937" w:rsidRPr="0078113B" w:rsidRDefault="00B16937" w:rsidP="00B16937">
            <w:pPr>
              <w:spacing w:before="0"/>
              <w:jc w:val="center"/>
              <w:rPr>
                <w:rFonts w:eastAsia="Times New Roman" w:cstheme="minorHAnsi"/>
                <w:bCs/>
                <w:color w:val="000000"/>
                <w:sz w:val="20"/>
                <w:szCs w:val="20"/>
                <w:lang w:val="en-US"/>
              </w:rPr>
            </w:pPr>
            <w:r w:rsidRPr="0078113B">
              <w:rPr>
                <w:rFonts w:eastAsia="Times New Roman" w:cstheme="minorHAnsi"/>
                <w:color w:val="000000"/>
                <w:sz w:val="20"/>
                <w:szCs w:val="20"/>
                <w:lang w:val="en-US"/>
              </w:rPr>
              <w:t>0.005</w:t>
            </w:r>
          </w:p>
        </w:tc>
        <w:tc>
          <w:tcPr>
            <w:tcW w:w="2410" w:type="dxa"/>
            <w:tcBorders>
              <w:top w:val="nil"/>
              <w:left w:val="nil"/>
              <w:bottom w:val="nil"/>
              <w:right w:val="nil"/>
            </w:tcBorders>
            <w:shd w:val="clear" w:color="auto" w:fill="auto"/>
            <w:noWrap/>
            <w:vAlign w:val="bottom"/>
            <w:hideMark/>
          </w:tcPr>
          <w:p w14:paraId="44CAE776"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2.2</w:t>
            </w:r>
          </w:p>
        </w:tc>
      </w:tr>
      <w:tr w:rsidR="00B16937" w:rsidRPr="0078113B" w14:paraId="0B3B3304" w14:textId="77777777" w:rsidTr="006A52DF">
        <w:tc>
          <w:tcPr>
            <w:tcW w:w="3544" w:type="dxa"/>
            <w:tcBorders>
              <w:top w:val="nil"/>
              <w:left w:val="nil"/>
              <w:bottom w:val="nil"/>
              <w:right w:val="nil"/>
            </w:tcBorders>
            <w:shd w:val="clear" w:color="auto" w:fill="auto"/>
            <w:noWrap/>
            <w:vAlign w:val="bottom"/>
            <w:hideMark/>
          </w:tcPr>
          <w:p w14:paraId="26AB7408"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Sector</w:t>
            </w:r>
          </w:p>
        </w:tc>
        <w:tc>
          <w:tcPr>
            <w:tcW w:w="1417" w:type="dxa"/>
            <w:tcBorders>
              <w:top w:val="nil"/>
              <w:left w:val="nil"/>
              <w:bottom w:val="nil"/>
              <w:right w:val="nil"/>
            </w:tcBorders>
            <w:shd w:val="clear" w:color="auto" w:fill="auto"/>
            <w:noWrap/>
            <w:vAlign w:val="bottom"/>
            <w:hideMark/>
          </w:tcPr>
          <w:p w14:paraId="1A8F1746"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0.008</w:t>
            </w:r>
          </w:p>
        </w:tc>
        <w:tc>
          <w:tcPr>
            <w:tcW w:w="2410" w:type="dxa"/>
            <w:tcBorders>
              <w:top w:val="nil"/>
              <w:left w:val="nil"/>
              <w:bottom w:val="nil"/>
              <w:right w:val="nil"/>
            </w:tcBorders>
            <w:shd w:val="clear" w:color="auto" w:fill="auto"/>
            <w:noWrap/>
            <w:vAlign w:val="bottom"/>
            <w:hideMark/>
          </w:tcPr>
          <w:p w14:paraId="7E7C8D07"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3.3</w:t>
            </w:r>
          </w:p>
        </w:tc>
      </w:tr>
      <w:tr w:rsidR="00B16937" w:rsidRPr="0078113B" w14:paraId="2E6216A9" w14:textId="77777777" w:rsidTr="006A52DF">
        <w:tc>
          <w:tcPr>
            <w:tcW w:w="3544" w:type="dxa"/>
            <w:tcBorders>
              <w:top w:val="nil"/>
              <w:left w:val="nil"/>
              <w:bottom w:val="nil"/>
              <w:right w:val="nil"/>
            </w:tcBorders>
            <w:shd w:val="clear" w:color="auto" w:fill="auto"/>
            <w:noWrap/>
            <w:vAlign w:val="bottom"/>
          </w:tcPr>
          <w:p w14:paraId="7920E276" w14:textId="77777777" w:rsidR="00B16937" w:rsidRPr="0078113B" w:rsidRDefault="00B16937" w:rsidP="00B16937">
            <w:pPr>
              <w:spacing w:before="0"/>
              <w:ind w:firstLine="318"/>
              <w:rPr>
                <w:rFonts w:eastAsia="Times New Roman" w:cstheme="minorHAnsi"/>
                <w:color w:val="000000"/>
                <w:sz w:val="20"/>
                <w:szCs w:val="20"/>
                <w:lang w:val="en-US"/>
              </w:rPr>
            </w:pPr>
            <w:r w:rsidRPr="0078113B">
              <w:rPr>
                <w:rFonts w:eastAsia="Times New Roman" w:cstheme="minorHAnsi"/>
                <w:color w:val="000000"/>
                <w:sz w:val="20"/>
                <w:szCs w:val="20"/>
                <w:lang w:val="en-US"/>
              </w:rPr>
              <w:t>Experience</w:t>
            </w:r>
          </w:p>
        </w:tc>
        <w:tc>
          <w:tcPr>
            <w:tcW w:w="1417" w:type="dxa"/>
            <w:tcBorders>
              <w:top w:val="nil"/>
              <w:left w:val="nil"/>
              <w:bottom w:val="nil"/>
              <w:right w:val="nil"/>
            </w:tcBorders>
            <w:shd w:val="clear" w:color="auto" w:fill="auto"/>
            <w:noWrap/>
            <w:vAlign w:val="bottom"/>
          </w:tcPr>
          <w:p w14:paraId="7D9CCA0A"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0.006***</w:t>
            </w:r>
          </w:p>
        </w:tc>
        <w:tc>
          <w:tcPr>
            <w:tcW w:w="2410" w:type="dxa"/>
            <w:tcBorders>
              <w:top w:val="nil"/>
              <w:left w:val="nil"/>
              <w:bottom w:val="nil"/>
              <w:right w:val="nil"/>
            </w:tcBorders>
            <w:shd w:val="clear" w:color="auto" w:fill="auto"/>
            <w:noWrap/>
            <w:vAlign w:val="bottom"/>
          </w:tcPr>
          <w:p w14:paraId="02FFE789"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2.6</w:t>
            </w:r>
          </w:p>
        </w:tc>
      </w:tr>
      <w:tr w:rsidR="00B16937" w:rsidRPr="0078113B" w14:paraId="26FAE0D1" w14:textId="77777777" w:rsidTr="006A52DF">
        <w:tc>
          <w:tcPr>
            <w:tcW w:w="3544" w:type="dxa"/>
            <w:tcBorders>
              <w:top w:val="nil"/>
              <w:left w:val="nil"/>
              <w:bottom w:val="nil"/>
              <w:right w:val="nil"/>
            </w:tcBorders>
            <w:shd w:val="clear" w:color="auto" w:fill="auto"/>
            <w:noWrap/>
            <w:vAlign w:val="bottom"/>
          </w:tcPr>
          <w:p w14:paraId="040C2B77" w14:textId="77777777" w:rsidR="00B16937" w:rsidRPr="0078113B" w:rsidRDefault="00B16937" w:rsidP="00B16937">
            <w:pPr>
              <w:spacing w:before="0"/>
              <w:ind w:left="318"/>
              <w:rPr>
                <w:rFonts w:eastAsia="Times New Roman" w:cstheme="minorHAnsi"/>
                <w:color w:val="000000"/>
                <w:sz w:val="20"/>
                <w:szCs w:val="20"/>
                <w:lang w:val="en-US"/>
              </w:rPr>
            </w:pPr>
            <w:r w:rsidRPr="0078113B">
              <w:rPr>
                <w:rFonts w:eastAsia="Times New Roman" w:cstheme="minorHAnsi"/>
                <w:color w:val="000000"/>
                <w:sz w:val="20"/>
                <w:szCs w:val="20"/>
                <w:lang w:val="en-US"/>
              </w:rPr>
              <w:t>Number of employment episodes</w:t>
            </w:r>
          </w:p>
        </w:tc>
        <w:tc>
          <w:tcPr>
            <w:tcW w:w="1417" w:type="dxa"/>
            <w:tcBorders>
              <w:top w:val="nil"/>
              <w:left w:val="nil"/>
              <w:bottom w:val="nil"/>
              <w:right w:val="nil"/>
            </w:tcBorders>
            <w:shd w:val="clear" w:color="auto" w:fill="auto"/>
            <w:noWrap/>
            <w:vAlign w:val="bottom"/>
          </w:tcPr>
          <w:p w14:paraId="61EC2515"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0.002</w:t>
            </w:r>
          </w:p>
        </w:tc>
        <w:tc>
          <w:tcPr>
            <w:tcW w:w="2410" w:type="dxa"/>
            <w:tcBorders>
              <w:top w:val="nil"/>
              <w:left w:val="nil"/>
              <w:bottom w:val="nil"/>
              <w:right w:val="nil"/>
            </w:tcBorders>
            <w:shd w:val="clear" w:color="auto" w:fill="auto"/>
            <w:noWrap/>
            <w:vAlign w:val="bottom"/>
          </w:tcPr>
          <w:p w14:paraId="3B5780F4"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0.6</w:t>
            </w:r>
          </w:p>
        </w:tc>
      </w:tr>
      <w:tr w:rsidR="00B16937" w:rsidRPr="0078113B" w14:paraId="2558BF22" w14:textId="77777777" w:rsidTr="006A52DF">
        <w:tc>
          <w:tcPr>
            <w:tcW w:w="3544" w:type="dxa"/>
            <w:tcBorders>
              <w:top w:val="nil"/>
              <w:left w:val="nil"/>
              <w:bottom w:val="nil"/>
              <w:right w:val="nil"/>
            </w:tcBorders>
            <w:shd w:val="clear" w:color="auto" w:fill="auto"/>
            <w:noWrap/>
            <w:vAlign w:val="center"/>
          </w:tcPr>
          <w:p w14:paraId="018F730B" w14:textId="77777777" w:rsidR="00B16937" w:rsidRPr="0078113B" w:rsidRDefault="00B16937" w:rsidP="00B16937">
            <w:pPr>
              <w:spacing w:before="0"/>
              <w:ind w:left="318"/>
              <w:rPr>
                <w:rFonts w:eastAsia="Times New Roman" w:cstheme="minorHAnsi"/>
                <w:color w:val="000000"/>
                <w:sz w:val="20"/>
                <w:szCs w:val="20"/>
                <w:lang w:val="en-US"/>
              </w:rPr>
            </w:pPr>
            <w:r w:rsidRPr="0078113B">
              <w:rPr>
                <w:rFonts w:eastAsia="Times New Roman" w:cstheme="minorHAnsi"/>
                <w:color w:val="000000"/>
                <w:sz w:val="20"/>
                <w:szCs w:val="20"/>
              </w:rPr>
              <w:t>Currently employed</w:t>
            </w:r>
          </w:p>
        </w:tc>
        <w:tc>
          <w:tcPr>
            <w:tcW w:w="1417" w:type="dxa"/>
            <w:tcBorders>
              <w:top w:val="nil"/>
              <w:left w:val="nil"/>
              <w:bottom w:val="nil"/>
              <w:right w:val="nil"/>
            </w:tcBorders>
            <w:shd w:val="clear" w:color="auto" w:fill="auto"/>
            <w:noWrap/>
            <w:vAlign w:val="bottom"/>
          </w:tcPr>
          <w:p w14:paraId="773D1A8D"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0.003</w:t>
            </w:r>
          </w:p>
        </w:tc>
        <w:tc>
          <w:tcPr>
            <w:tcW w:w="2410" w:type="dxa"/>
            <w:tcBorders>
              <w:top w:val="nil"/>
              <w:left w:val="nil"/>
              <w:bottom w:val="nil"/>
              <w:right w:val="nil"/>
            </w:tcBorders>
            <w:shd w:val="clear" w:color="auto" w:fill="auto"/>
            <w:noWrap/>
            <w:vAlign w:val="bottom"/>
          </w:tcPr>
          <w:p w14:paraId="7E307DD8"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1.2</w:t>
            </w:r>
          </w:p>
        </w:tc>
      </w:tr>
      <w:tr w:rsidR="00B16937" w:rsidRPr="0078113B" w14:paraId="5151EE55" w14:textId="77777777" w:rsidTr="006A52DF">
        <w:tc>
          <w:tcPr>
            <w:tcW w:w="3544" w:type="dxa"/>
            <w:tcBorders>
              <w:top w:val="nil"/>
              <w:left w:val="nil"/>
              <w:bottom w:val="nil"/>
              <w:right w:val="nil"/>
            </w:tcBorders>
            <w:shd w:val="clear" w:color="auto" w:fill="auto"/>
            <w:noWrap/>
            <w:vAlign w:val="center"/>
          </w:tcPr>
          <w:p w14:paraId="58A931F9" w14:textId="77777777" w:rsidR="00B16937" w:rsidRPr="0078113B" w:rsidRDefault="00B16937" w:rsidP="00B16937">
            <w:pPr>
              <w:spacing w:before="0"/>
              <w:ind w:left="318"/>
              <w:rPr>
                <w:rFonts w:eastAsia="Times New Roman" w:cstheme="minorHAnsi"/>
                <w:color w:val="000000"/>
                <w:sz w:val="20"/>
                <w:szCs w:val="20"/>
                <w:lang w:val="en-US"/>
              </w:rPr>
            </w:pPr>
            <w:r w:rsidRPr="0078113B">
              <w:rPr>
                <w:rFonts w:eastAsia="Times New Roman" w:cstheme="minorHAnsi"/>
                <w:color w:val="000000"/>
                <w:sz w:val="20"/>
                <w:szCs w:val="20"/>
              </w:rPr>
              <w:t>Joblessness of 6 months and more</w:t>
            </w:r>
          </w:p>
        </w:tc>
        <w:tc>
          <w:tcPr>
            <w:tcW w:w="1417" w:type="dxa"/>
            <w:tcBorders>
              <w:top w:val="nil"/>
              <w:left w:val="nil"/>
              <w:bottom w:val="nil"/>
              <w:right w:val="nil"/>
            </w:tcBorders>
            <w:shd w:val="clear" w:color="auto" w:fill="auto"/>
            <w:noWrap/>
            <w:vAlign w:val="bottom"/>
          </w:tcPr>
          <w:p w14:paraId="6DEF0741"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0.000</w:t>
            </w:r>
          </w:p>
        </w:tc>
        <w:tc>
          <w:tcPr>
            <w:tcW w:w="2410" w:type="dxa"/>
            <w:tcBorders>
              <w:top w:val="nil"/>
              <w:left w:val="nil"/>
              <w:bottom w:val="nil"/>
              <w:right w:val="nil"/>
            </w:tcBorders>
            <w:shd w:val="clear" w:color="auto" w:fill="auto"/>
            <w:noWrap/>
            <w:vAlign w:val="bottom"/>
          </w:tcPr>
          <w:p w14:paraId="05F634BD"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-0.1</w:t>
            </w:r>
          </w:p>
        </w:tc>
      </w:tr>
      <w:tr w:rsidR="00B16937" w:rsidRPr="0078113B" w14:paraId="0A77A6F0" w14:textId="77777777" w:rsidTr="006A52DF">
        <w:tc>
          <w:tcPr>
            <w:tcW w:w="3544" w:type="dxa"/>
            <w:tcBorders>
              <w:top w:val="nil"/>
              <w:left w:val="nil"/>
              <w:bottom w:val="nil"/>
              <w:right w:val="nil"/>
            </w:tcBorders>
            <w:shd w:val="clear" w:color="auto" w:fill="auto"/>
            <w:noWrap/>
            <w:vAlign w:val="bottom"/>
          </w:tcPr>
          <w:p w14:paraId="4F310B25" w14:textId="77777777" w:rsidR="00B16937" w:rsidRPr="0078113B" w:rsidRDefault="00B16937" w:rsidP="00B16937">
            <w:pPr>
              <w:spacing w:before="0"/>
              <w:ind w:left="318"/>
              <w:rPr>
                <w:rFonts w:eastAsia="Times New Roman" w:cstheme="minorHAnsi"/>
                <w:color w:val="000000"/>
                <w:sz w:val="20"/>
                <w:szCs w:val="20"/>
                <w:lang w:val="en-US"/>
              </w:rPr>
            </w:pPr>
            <w:r w:rsidRPr="0078113B">
              <w:rPr>
                <w:rFonts w:eastAsia="Times New Roman" w:cstheme="minorHAnsi"/>
                <w:color w:val="000000"/>
                <w:sz w:val="20"/>
                <w:szCs w:val="20"/>
              </w:rPr>
              <w:t>Looking for full-time employment</w:t>
            </w:r>
          </w:p>
        </w:tc>
        <w:tc>
          <w:tcPr>
            <w:tcW w:w="1417" w:type="dxa"/>
            <w:tcBorders>
              <w:top w:val="nil"/>
              <w:left w:val="nil"/>
              <w:bottom w:val="nil"/>
              <w:right w:val="nil"/>
            </w:tcBorders>
            <w:shd w:val="clear" w:color="auto" w:fill="auto"/>
            <w:noWrap/>
            <w:vAlign w:val="bottom"/>
          </w:tcPr>
          <w:p w14:paraId="2785633C"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0.020***</w:t>
            </w:r>
          </w:p>
        </w:tc>
        <w:tc>
          <w:tcPr>
            <w:tcW w:w="2410" w:type="dxa"/>
            <w:tcBorders>
              <w:top w:val="nil"/>
              <w:left w:val="nil"/>
              <w:bottom w:val="nil"/>
              <w:right w:val="nil"/>
            </w:tcBorders>
            <w:shd w:val="clear" w:color="auto" w:fill="auto"/>
            <w:noWrap/>
            <w:vAlign w:val="bottom"/>
          </w:tcPr>
          <w:p w14:paraId="433CB1A4"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8.1</w:t>
            </w:r>
          </w:p>
        </w:tc>
      </w:tr>
      <w:tr w:rsidR="00B16937" w:rsidRPr="0078113B" w14:paraId="2799D11E" w14:textId="77777777" w:rsidTr="006A52DF">
        <w:tc>
          <w:tcPr>
            <w:tcW w:w="3544" w:type="dxa"/>
            <w:tcBorders>
              <w:top w:val="nil"/>
              <w:left w:val="nil"/>
              <w:bottom w:val="nil"/>
              <w:right w:val="nil"/>
            </w:tcBorders>
            <w:shd w:val="clear" w:color="auto" w:fill="auto"/>
            <w:noWrap/>
            <w:vAlign w:val="bottom"/>
          </w:tcPr>
          <w:p w14:paraId="2B4C0E2B" w14:textId="77777777" w:rsidR="00B16937" w:rsidRPr="0078113B" w:rsidRDefault="00B16937" w:rsidP="00B16937">
            <w:pPr>
              <w:spacing w:before="0"/>
              <w:ind w:left="318"/>
              <w:rPr>
                <w:rFonts w:eastAsia="Times New Roman" w:cstheme="minorHAnsi"/>
                <w:color w:val="000000"/>
                <w:sz w:val="20"/>
                <w:szCs w:val="20"/>
                <w:lang w:val="en-US"/>
              </w:rPr>
            </w:pPr>
            <w:r w:rsidRPr="0078113B">
              <w:rPr>
                <w:rFonts w:eastAsia="Times New Roman" w:cstheme="minorHAnsi"/>
                <w:color w:val="000000"/>
                <w:sz w:val="20"/>
                <w:szCs w:val="20"/>
              </w:rPr>
              <w:t>Availability for business trips</w:t>
            </w:r>
          </w:p>
        </w:tc>
        <w:tc>
          <w:tcPr>
            <w:tcW w:w="1417" w:type="dxa"/>
            <w:tcBorders>
              <w:top w:val="nil"/>
              <w:left w:val="nil"/>
              <w:bottom w:val="nil"/>
              <w:right w:val="nil"/>
            </w:tcBorders>
            <w:shd w:val="clear" w:color="auto" w:fill="auto"/>
            <w:noWrap/>
            <w:vAlign w:val="bottom"/>
          </w:tcPr>
          <w:p w14:paraId="1FC85E51"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0.017***</w:t>
            </w:r>
          </w:p>
        </w:tc>
        <w:tc>
          <w:tcPr>
            <w:tcW w:w="2410" w:type="dxa"/>
            <w:tcBorders>
              <w:top w:val="nil"/>
              <w:left w:val="nil"/>
              <w:bottom w:val="nil"/>
              <w:right w:val="nil"/>
            </w:tcBorders>
            <w:shd w:val="clear" w:color="auto" w:fill="auto"/>
            <w:noWrap/>
            <w:vAlign w:val="bottom"/>
          </w:tcPr>
          <w:p w14:paraId="64D702F8"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7.1</w:t>
            </w:r>
          </w:p>
        </w:tc>
      </w:tr>
      <w:tr w:rsidR="00B16937" w:rsidRPr="0078113B" w14:paraId="0E7AE649" w14:textId="77777777" w:rsidTr="006A52DF">
        <w:tc>
          <w:tcPr>
            <w:tcW w:w="3544" w:type="dxa"/>
            <w:tcBorders>
              <w:top w:val="nil"/>
              <w:left w:val="nil"/>
              <w:bottom w:val="nil"/>
              <w:right w:val="nil"/>
            </w:tcBorders>
            <w:shd w:val="clear" w:color="auto" w:fill="auto"/>
            <w:noWrap/>
            <w:vAlign w:val="bottom"/>
            <w:hideMark/>
          </w:tcPr>
          <w:p w14:paraId="52F82A63" w14:textId="77777777" w:rsidR="00B16937" w:rsidRPr="0078113B" w:rsidRDefault="00B16937" w:rsidP="00B16937">
            <w:pPr>
              <w:spacing w:before="0"/>
              <w:ind w:left="318"/>
              <w:rPr>
                <w:rFonts w:eastAsia="Times New Roman" w:cstheme="minorHAnsi"/>
                <w:color w:val="000000"/>
                <w:sz w:val="20"/>
                <w:szCs w:val="20"/>
                <w:lang w:val="en-US"/>
              </w:rPr>
            </w:pPr>
            <w:r w:rsidRPr="0078113B">
              <w:rPr>
                <w:rFonts w:eastAsia="Times New Roman" w:cstheme="minorHAnsi"/>
                <w:color w:val="000000"/>
                <w:sz w:val="20"/>
                <w:szCs w:val="20"/>
              </w:rPr>
              <w:t>Readiness to move to another city</w:t>
            </w:r>
          </w:p>
        </w:tc>
        <w:tc>
          <w:tcPr>
            <w:tcW w:w="1417" w:type="dxa"/>
            <w:tcBorders>
              <w:top w:val="nil"/>
              <w:left w:val="nil"/>
              <w:bottom w:val="nil"/>
              <w:right w:val="nil"/>
            </w:tcBorders>
            <w:shd w:val="clear" w:color="auto" w:fill="auto"/>
            <w:noWrap/>
            <w:vAlign w:val="bottom"/>
            <w:hideMark/>
          </w:tcPr>
          <w:p w14:paraId="157F048A"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0.008***</w:t>
            </w:r>
          </w:p>
        </w:tc>
        <w:tc>
          <w:tcPr>
            <w:tcW w:w="2410" w:type="dxa"/>
            <w:tcBorders>
              <w:top w:val="nil"/>
              <w:left w:val="nil"/>
              <w:bottom w:val="nil"/>
              <w:right w:val="nil"/>
            </w:tcBorders>
            <w:shd w:val="clear" w:color="auto" w:fill="auto"/>
            <w:noWrap/>
            <w:vAlign w:val="bottom"/>
            <w:hideMark/>
          </w:tcPr>
          <w:p w14:paraId="44DDDD2D" w14:textId="77777777" w:rsidR="00B16937" w:rsidRPr="0078113B" w:rsidRDefault="00B16937" w:rsidP="00B16937">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3.2</w:t>
            </w:r>
          </w:p>
        </w:tc>
      </w:tr>
      <w:tr w:rsidR="008309BF" w:rsidRPr="0078113B" w14:paraId="63F9ABFA" w14:textId="77777777" w:rsidTr="006A52DF">
        <w:tc>
          <w:tcPr>
            <w:tcW w:w="3544" w:type="dxa"/>
            <w:tcBorders>
              <w:top w:val="nil"/>
              <w:left w:val="nil"/>
              <w:bottom w:val="single" w:sz="4" w:space="0" w:color="auto"/>
              <w:right w:val="nil"/>
            </w:tcBorders>
            <w:shd w:val="clear" w:color="auto" w:fill="auto"/>
            <w:noWrap/>
            <w:vAlign w:val="bottom"/>
            <w:hideMark/>
          </w:tcPr>
          <w:p w14:paraId="1BE13751" w14:textId="77777777" w:rsidR="008309BF" w:rsidRPr="0078113B" w:rsidRDefault="008309BF" w:rsidP="008309BF">
            <w:pPr>
              <w:spacing w:before="0"/>
              <w:rPr>
                <w:rFonts w:eastAsia="Times New Roman" w:cstheme="minorHAnsi"/>
                <w:color w:val="000000"/>
                <w:sz w:val="20"/>
                <w:szCs w:val="20"/>
                <w:lang w:val="en-US"/>
              </w:rPr>
            </w:pPr>
            <w:r w:rsidRPr="0078113B">
              <w:rPr>
                <w:rFonts w:eastAsia="Times New Roman" w:cstheme="minorHAnsi"/>
                <w:color w:val="000000"/>
                <w:sz w:val="20"/>
                <w:szCs w:val="20"/>
                <w:lang w:val="en-US"/>
              </w:rPr>
              <w:t>Total unexplained gap</w:t>
            </w:r>
          </w:p>
        </w:tc>
        <w:tc>
          <w:tcPr>
            <w:tcW w:w="1417" w:type="dxa"/>
            <w:tcBorders>
              <w:top w:val="nil"/>
              <w:left w:val="nil"/>
              <w:bottom w:val="single" w:sz="4" w:space="0" w:color="auto"/>
              <w:right w:val="nil"/>
            </w:tcBorders>
            <w:shd w:val="clear" w:color="auto" w:fill="auto"/>
            <w:noWrap/>
            <w:vAlign w:val="bottom"/>
            <w:hideMark/>
          </w:tcPr>
          <w:p w14:paraId="2A13EC21" w14:textId="77777777" w:rsidR="008309BF" w:rsidRPr="0078113B" w:rsidRDefault="008309BF" w:rsidP="008309BF">
            <w:pPr>
              <w:spacing w:before="0"/>
              <w:jc w:val="center"/>
              <w:rPr>
                <w:rFonts w:eastAsia="Times New Roman" w:cstheme="minorHAnsi"/>
                <w:color w:val="000000"/>
                <w:sz w:val="20"/>
                <w:szCs w:val="20"/>
                <w:lang w:val="en-US"/>
              </w:rPr>
            </w:pPr>
            <w:r w:rsidRPr="0078113B">
              <w:rPr>
                <w:rFonts w:eastAsia="Times New Roman" w:cstheme="minorHAnsi"/>
                <w:bCs/>
                <w:color w:val="000000"/>
                <w:sz w:val="20"/>
                <w:szCs w:val="20"/>
                <w:lang w:val="en-US"/>
              </w:rPr>
              <w:t>0.194***</w:t>
            </w:r>
          </w:p>
        </w:tc>
        <w:tc>
          <w:tcPr>
            <w:tcW w:w="2410" w:type="dxa"/>
            <w:tcBorders>
              <w:top w:val="nil"/>
              <w:left w:val="nil"/>
              <w:bottom w:val="single" w:sz="4" w:space="0" w:color="auto"/>
              <w:right w:val="nil"/>
            </w:tcBorders>
            <w:shd w:val="clear" w:color="auto" w:fill="auto"/>
            <w:noWrap/>
            <w:vAlign w:val="bottom"/>
            <w:hideMark/>
          </w:tcPr>
          <w:p w14:paraId="59566F53" w14:textId="77777777" w:rsidR="008309BF" w:rsidRPr="0078113B" w:rsidRDefault="008309BF" w:rsidP="008309BF">
            <w:pPr>
              <w:spacing w:before="0"/>
              <w:jc w:val="center"/>
              <w:rPr>
                <w:rFonts w:eastAsia="Times New Roman" w:cstheme="minorHAnsi"/>
                <w:color w:val="000000"/>
                <w:sz w:val="20"/>
                <w:szCs w:val="20"/>
                <w:lang w:val="en-US"/>
              </w:rPr>
            </w:pPr>
            <w:r w:rsidRPr="0078113B">
              <w:rPr>
                <w:rFonts w:eastAsia="Times New Roman" w:cstheme="minorHAnsi"/>
                <w:color w:val="000000"/>
                <w:sz w:val="20"/>
                <w:szCs w:val="20"/>
                <w:lang w:val="en-US"/>
              </w:rPr>
              <w:t>79.4</w:t>
            </w:r>
          </w:p>
        </w:tc>
      </w:tr>
    </w:tbl>
    <w:p w14:paraId="7C477414" w14:textId="77777777" w:rsidR="00B16937" w:rsidRPr="0078113B" w:rsidRDefault="00B16937" w:rsidP="002214BA">
      <w:pPr>
        <w:autoSpaceDE w:val="0"/>
        <w:autoSpaceDN w:val="0"/>
        <w:adjustRightInd w:val="0"/>
        <w:rPr>
          <w:rFonts w:cstheme="minorHAnsi"/>
          <w:i/>
          <w:sz w:val="20"/>
          <w:szCs w:val="20"/>
          <w:lang w:val="en-US"/>
        </w:rPr>
      </w:pPr>
    </w:p>
    <w:p w14:paraId="5C3D106F" w14:textId="77777777" w:rsidR="002214BA" w:rsidRPr="004A792A" w:rsidRDefault="00B16937" w:rsidP="002214BA">
      <w:pPr>
        <w:autoSpaceDE w:val="0"/>
        <w:autoSpaceDN w:val="0"/>
        <w:adjustRightInd w:val="0"/>
        <w:rPr>
          <w:rFonts w:cstheme="minorHAnsi"/>
          <w:i/>
          <w:sz w:val="20"/>
          <w:szCs w:val="20"/>
          <w:lang w:val="en-US"/>
        </w:rPr>
      </w:pPr>
      <w:r w:rsidRPr="0078113B">
        <w:rPr>
          <w:rFonts w:cstheme="minorHAnsi"/>
          <w:i/>
          <w:sz w:val="20"/>
          <w:szCs w:val="20"/>
          <w:lang w:val="en-US"/>
        </w:rPr>
        <w:br w:type="textWrapping" w:clear="all"/>
      </w:r>
      <w:r w:rsidR="002214BA" w:rsidRPr="0078113B">
        <w:rPr>
          <w:rFonts w:cstheme="minorHAnsi"/>
          <w:i/>
          <w:sz w:val="20"/>
          <w:szCs w:val="20"/>
          <w:lang w:val="en-US"/>
        </w:rPr>
        <w:t>Note: *** significant at 1%, ** significant at 5%, * significant at 10%. E</w:t>
      </w:r>
      <w:r w:rsidR="002214BA" w:rsidRPr="004A792A">
        <w:rPr>
          <w:rFonts w:cstheme="minorHAnsi"/>
          <w:i/>
          <w:sz w:val="20"/>
          <w:szCs w:val="20"/>
          <w:lang w:val="en-US"/>
        </w:rPr>
        <w:t>stimated using Oaxaca command.</w:t>
      </w:r>
    </w:p>
    <w:sectPr w:rsidR="002214BA" w:rsidRPr="004A792A" w:rsidSect="00B812D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871F" w14:textId="77777777" w:rsidR="00993835" w:rsidRDefault="00993835" w:rsidP="00361D57">
      <w:r>
        <w:separator/>
      </w:r>
    </w:p>
  </w:endnote>
  <w:endnote w:type="continuationSeparator" w:id="0">
    <w:p w14:paraId="3FD4CB8E" w14:textId="77777777" w:rsidR="00993835" w:rsidRDefault="00993835" w:rsidP="0036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wis721 Lt BT">
    <w:altName w:val="Arial"/>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altName w:val="Sylfaen"/>
    <w:panose1 w:val="02020603050405020304"/>
    <w:charset w:val="CC"/>
    <w:family w:val="roman"/>
    <w:pitch w:val="variable"/>
    <w:sig w:usb0="E0002EFF" w:usb1="C000785B" w:usb2="00000009" w:usb3="00000000" w:csb0="000001FF" w:csb1="00000000"/>
  </w:font>
  <w:font w:name="NewCaledoniaLTStd">
    <w:altName w:val="Cambri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78553"/>
      <w:docPartObj>
        <w:docPartGallery w:val="Page Numbers (Bottom of Page)"/>
        <w:docPartUnique/>
      </w:docPartObj>
    </w:sdtPr>
    <w:sdtEndPr>
      <w:rPr>
        <w:noProof/>
      </w:rPr>
    </w:sdtEndPr>
    <w:sdtContent>
      <w:p w14:paraId="2EA3B7C2" w14:textId="77777777" w:rsidR="008D6C2F" w:rsidRDefault="008D6C2F">
        <w:pPr>
          <w:pStyle w:val="a8"/>
          <w:jc w:val="right"/>
        </w:pPr>
        <w:r>
          <w:fldChar w:fldCharType="begin"/>
        </w:r>
        <w:r>
          <w:instrText xml:space="preserve"> PAGE   \* MERGEFORMAT </w:instrText>
        </w:r>
        <w:r>
          <w:fldChar w:fldCharType="separate"/>
        </w:r>
        <w:r w:rsidR="0003253D">
          <w:rPr>
            <w:noProof/>
          </w:rPr>
          <w:t>viii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9648"/>
      <w:docPartObj>
        <w:docPartGallery w:val="Page Numbers (Bottom of Page)"/>
        <w:docPartUnique/>
      </w:docPartObj>
    </w:sdtPr>
    <w:sdtEndPr>
      <w:rPr>
        <w:noProof/>
      </w:rPr>
    </w:sdtEndPr>
    <w:sdtContent>
      <w:p w14:paraId="3466A99D" w14:textId="77777777" w:rsidR="008D6C2F" w:rsidRDefault="008D6C2F">
        <w:pPr>
          <w:pStyle w:val="a8"/>
          <w:jc w:val="right"/>
        </w:pPr>
        <w:r>
          <w:fldChar w:fldCharType="begin"/>
        </w:r>
        <w:r>
          <w:instrText xml:space="preserve"> PAGE   \* MERGEFORMAT </w:instrText>
        </w:r>
        <w:r>
          <w:fldChar w:fldCharType="separate"/>
        </w:r>
        <w:r w:rsidR="0003253D">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5B211" w14:textId="77777777" w:rsidR="00993835" w:rsidRDefault="00993835" w:rsidP="00361D57">
      <w:r>
        <w:separator/>
      </w:r>
    </w:p>
  </w:footnote>
  <w:footnote w:type="continuationSeparator" w:id="0">
    <w:p w14:paraId="6305F2C7" w14:textId="77777777" w:rsidR="00993835" w:rsidRDefault="00993835" w:rsidP="00361D57">
      <w:r>
        <w:continuationSeparator/>
      </w:r>
    </w:p>
  </w:footnote>
  <w:footnote w:id="1">
    <w:p w14:paraId="5DAF1A7B" w14:textId="0F798CAB" w:rsidR="008D6C2F" w:rsidRPr="006535AF" w:rsidRDefault="008D6C2F">
      <w:pPr>
        <w:pStyle w:val="af7"/>
      </w:pPr>
      <w:r>
        <w:rPr>
          <w:rStyle w:val="af9"/>
        </w:rPr>
        <w:footnoteRef/>
      </w:r>
      <w:r>
        <w:t xml:space="preserve"> The National Bureau of Statistics of Moldova (NBS) classifies all international migrants as inactive individuals when calculating key </w:t>
      </w:r>
      <w:proofErr w:type="spellStart"/>
      <w:r>
        <w:t>labor</w:t>
      </w:r>
      <w:proofErr w:type="spellEnd"/>
      <w:r>
        <w:t xml:space="preserve"> market indicators based on the </w:t>
      </w:r>
      <w:proofErr w:type="spellStart"/>
      <w:r>
        <w:t>Labor</w:t>
      </w:r>
      <w:proofErr w:type="spellEnd"/>
      <w:r>
        <w:t xml:space="preserve"> Force Survey (LFS).</w:t>
      </w:r>
    </w:p>
  </w:footnote>
  <w:footnote w:id="2">
    <w:p w14:paraId="20EBE963" w14:textId="57423471" w:rsidR="008D6C2F" w:rsidRPr="00022A40" w:rsidRDefault="008D6C2F" w:rsidP="00022A40">
      <w:pPr>
        <w:pStyle w:val="af7"/>
        <w:jc w:val="both"/>
        <w:rPr>
          <w:rFonts w:cstheme="minorHAnsi"/>
        </w:rPr>
      </w:pPr>
      <w:r w:rsidRPr="00022A40">
        <w:rPr>
          <w:rStyle w:val="af9"/>
          <w:rFonts w:cstheme="minorHAnsi"/>
        </w:rPr>
        <w:footnoteRef/>
      </w:r>
      <w:r w:rsidRPr="00022A40">
        <w:rPr>
          <w:rFonts w:cstheme="minorHAnsi"/>
        </w:rPr>
        <w:t xml:space="preserve"> </w:t>
      </w:r>
      <w:r w:rsidRPr="00022A40">
        <w:rPr>
          <w:rStyle w:val="af0"/>
          <w:rFonts w:cstheme="minorHAnsi"/>
          <w:sz w:val="20"/>
          <w:szCs w:val="20"/>
        </w:rPr>
        <w:t xml:space="preserve">These projections are based solely on population projections and </w:t>
      </w:r>
      <w:r>
        <w:rPr>
          <w:rStyle w:val="af0"/>
          <w:rFonts w:cstheme="minorHAnsi"/>
          <w:sz w:val="20"/>
          <w:szCs w:val="20"/>
        </w:rPr>
        <w:t xml:space="preserve">also </w:t>
      </w:r>
      <w:r w:rsidRPr="00022A40">
        <w:rPr>
          <w:rStyle w:val="af0"/>
          <w:rFonts w:cstheme="minorHAnsi"/>
          <w:sz w:val="20"/>
          <w:szCs w:val="20"/>
        </w:rPr>
        <w:t>projections</w:t>
      </w:r>
      <w:r>
        <w:rPr>
          <w:rStyle w:val="af0"/>
          <w:rFonts w:cstheme="minorHAnsi"/>
          <w:sz w:val="20"/>
          <w:szCs w:val="20"/>
        </w:rPr>
        <w:t xml:space="preserve"> and </w:t>
      </w:r>
      <w:r w:rsidRPr="00022A40">
        <w:rPr>
          <w:rStyle w:val="af0"/>
          <w:rFonts w:cstheme="minorHAnsi"/>
          <w:sz w:val="20"/>
          <w:szCs w:val="20"/>
        </w:rPr>
        <w:t>simulations of</w:t>
      </w:r>
      <w:r>
        <w:rPr>
          <w:rStyle w:val="af0"/>
          <w:rFonts w:cstheme="minorHAnsi"/>
          <w:sz w:val="20"/>
          <w:szCs w:val="20"/>
        </w:rPr>
        <w:t xml:space="preserve"> </w:t>
      </w:r>
      <w:proofErr w:type="spellStart"/>
      <w:r>
        <w:rPr>
          <w:rStyle w:val="af0"/>
          <w:rFonts w:cstheme="minorHAnsi"/>
          <w:sz w:val="20"/>
          <w:szCs w:val="20"/>
        </w:rPr>
        <w:t>labor</w:t>
      </w:r>
      <w:proofErr w:type="spellEnd"/>
      <w:r>
        <w:rPr>
          <w:rStyle w:val="af0"/>
          <w:rFonts w:cstheme="minorHAnsi"/>
          <w:sz w:val="20"/>
          <w:szCs w:val="20"/>
        </w:rPr>
        <w:t>-force participation rates</w:t>
      </w:r>
      <w:r w:rsidRPr="00022A40">
        <w:rPr>
          <w:rStyle w:val="af0"/>
          <w:rFonts w:cstheme="minorHAnsi"/>
          <w:sz w:val="20"/>
          <w:szCs w:val="20"/>
          <w:lang w:val="en-US"/>
        </w:rPr>
        <w:t xml:space="preserve">, leaving pension reform issues, </w:t>
      </w:r>
      <w:r>
        <w:rPr>
          <w:rStyle w:val="af0"/>
          <w:rFonts w:cstheme="minorHAnsi"/>
          <w:sz w:val="20"/>
          <w:szCs w:val="20"/>
          <w:lang w:val="en-US"/>
        </w:rPr>
        <w:t xml:space="preserve">migration, patterns by </w:t>
      </w:r>
      <w:r w:rsidRPr="00022A40">
        <w:rPr>
          <w:rStyle w:val="af0"/>
          <w:rFonts w:cstheme="minorHAnsi"/>
          <w:sz w:val="20"/>
          <w:szCs w:val="20"/>
          <w:lang w:val="en-US"/>
        </w:rPr>
        <w:t>cohorts aside</w:t>
      </w:r>
      <w:r w:rsidRPr="00022A40">
        <w:rPr>
          <w:rStyle w:val="af0"/>
          <w:rFonts w:cstheme="minorHAnsi"/>
          <w:sz w:val="20"/>
          <w:szCs w:val="20"/>
        </w:rPr>
        <w:t xml:space="preserve">. The same approach has been used in the </w:t>
      </w:r>
      <w:r w:rsidRPr="006406AF">
        <w:rPr>
          <w:rStyle w:val="af0"/>
          <w:rFonts w:cstheme="minorHAnsi"/>
          <w:i/>
          <w:sz w:val="20"/>
          <w:szCs w:val="20"/>
        </w:rPr>
        <w:t>Golden Aging</w:t>
      </w:r>
      <w:r w:rsidRPr="00022A40">
        <w:rPr>
          <w:rStyle w:val="af0"/>
          <w:rFonts w:cstheme="minorHAnsi"/>
          <w:sz w:val="20"/>
          <w:szCs w:val="20"/>
        </w:rPr>
        <w:t xml:space="preserve"> report (</w:t>
      </w:r>
      <w:proofErr w:type="spellStart"/>
      <w:r>
        <w:rPr>
          <w:rStyle w:val="af0"/>
          <w:rFonts w:cstheme="minorHAnsi"/>
          <w:sz w:val="20"/>
          <w:szCs w:val="20"/>
        </w:rPr>
        <w:t>Bussolo</w:t>
      </w:r>
      <w:proofErr w:type="spellEnd"/>
      <w:r>
        <w:rPr>
          <w:rStyle w:val="af0"/>
          <w:rFonts w:cstheme="minorHAnsi"/>
          <w:sz w:val="20"/>
          <w:szCs w:val="20"/>
        </w:rPr>
        <w:t xml:space="preserve"> et al., 2015)</w:t>
      </w:r>
      <w:r w:rsidRPr="00022A40">
        <w:rPr>
          <w:rStyle w:val="af0"/>
          <w:rFonts w:cstheme="minorHAnsi"/>
          <w:sz w:val="20"/>
          <w:szCs w:val="20"/>
        </w:rPr>
        <w:t>.</w:t>
      </w:r>
    </w:p>
  </w:footnote>
  <w:footnote w:id="3">
    <w:p w14:paraId="4606FD28" w14:textId="6E9AE80C" w:rsidR="008D6C2F" w:rsidRPr="00684929" w:rsidRDefault="008D6C2F" w:rsidP="007F17C9">
      <w:pPr>
        <w:pStyle w:val="af7"/>
        <w:jc w:val="both"/>
      </w:pPr>
      <w:r>
        <w:rPr>
          <w:rStyle w:val="af9"/>
        </w:rPr>
        <w:footnoteRef/>
      </w:r>
      <w:r>
        <w:t xml:space="preserve"> See Annex I for the technical details of how the main measures of occupational segregation are calculated with the LFS data.</w:t>
      </w:r>
    </w:p>
  </w:footnote>
  <w:footnote w:id="4">
    <w:p w14:paraId="1D86B19B" w14:textId="77777777" w:rsidR="008D6C2F" w:rsidRPr="0067696A" w:rsidRDefault="008D6C2F" w:rsidP="00850240">
      <w:pPr>
        <w:pStyle w:val="af7"/>
        <w:jc w:val="both"/>
        <w:rPr>
          <w:lang w:val="en-US"/>
        </w:rPr>
      </w:pPr>
      <w:r w:rsidRPr="0067696A">
        <w:rPr>
          <w:rStyle w:val="af9"/>
          <w:lang w:val="en-US"/>
        </w:rPr>
        <w:footnoteRef/>
      </w:r>
      <w:r w:rsidRPr="0067696A">
        <w:rPr>
          <w:lang w:val="en-US"/>
        </w:rPr>
        <w:t xml:space="preserve"> A similar situation is observed in many transition countries including Lithuania, Hungary, and Slovenia (</w:t>
      </w:r>
      <w:hyperlink r:id="rId1" w:history="1">
        <w:r w:rsidRPr="0067696A">
          <w:rPr>
            <w:rStyle w:val="afb"/>
            <w:lang w:val="en-US"/>
          </w:rPr>
          <w:t>http://ec.europa.eu/eurostat/documents/2995521/7672738/3-04102016-BP-EN.pdf/9f0d2d04-211a-487d-87c3-0a5f7d6b22ce</w:t>
        </w:r>
      </w:hyperlink>
      <w:r w:rsidRPr="0067696A">
        <w:rPr>
          <w:lang w:val="en-US"/>
        </w:rPr>
        <w:t>) and Ukraine.</w:t>
      </w:r>
    </w:p>
  </w:footnote>
  <w:footnote w:id="5">
    <w:p w14:paraId="2A59E6F1" w14:textId="1C0F3C1F" w:rsidR="008D6C2F" w:rsidRPr="00305139" w:rsidRDefault="008D6C2F">
      <w:pPr>
        <w:pStyle w:val="af7"/>
      </w:pPr>
      <w:r>
        <w:rPr>
          <w:rStyle w:val="af9"/>
        </w:rPr>
        <w:footnoteRef/>
      </w:r>
      <w:r>
        <w:t xml:space="preserve"> </w:t>
      </w:r>
      <w:hyperlink r:id="rId2" w:history="1">
        <w:r w:rsidRPr="0036514E">
          <w:rPr>
            <w:rStyle w:val="afb"/>
          </w:rPr>
          <w:t>http://lex.justice.md/viewdoc.php?action=view&amp;view=doc&amp;id=300608&amp;lang=1</w:t>
        </w:r>
      </w:hyperlink>
      <w:r>
        <w:t>.</w:t>
      </w:r>
    </w:p>
  </w:footnote>
  <w:footnote w:id="6">
    <w:p w14:paraId="53585B27" w14:textId="77777777" w:rsidR="008D6C2F" w:rsidRPr="001F591E" w:rsidRDefault="008D6C2F" w:rsidP="00974FA3">
      <w:pPr>
        <w:spacing w:before="0"/>
        <w:jc w:val="both"/>
        <w:rPr>
          <w:sz w:val="20"/>
          <w:szCs w:val="20"/>
          <w:lang w:val="en-US"/>
        </w:rPr>
      </w:pPr>
      <w:r w:rsidRPr="001F591E">
        <w:rPr>
          <w:rStyle w:val="af9"/>
          <w:sz w:val="20"/>
          <w:szCs w:val="20"/>
          <w:lang w:val="en-US"/>
        </w:rPr>
        <w:footnoteRef/>
      </w:r>
      <w:r w:rsidRPr="001F591E">
        <w:rPr>
          <w:sz w:val="20"/>
          <w:szCs w:val="20"/>
          <w:lang w:val="en-US"/>
        </w:rPr>
        <w:t xml:space="preserve"> </w:t>
      </w:r>
      <w:r w:rsidRPr="002C08A0">
        <w:rPr>
          <w:sz w:val="20"/>
          <w:szCs w:val="20"/>
          <w:lang w:val="en-US"/>
        </w:rPr>
        <w:t>Skill level 4 corresponds to two top groups (Senior officials and managers, Professionals), followed by Skill level 3 for Technicians and associate professionals, Skill level 2 for five occupational groups from Clerks to Plant and machine operators and assemblers, and Skill level 1 for Elementary occupations.</w:t>
      </w:r>
    </w:p>
  </w:footnote>
  <w:footnote w:id="7">
    <w:p w14:paraId="7FADCAD2" w14:textId="1FEC4A79" w:rsidR="008D6C2F" w:rsidRPr="0067542D" w:rsidRDefault="008D6C2F" w:rsidP="00501BD7">
      <w:pPr>
        <w:pStyle w:val="af7"/>
        <w:jc w:val="both"/>
        <w:rPr>
          <w:lang w:val="en-US"/>
        </w:rPr>
      </w:pPr>
      <w:r w:rsidRPr="0067542D">
        <w:rPr>
          <w:rStyle w:val="af9"/>
          <w:lang w:val="en-US"/>
        </w:rPr>
        <w:footnoteRef/>
      </w:r>
      <w:r w:rsidRPr="0067542D">
        <w:rPr>
          <w:lang w:val="en-US"/>
        </w:rPr>
        <w:t xml:space="preserve"> The comparison of average weekly hours reported by full-time workers in 2016 across 3-digit ISCO-2008 occupations shows that health and teaching professionals worked on average shorter hours than workers in other professions: medical doctors (code 221) worked 34.7 hours, other health professionals (code 226) – 36 hours, secondary education teachers (code 233) – 16 hours, vocational education teachers (code 232) – 22 hours, higher education, primary school and other teaching professionals (codes 231, 234, 235) – 27-28 hours. For comparison, full-time workers in many other occupational groups, except for ship and aircraft controllers, office clerks and secretaries, information client workers and other clerical support workers, housekeeping supervisors and subsistence farmers, worked on average 38-40 hours per week or even more.</w:t>
      </w:r>
    </w:p>
  </w:footnote>
  <w:footnote w:id="8">
    <w:p w14:paraId="00CC61EE" w14:textId="77777777" w:rsidR="008D6C2F" w:rsidRPr="0067542D" w:rsidRDefault="008D6C2F" w:rsidP="00FB5356">
      <w:pPr>
        <w:pStyle w:val="af7"/>
        <w:jc w:val="both"/>
        <w:rPr>
          <w:lang w:val="en-US"/>
        </w:rPr>
      </w:pPr>
      <w:r w:rsidRPr="0067542D">
        <w:rPr>
          <w:rStyle w:val="af9"/>
          <w:lang w:val="en-US"/>
        </w:rPr>
        <w:footnoteRef/>
      </w:r>
      <w:r w:rsidRPr="0067542D">
        <w:rPr>
          <w:lang w:val="en-US"/>
        </w:rPr>
        <w:t xml:space="preserve"> </w:t>
      </w:r>
      <w:r>
        <w:rPr>
          <w:lang w:val="en-US"/>
        </w:rPr>
        <w:t>According to the NBS definition, i</w:t>
      </w:r>
      <w:r w:rsidRPr="0067542D">
        <w:rPr>
          <w:lang w:val="en-US"/>
        </w:rPr>
        <w:t>nformal employment comprises all persons who during the survey reference week had any of the following types of job: (1) Own account workers or employers working in informal sector enterprises; (2) Members of informal producers' co-operatives; (3) Contributing family workers, whether employed in formal sector or informal sector enterprises; (4) Employees employed by formal sector enterprises, informal sector enterprises, or as paid domestic workers by households, who were in one or more of the following situations: their employer did not pay social contributions for them; they did not have the possibility to benefit from paid annual leave; they would not be given paid sick leave in the case of illness; and (5) Persons engaged in the production of agricultural goods exclusively for own consumption by their household, if they worked for 20 or more hours during the survey reference week in this activity (NBS, 2017).</w:t>
      </w:r>
    </w:p>
  </w:footnote>
  <w:footnote w:id="9">
    <w:p w14:paraId="74FCBAB6" w14:textId="77777777" w:rsidR="008D6C2F" w:rsidRPr="0067542D" w:rsidRDefault="008D6C2F" w:rsidP="00477647">
      <w:pPr>
        <w:pStyle w:val="af7"/>
        <w:jc w:val="both"/>
        <w:rPr>
          <w:lang w:val="en-US"/>
        </w:rPr>
      </w:pPr>
      <w:r w:rsidRPr="0067542D">
        <w:rPr>
          <w:rStyle w:val="af9"/>
          <w:lang w:val="en-US"/>
        </w:rPr>
        <w:footnoteRef/>
      </w:r>
      <w:r w:rsidRPr="0067542D">
        <w:rPr>
          <w:lang w:val="en-US"/>
        </w:rPr>
        <w:t xml:space="preserve"> </w:t>
      </w:r>
      <w:r w:rsidRPr="0067542D">
        <w:rPr>
          <w:color w:val="000000"/>
          <w:lang w:val="en-US"/>
        </w:rPr>
        <w:t xml:space="preserve">It should be noted that different approaches to the definition of informal employment are used in Ukraine (the enterprise-based concept of employment in the informal sector plus workers without a written contract in the formal sector) and Moldova (a broader, job-based concept of informal employment, taking into account </w:t>
      </w:r>
      <w:r w:rsidRPr="0067542D">
        <w:rPr>
          <w:lang w:val="en-US"/>
        </w:rPr>
        <w:t>entitlement to certain fringe benefits</w:t>
      </w:r>
      <w:r w:rsidRPr="0067542D">
        <w:rPr>
          <w:color w:val="000000"/>
          <w:lang w:val="en-US"/>
        </w:rPr>
        <w:t>).</w:t>
      </w:r>
    </w:p>
  </w:footnote>
  <w:footnote w:id="10">
    <w:p w14:paraId="70117B12" w14:textId="77777777" w:rsidR="008D6C2F" w:rsidRPr="0067542D" w:rsidRDefault="008D6C2F" w:rsidP="00F90B76">
      <w:pPr>
        <w:pStyle w:val="af7"/>
        <w:rPr>
          <w:lang w:val="en-US"/>
        </w:rPr>
      </w:pPr>
      <w:r w:rsidRPr="0067542D">
        <w:rPr>
          <w:rStyle w:val="af9"/>
          <w:lang w:val="en-US"/>
        </w:rPr>
        <w:footnoteRef/>
      </w:r>
      <w:r w:rsidRPr="0067542D">
        <w:rPr>
          <w:lang w:val="en-US"/>
        </w:rPr>
        <w:t xml:space="preserve"> There is no information about the field of studies for unemployed individuals and those outside the labor force.</w:t>
      </w:r>
    </w:p>
  </w:footnote>
  <w:footnote w:id="11">
    <w:p w14:paraId="69AB4E8F" w14:textId="77777777" w:rsidR="008D6C2F" w:rsidRPr="0067542D" w:rsidRDefault="008D6C2F" w:rsidP="006B70EA">
      <w:pPr>
        <w:pStyle w:val="af7"/>
        <w:jc w:val="both"/>
        <w:rPr>
          <w:lang w:val="en-US"/>
        </w:rPr>
      </w:pPr>
      <w:r w:rsidRPr="0067542D">
        <w:rPr>
          <w:rStyle w:val="af9"/>
          <w:lang w:val="en-US"/>
        </w:rPr>
        <w:footnoteRef/>
      </w:r>
      <w:r w:rsidRPr="0067542D">
        <w:rPr>
          <w:lang w:val="en-US"/>
        </w:rPr>
        <w:t xml:space="preserve"> The question about the field of studies follows after the question about correspondence between occupation and education in the LFS questionnaire. There are some observations with missing information about specialization for mismatched workers (22.4 of the </w:t>
      </w:r>
      <w:proofErr w:type="spellStart"/>
      <w:r w:rsidRPr="0067542D">
        <w:rPr>
          <w:lang w:val="en-US"/>
        </w:rPr>
        <w:t>unweighted</w:t>
      </w:r>
      <w:proofErr w:type="spellEnd"/>
      <w:r w:rsidRPr="0067542D">
        <w:rPr>
          <w:lang w:val="en-US"/>
        </w:rPr>
        <w:t xml:space="preserve"> sample of employed in 2016), mainly among lower-skilled workers in ISCO groups 5 to 9. Such observations are grouped into the category "Elementary occupations and/or unspecified specialization".</w:t>
      </w:r>
    </w:p>
  </w:footnote>
  <w:footnote w:id="12">
    <w:p w14:paraId="6BF1A8E0" w14:textId="77777777" w:rsidR="008D6C2F" w:rsidRPr="002C08A0" w:rsidRDefault="008D6C2F" w:rsidP="00791273">
      <w:pPr>
        <w:pStyle w:val="af7"/>
        <w:jc w:val="both"/>
        <w:rPr>
          <w:lang w:val="en-US"/>
        </w:rPr>
      </w:pPr>
      <w:r w:rsidRPr="0067542D">
        <w:rPr>
          <w:rStyle w:val="af9"/>
          <w:lang w:val="en-US"/>
        </w:rPr>
        <w:footnoteRef/>
      </w:r>
      <w:r w:rsidRPr="0067542D">
        <w:rPr>
          <w:lang w:val="en-US"/>
        </w:rPr>
        <w:t xml:space="preserve"> According to the ILO (2018), unpaid care work refers to all unpaid services provided within a household for its members, including direct, face-to-face, personal care activities (sometimes referred to as “nurturing” or “relational” care) and indirect care activities such as cleaning, cooking, doing the laundry and other household maintenance tasks (sometimes referred to as “non-relational care” or “household work”), that provide the preconditions for personal caregiving.</w:t>
      </w:r>
    </w:p>
  </w:footnote>
  <w:footnote w:id="13">
    <w:p w14:paraId="1D734BFC" w14:textId="66372D5B" w:rsidR="008D6C2F" w:rsidRPr="007F17C9" w:rsidRDefault="008D6C2F" w:rsidP="007F17C9">
      <w:pPr>
        <w:pStyle w:val="af7"/>
        <w:jc w:val="both"/>
      </w:pPr>
      <w:r>
        <w:rPr>
          <w:rStyle w:val="af9"/>
        </w:rPr>
        <w:footnoteRef/>
      </w:r>
      <w:r>
        <w:t xml:space="preserve"> See Annex I for the technical details of how children-related variables used in Sections 3.2-3.3 are constructed from the LFS data and how </w:t>
      </w:r>
      <w:proofErr w:type="spellStart"/>
      <w:r>
        <w:t>labor</w:t>
      </w:r>
      <w:proofErr w:type="spellEnd"/>
      <w:r>
        <w:t xml:space="preserve"> force participation and employment rates are calculated to adjust for a large pool of international migrants that are classified by the NBS as inactive individuals.</w:t>
      </w:r>
    </w:p>
  </w:footnote>
  <w:footnote w:id="14">
    <w:p w14:paraId="36DBBD01" w14:textId="46F1B76F" w:rsidR="008D6C2F" w:rsidRPr="002C08A0" w:rsidRDefault="008D6C2F" w:rsidP="00235ECD">
      <w:pPr>
        <w:pStyle w:val="af7"/>
        <w:jc w:val="both"/>
        <w:rPr>
          <w:lang w:val="en-US"/>
        </w:rPr>
      </w:pPr>
      <w:r w:rsidRPr="001F5205">
        <w:rPr>
          <w:rStyle w:val="af9"/>
          <w:lang w:val="en-US"/>
        </w:rPr>
        <w:footnoteRef/>
      </w:r>
      <w:r w:rsidRPr="001F5205">
        <w:rPr>
          <w:lang w:val="en-US"/>
        </w:rPr>
        <w:t xml:space="preserve"> The difference in labor force participation and employment rates between fathers of 1 child and of 2 and more children </w:t>
      </w:r>
      <w:r>
        <w:rPr>
          <w:lang w:val="en-US"/>
        </w:rPr>
        <w:t xml:space="preserve">under 7 years </w:t>
      </w:r>
      <w:r w:rsidRPr="001F5205">
        <w:rPr>
          <w:lang w:val="en-US"/>
        </w:rPr>
        <w:t>is insignificant (</w:t>
      </w:r>
      <w:r>
        <w:t>Table A-</w:t>
      </w:r>
      <w:r>
        <w:rPr>
          <w:noProof/>
        </w:rPr>
        <w:t>9</w:t>
      </w:r>
      <w:r w:rsidRPr="001F5205">
        <w:rPr>
          <w:lang w:val="en-US"/>
        </w:rPr>
        <w:t>).</w:t>
      </w:r>
    </w:p>
  </w:footnote>
  <w:footnote w:id="15">
    <w:p w14:paraId="26EEAF93" w14:textId="77777777" w:rsidR="008D6C2F" w:rsidRPr="00BA0681" w:rsidRDefault="008D6C2F">
      <w:pPr>
        <w:pStyle w:val="af7"/>
        <w:rPr>
          <w:lang w:val="en-US"/>
        </w:rPr>
      </w:pPr>
      <w:r w:rsidRPr="001F5205">
        <w:rPr>
          <w:rStyle w:val="af9"/>
          <w:lang w:val="en-US"/>
        </w:rPr>
        <w:footnoteRef/>
      </w:r>
      <w:r w:rsidRPr="001F5205">
        <w:rPr>
          <w:lang w:val="en-US"/>
        </w:rPr>
        <w:t xml:space="preserve"> </w:t>
      </w:r>
      <w:r w:rsidRPr="002C08A0">
        <w:rPr>
          <w:lang w:val="en-US"/>
        </w:rPr>
        <w:t>Results for employment rate are very similar because of very low unemployment of parents.</w:t>
      </w:r>
    </w:p>
  </w:footnote>
  <w:footnote w:id="16">
    <w:p w14:paraId="728DBD3A" w14:textId="77777777" w:rsidR="008D6C2F" w:rsidRPr="00872CBD" w:rsidRDefault="008D6C2F" w:rsidP="00403AB7">
      <w:pPr>
        <w:pStyle w:val="af7"/>
        <w:jc w:val="both"/>
      </w:pPr>
      <w:r>
        <w:rPr>
          <w:rStyle w:val="af9"/>
        </w:rPr>
        <w:footnoteRef/>
      </w:r>
      <w:r>
        <w:t xml:space="preserve"> According to the NBS, out of </w:t>
      </w:r>
      <w:r w:rsidRPr="00403AB7">
        <w:t>149</w:t>
      </w:r>
      <w:r>
        <w:t>,</w:t>
      </w:r>
      <w:r w:rsidRPr="00403AB7">
        <w:t>216</w:t>
      </w:r>
      <w:r>
        <w:t xml:space="preserve"> children attending </w:t>
      </w:r>
      <w:r w:rsidRPr="00403AB7">
        <w:t>early education institutions</w:t>
      </w:r>
      <w:r>
        <w:t xml:space="preserve"> in 2017, only </w:t>
      </w:r>
      <w:r w:rsidRPr="00403AB7">
        <w:t>11.2</w:t>
      </w:r>
      <w:r>
        <w:t xml:space="preserve"> percent were aged under 3 years.</w:t>
      </w:r>
    </w:p>
  </w:footnote>
  <w:footnote w:id="17">
    <w:p w14:paraId="254F34C7" w14:textId="3DFC9307" w:rsidR="008D6C2F" w:rsidRPr="00235ECD" w:rsidRDefault="008D6C2F" w:rsidP="00235ECD">
      <w:pPr>
        <w:pStyle w:val="af7"/>
        <w:jc w:val="both"/>
      </w:pPr>
      <w:r w:rsidRPr="00235ECD">
        <w:rPr>
          <w:rStyle w:val="af9"/>
        </w:rPr>
        <w:footnoteRef/>
      </w:r>
      <w:r w:rsidRPr="00235ECD">
        <w:t xml:space="preserve"> </w:t>
      </w:r>
      <w:r w:rsidRPr="00235ECD">
        <w:rPr>
          <w:color w:val="000000"/>
        </w:rPr>
        <w:t xml:space="preserve">To test the impact of children on participation and employment rates of men and women along with other characteristics (age, education, marital status, living in rural or urban areas, and region) we run </w:t>
      </w:r>
      <w:proofErr w:type="spellStart"/>
      <w:r w:rsidRPr="00235ECD">
        <w:rPr>
          <w:color w:val="000000"/>
        </w:rPr>
        <w:t>probit</w:t>
      </w:r>
      <w:proofErr w:type="spellEnd"/>
      <w:r w:rsidRPr="00235ECD">
        <w:rPr>
          <w:color w:val="000000"/>
        </w:rPr>
        <w:t xml:space="preserve"> regression models, with being in the </w:t>
      </w:r>
      <w:proofErr w:type="spellStart"/>
      <w:r w:rsidRPr="00235ECD">
        <w:rPr>
          <w:color w:val="000000"/>
        </w:rPr>
        <w:t>labor</w:t>
      </w:r>
      <w:proofErr w:type="spellEnd"/>
      <w:r w:rsidRPr="00235ECD">
        <w:rPr>
          <w:color w:val="000000"/>
        </w:rPr>
        <w:t xml:space="preserve"> force or employment as the dependent variable. The results of these regressions for </w:t>
      </w:r>
      <w:proofErr w:type="spellStart"/>
      <w:r w:rsidRPr="00235ECD">
        <w:rPr>
          <w:color w:val="000000"/>
        </w:rPr>
        <w:t>labor</w:t>
      </w:r>
      <w:proofErr w:type="spellEnd"/>
      <w:r w:rsidRPr="00235ECD">
        <w:rPr>
          <w:color w:val="000000"/>
        </w:rPr>
        <w:t xml:space="preserve"> force participation are reported in </w:t>
      </w:r>
      <w:r w:rsidRPr="00235ECD">
        <w:rPr>
          <w:color w:val="000000"/>
        </w:rPr>
        <w:fldChar w:fldCharType="begin"/>
      </w:r>
      <w:r w:rsidRPr="00235ECD">
        <w:rPr>
          <w:color w:val="000000"/>
        </w:rPr>
        <w:instrText xml:space="preserve"> REF _Ref519253835 \h  \* MERGEFORMAT </w:instrText>
      </w:r>
      <w:r w:rsidRPr="00235ECD">
        <w:rPr>
          <w:color w:val="000000"/>
        </w:rPr>
      </w:r>
      <w:r w:rsidRPr="00235ECD">
        <w:rPr>
          <w:color w:val="000000"/>
        </w:rPr>
        <w:fldChar w:fldCharType="separate"/>
      </w:r>
      <w:r w:rsidRPr="00235ECD">
        <w:rPr>
          <w:color w:val="000000"/>
        </w:rPr>
        <w:t>Table 4</w:t>
      </w:r>
      <w:r w:rsidRPr="00235ECD">
        <w:rPr>
          <w:color w:val="000000"/>
        </w:rPr>
        <w:fldChar w:fldCharType="end"/>
      </w:r>
      <w:r w:rsidRPr="00235ECD">
        <w:rPr>
          <w:color w:val="000000"/>
        </w:rPr>
        <w:t xml:space="preserve"> for 2016 and in </w:t>
      </w:r>
      <w:r w:rsidRPr="00235ECD">
        <w:rPr>
          <w:color w:val="000000"/>
        </w:rPr>
        <w:fldChar w:fldCharType="begin"/>
      </w:r>
      <w:r w:rsidRPr="00235ECD">
        <w:rPr>
          <w:color w:val="000000"/>
        </w:rPr>
        <w:instrText xml:space="preserve"> REF _Ref519253860 \h  \* MERGEFORMAT </w:instrText>
      </w:r>
      <w:r w:rsidRPr="00235ECD">
        <w:rPr>
          <w:color w:val="000000"/>
        </w:rPr>
      </w:r>
      <w:r w:rsidRPr="00235ECD">
        <w:rPr>
          <w:color w:val="000000"/>
        </w:rPr>
        <w:fldChar w:fldCharType="separate"/>
      </w:r>
      <w:r w:rsidRPr="00235ECD">
        <w:rPr>
          <w:color w:val="000000"/>
        </w:rPr>
        <w:t>Table A-10</w:t>
      </w:r>
      <w:r w:rsidRPr="00235ECD">
        <w:t xml:space="preserve"> </w:t>
      </w:r>
      <w:r w:rsidRPr="00235ECD">
        <w:rPr>
          <w:color w:val="000000"/>
        </w:rPr>
        <w:fldChar w:fldCharType="end"/>
      </w:r>
      <w:r w:rsidRPr="00235ECD">
        <w:rPr>
          <w:color w:val="000000"/>
        </w:rPr>
        <w:t xml:space="preserve"> for the pooled dataset in 2009-2016.</w:t>
      </w:r>
      <w:r w:rsidRPr="00235ECD">
        <w:rPr>
          <w:vertAlign w:val="superscript"/>
        </w:rPr>
        <w:footnoteRef/>
      </w:r>
      <w:r w:rsidRPr="00235ECD">
        <w:rPr>
          <w:color w:val="000000"/>
          <w:vertAlign w:val="superscript"/>
        </w:rPr>
        <w:t xml:space="preserve"> </w:t>
      </w:r>
      <w:r w:rsidRPr="00235ECD">
        <w:rPr>
          <w:color w:val="000000"/>
        </w:rPr>
        <w:t>Specifications 1 include the number of children under 7 years among explanatory variables, and specifications 2 include age of the youngest child instead. Specifications a) use the sample of all surveyed individuals aged 15-64 years, whereas specifications b) exclude international migrants which are classified as being inactive by the NBS.</w:t>
      </w:r>
      <w:r>
        <w:rPr>
          <w:color w:val="000000"/>
        </w:rPr>
        <w:t xml:space="preserve"> </w:t>
      </w:r>
      <w:r w:rsidRPr="00235ECD">
        <w:rPr>
          <w:lang w:val="en-US"/>
        </w:rPr>
        <w:t>The results for employment regressions, which are very similar to labor force participation regressions, can be provided by the author at request. The analysis in the pooled framework is limited to 2009-2016 because of missing data on important variables before 2009</w:t>
      </w:r>
      <w:r>
        <w:rPr>
          <w:lang w:val="en-US"/>
        </w:rPr>
        <w:t>.</w:t>
      </w:r>
    </w:p>
  </w:footnote>
  <w:footnote w:id="18">
    <w:p w14:paraId="3F1ACE3C" w14:textId="77777777" w:rsidR="008D6C2F" w:rsidRPr="001F5205" w:rsidRDefault="008D6C2F" w:rsidP="00350482">
      <w:pPr>
        <w:pStyle w:val="af7"/>
        <w:jc w:val="both"/>
        <w:rPr>
          <w:lang w:val="en-US"/>
        </w:rPr>
      </w:pPr>
      <w:r w:rsidRPr="001F5205">
        <w:rPr>
          <w:rStyle w:val="af9"/>
          <w:lang w:val="en-US"/>
        </w:rPr>
        <w:footnoteRef/>
      </w:r>
      <w:r w:rsidRPr="001F5205">
        <w:rPr>
          <w:lang w:val="en-US"/>
        </w:rPr>
        <w:t xml:space="preserve"> We analyze “under 15” rather than “under 7” here because the number of employed women with children under 15 is much larger than the number of working mothers of children under 7 years (2,653 vs 1,163 in 2016), and therefore we are likely to have less serious reliability problems of our estimates when we look at cross-tab</w:t>
      </w:r>
      <w:r>
        <w:rPr>
          <w:lang w:val="en-US"/>
        </w:rPr>
        <w:t>ulation</w:t>
      </w:r>
      <w:r w:rsidRPr="001F5205">
        <w:rPr>
          <w:lang w:val="en-US"/>
        </w:rPr>
        <w:t>s by employment characteristics and number of children. The same refers to working fathers with children under 15 and 7 years (2,619 vs 1,520 observations in the 2016 sample of employed individuals aged 15-64 years).</w:t>
      </w:r>
    </w:p>
  </w:footnote>
  <w:footnote w:id="19">
    <w:p w14:paraId="3D5EA142" w14:textId="3FE4C98B" w:rsidR="008D6C2F" w:rsidRPr="00350482" w:rsidRDefault="008D6C2F" w:rsidP="00350482">
      <w:pPr>
        <w:pStyle w:val="af1"/>
        <w:jc w:val="both"/>
      </w:pPr>
      <w:r>
        <w:rPr>
          <w:rStyle w:val="af9"/>
        </w:rPr>
        <w:footnoteRef/>
      </w:r>
      <w:r>
        <w:t xml:space="preserve"> By construction, there is no correspondence between the number of mothers and fathers with x number of children</w:t>
      </w:r>
      <w:r w:rsidRPr="00350482">
        <w:t xml:space="preserve"> </w:t>
      </w:r>
      <w:r>
        <w:t>because in the case of divorce or separation children stay with mothers in the overwhelming majority of cases. There are 455 mothers of 3 and more children in the LFS sample in 2016, and 174 of them are employed. For comparison, only 74 fathers of 3 and more children in the sample, and 48 of them are employed.</w:t>
      </w:r>
    </w:p>
  </w:footnote>
  <w:footnote w:id="20">
    <w:p w14:paraId="0B39CADB" w14:textId="4216EEFF" w:rsidR="008D6C2F" w:rsidRPr="00BA0681" w:rsidRDefault="008D6C2F" w:rsidP="00A17277">
      <w:pPr>
        <w:pStyle w:val="af7"/>
        <w:jc w:val="both"/>
        <w:rPr>
          <w:lang w:val="en-US"/>
        </w:rPr>
      </w:pPr>
      <w:r w:rsidRPr="001F5205">
        <w:rPr>
          <w:rStyle w:val="af9"/>
          <w:lang w:val="en-US"/>
        </w:rPr>
        <w:footnoteRef/>
      </w:r>
      <w:r w:rsidRPr="001F5205">
        <w:rPr>
          <w:lang w:val="en-US"/>
        </w:rPr>
        <w:t xml:space="preserve"> </w:t>
      </w:r>
      <w:r>
        <w:rPr>
          <w:lang w:val="en-US"/>
        </w:rPr>
        <w:t xml:space="preserve">This result should be interpreted with caution because of a small sample of </w:t>
      </w:r>
      <w:r w:rsidRPr="002C08A0">
        <w:rPr>
          <w:lang w:val="en-US"/>
        </w:rPr>
        <w:t xml:space="preserve">urban </w:t>
      </w:r>
      <w:r>
        <w:rPr>
          <w:lang w:val="en-US"/>
        </w:rPr>
        <w:t xml:space="preserve">female workers having </w:t>
      </w:r>
      <w:r w:rsidRPr="00BA0681">
        <w:rPr>
          <w:lang w:val="en-US"/>
        </w:rPr>
        <w:t>3 and more children under 15 years</w:t>
      </w:r>
      <w:r>
        <w:rPr>
          <w:lang w:val="en-US"/>
        </w:rPr>
        <w:t xml:space="preserve"> (31 individuals). </w:t>
      </w:r>
      <w:r w:rsidRPr="002C08A0">
        <w:rPr>
          <w:lang w:val="en-US"/>
        </w:rPr>
        <w:t xml:space="preserve">In the </w:t>
      </w:r>
      <w:proofErr w:type="spellStart"/>
      <w:r w:rsidRPr="002C08A0">
        <w:rPr>
          <w:lang w:val="en-US"/>
        </w:rPr>
        <w:t>probit</w:t>
      </w:r>
      <w:proofErr w:type="spellEnd"/>
      <w:r w:rsidRPr="002C08A0">
        <w:rPr>
          <w:lang w:val="en-US"/>
        </w:rPr>
        <w:t xml:space="preserve"> model with the same dependent and explanatory variables as in </w:t>
      </w:r>
      <w:r w:rsidRPr="001F5205">
        <w:rPr>
          <w:color w:val="000000"/>
          <w:lang w:val="en-US"/>
        </w:rPr>
        <w:fldChar w:fldCharType="begin"/>
      </w:r>
      <w:r w:rsidRPr="00A17277">
        <w:rPr>
          <w:color w:val="000000"/>
          <w:lang w:val="en-US"/>
        </w:rPr>
        <w:instrText xml:space="preserve"> REF _Ref519274196 \h  \* MERGEFORMAT </w:instrText>
      </w:r>
      <w:r w:rsidRPr="001F5205">
        <w:rPr>
          <w:color w:val="000000"/>
          <w:lang w:val="en-US"/>
        </w:rPr>
      </w:r>
      <w:r w:rsidRPr="001F5205">
        <w:rPr>
          <w:color w:val="000000"/>
          <w:lang w:val="en-US"/>
        </w:rPr>
        <w:fldChar w:fldCharType="separate"/>
      </w:r>
      <w:r w:rsidRPr="002C08A0">
        <w:rPr>
          <w:lang w:val="en-US"/>
        </w:rPr>
        <w:t xml:space="preserve">Annex </w:t>
      </w:r>
      <w:r w:rsidRPr="002C08A0">
        <w:rPr>
          <w:noProof/>
          <w:lang w:val="en-US"/>
        </w:rPr>
        <w:t>11</w:t>
      </w:r>
      <w:r w:rsidRPr="001F5205">
        <w:rPr>
          <w:color w:val="000000"/>
          <w:lang w:val="en-US"/>
        </w:rPr>
        <w:fldChar w:fldCharType="end"/>
      </w:r>
      <w:r w:rsidRPr="002C08A0">
        <w:rPr>
          <w:lang w:val="en-US"/>
        </w:rPr>
        <w:t xml:space="preserve"> but </w:t>
      </w:r>
      <w:r>
        <w:rPr>
          <w:lang w:val="en-US"/>
        </w:rPr>
        <w:t xml:space="preserve">using </w:t>
      </w:r>
      <w:r w:rsidRPr="002C08A0">
        <w:rPr>
          <w:lang w:val="en-US"/>
        </w:rPr>
        <w:t xml:space="preserve"> the number of children used instead of age of the youngest child, urban mothers </w:t>
      </w:r>
      <w:r w:rsidRPr="00BA0681">
        <w:rPr>
          <w:lang w:val="en-US"/>
        </w:rPr>
        <w:t xml:space="preserve">of 3 and more children under 15 years are more likely to be informally employed than </w:t>
      </w:r>
      <w:proofErr w:type="spellStart"/>
      <w:r w:rsidRPr="00BA0681">
        <w:rPr>
          <w:lang w:val="en-US"/>
        </w:rPr>
        <w:t>nonmothers</w:t>
      </w:r>
      <w:proofErr w:type="spellEnd"/>
      <w:r w:rsidRPr="00BA0681">
        <w:rPr>
          <w:lang w:val="en-US"/>
        </w:rPr>
        <w:t xml:space="preserve"> albeit the effect is marginally significant (at 10% level).</w:t>
      </w:r>
    </w:p>
  </w:footnote>
  <w:footnote w:id="21">
    <w:p w14:paraId="10D191CE" w14:textId="5BE43154" w:rsidR="008D6C2F" w:rsidRPr="002C08A0" w:rsidRDefault="008D6C2F" w:rsidP="004543A4">
      <w:pPr>
        <w:pStyle w:val="af7"/>
        <w:jc w:val="both"/>
        <w:rPr>
          <w:lang w:val="en-US"/>
        </w:rPr>
      </w:pPr>
      <w:r w:rsidRPr="00A17277">
        <w:rPr>
          <w:rStyle w:val="af9"/>
          <w:lang w:val="en-US"/>
        </w:rPr>
        <w:footnoteRef/>
      </w:r>
      <w:r w:rsidRPr="00A17277">
        <w:rPr>
          <w:lang w:val="en-US"/>
        </w:rPr>
        <w:t xml:space="preserve"> Here p</w:t>
      </w:r>
      <w:r w:rsidRPr="00A17277">
        <w:rPr>
          <w:color w:val="000000"/>
          <w:lang w:val="en-US"/>
        </w:rPr>
        <w:t xml:space="preserve">art-time employment is self-defined by female workers, i.e. based not on the hours actually worked during the reference week but on the question about a regular working regime. The incidence of </w:t>
      </w:r>
      <w:r w:rsidRPr="00A17277">
        <w:rPr>
          <w:lang w:val="en-US"/>
        </w:rPr>
        <w:t>self-reported part-time work increases from 3.9 percent among women with the youngest child aged 15-17 years to 18 percent among mothers of infants (0-2 years), compared to 5.7 percent among non-mothers. In all categories of children’s age</w:t>
      </w:r>
      <w:r>
        <w:rPr>
          <w:lang w:val="en-US"/>
        </w:rPr>
        <w:t>,</w:t>
      </w:r>
      <w:r w:rsidRPr="00A17277">
        <w:rPr>
          <w:lang w:val="en-US"/>
        </w:rPr>
        <w:t xml:space="preserve"> it is lower than the incidence of working less than 20 hours shown in </w:t>
      </w:r>
      <w:r w:rsidRPr="00A17277">
        <w:rPr>
          <w:lang w:val="en-US"/>
        </w:rPr>
        <w:fldChar w:fldCharType="begin"/>
      </w:r>
      <w:r w:rsidRPr="00A17277">
        <w:rPr>
          <w:lang w:val="en-US"/>
        </w:rPr>
        <w:instrText xml:space="preserve"> REF _Ref519278627 \h  \* MERGEFORMAT </w:instrText>
      </w:r>
      <w:r w:rsidRPr="00A17277">
        <w:rPr>
          <w:lang w:val="en-US"/>
        </w:rPr>
      </w:r>
      <w:r w:rsidRPr="00A17277">
        <w:rPr>
          <w:lang w:val="en-US"/>
        </w:rPr>
        <w:fldChar w:fldCharType="separate"/>
      </w:r>
      <w:r w:rsidRPr="002C08A0">
        <w:rPr>
          <w:lang w:val="en-US"/>
        </w:rPr>
        <w:t xml:space="preserve">Figure </w:t>
      </w:r>
      <w:r w:rsidRPr="002C08A0">
        <w:rPr>
          <w:noProof/>
          <w:lang w:val="en-US"/>
        </w:rPr>
        <w:t>1</w:t>
      </w:r>
      <w:r w:rsidRPr="00A17277">
        <w:rPr>
          <w:lang w:val="en-US"/>
        </w:rPr>
        <w:fldChar w:fldCharType="end"/>
      </w:r>
      <w:r>
        <w:rPr>
          <w:lang w:val="en-US"/>
        </w:rPr>
        <w:t>9</w:t>
      </w:r>
      <w:r w:rsidRPr="00A17277">
        <w:rPr>
          <w:lang w:val="en-US"/>
        </w:rPr>
        <w:t>.</w:t>
      </w:r>
    </w:p>
  </w:footnote>
  <w:footnote w:id="22">
    <w:p w14:paraId="0827C51A" w14:textId="26849309" w:rsidR="008D6C2F" w:rsidRPr="00884035" w:rsidRDefault="008D6C2F" w:rsidP="00884035">
      <w:pPr>
        <w:pStyle w:val="af7"/>
        <w:jc w:val="both"/>
      </w:pPr>
      <w:r>
        <w:rPr>
          <w:rStyle w:val="af9"/>
        </w:rPr>
        <w:footnoteRef/>
      </w:r>
      <w:r>
        <w:t xml:space="preserve"> See Annex I for the technical details of how the sample and earnings variable are constructed to measure the unadjusted gender pay gap using the LFS data and how the adjusted pay gap is then estimated.</w:t>
      </w:r>
    </w:p>
  </w:footnote>
  <w:footnote w:id="23">
    <w:p w14:paraId="66B1D5E6" w14:textId="164C73C4" w:rsidR="008D6C2F" w:rsidRPr="00607AF8" w:rsidRDefault="008D6C2F" w:rsidP="00607AF8">
      <w:pPr>
        <w:pStyle w:val="af7"/>
        <w:jc w:val="both"/>
      </w:pPr>
      <w:r>
        <w:rPr>
          <w:rStyle w:val="af9"/>
        </w:rPr>
        <w:footnoteRef/>
      </w:r>
      <w:r>
        <w:t xml:space="preserve"> </w:t>
      </w:r>
      <w:r w:rsidRPr="00607AF8">
        <w:t>Although the LFS-based measure of gender pay gap is not strictly in line with the Eurostat measure of gender pay gap based on Structure of Earnings Survey, we use the Eurostat estimates to compare Moldova with EU countries.</w:t>
      </w:r>
    </w:p>
  </w:footnote>
  <w:footnote w:id="24">
    <w:p w14:paraId="58D9A32A" w14:textId="77777777" w:rsidR="008D6C2F" w:rsidRPr="000963B6" w:rsidRDefault="008D6C2F" w:rsidP="00607AF8">
      <w:pPr>
        <w:pStyle w:val="af7"/>
        <w:jc w:val="both"/>
        <w:rPr>
          <w:lang w:val="en-US"/>
        </w:rPr>
      </w:pPr>
      <w:r w:rsidRPr="000963B6">
        <w:rPr>
          <w:rStyle w:val="af9"/>
          <w:lang w:val="en-US"/>
        </w:rPr>
        <w:footnoteRef/>
      </w:r>
      <w:r w:rsidRPr="000963B6">
        <w:rPr>
          <w:lang w:val="en-US"/>
        </w:rPr>
        <w:t xml:space="preserve"> We do not provide data on the gender pay gap across more disaggregated occupations (e.g. at 2-digit ISCO level) because of low statistical reliability of estimates in some occupations with few men or women in the sample of employees reporting wages and working hours.</w:t>
      </w:r>
    </w:p>
  </w:footnote>
  <w:footnote w:id="25">
    <w:p w14:paraId="40966130" w14:textId="6A4A4AD7" w:rsidR="008D6C2F" w:rsidRPr="00E52EDD" w:rsidRDefault="008D6C2F" w:rsidP="00E52EDD">
      <w:pPr>
        <w:pStyle w:val="af7"/>
        <w:jc w:val="both"/>
      </w:pPr>
      <w:r>
        <w:rPr>
          <w:rStyle w:val="af9"/>
        </w:rPr>
        <w:footnoteRef/>
      </w:r>
      <w:r>
        <w:t xml:space="preserve"> F</w:t>
      </w:r>
      <w:r w:rsidRPr="00E52EDD">
        <w:t xml:space="preserve">emale to male total pay gap </w:t>
      </w:r>
      <w:r>
        <w:t>is estimated with the use of</w:t>
      </w:r>
      <w:r w:rsidRPr="00847683">
        <w:t xml:space="preserve"> the Oaxaca-Blinder decomposition</w:t>
      </w:r>
      <w:r w:rsidRPr="00E52EDD">
        <w:t xml:space="preserve"> </w:t>
      </w:r>
      <w:r>
        <w:t>in two specifications:</w:t>
      </w:r>
      <w:r w:rsidRPr="00E52EDD">
        <w:t xml:space="preserve"> (a) human capital specification</w:t>
      </w:r>
      <w:r>
        <w:t xml:space="preserve"> that includes basic individual characteristics</w:t>
      </w:r>
      <w:r w:rsidRPr="00E52EDD">
        <w:t xml:space="preserve">, and (b) full specification, which </w:t>
      </w:r>
      <w:r>
        <w:t xml:space="preserve">also </w:t>
      </w:r>
      <w:r w:rsidRPr="00E52EDD">
        <w:t xml:space="preserve">includes job characteristics. </w:t>
      </w:r>
      <w:r>
        <w:t xml:space="preserve">Table 6 </w:t>
      </w:r>
      <w:r w:rsidRPr="00E52EDD">
        <w:t>also shows the fraction of the total gender pay gap accounted for by gender differences in measured characteristics and an unexplained component for both specifications, based on the Oaxaca-Blinder decomposition of male/female differences in log hourly wages.</w:t>
      </w:r>
    </w:p>
  </w:footnote>
  <w:footnote w:id="26">
    <w:p w14:paraId="0470AB0C" w14:textId="77777777" w:rsidR="008D6C2F" w:rsidRPr="002E29DE" w:rsidRDefault="008D6C2F">
      <w:pPr>
        <w:pStyle w:val="af7"/>
      </w:pPr>
      <w:r w:rsidRPr="002E29DE">
        <w:rPr>
          <w:rStyle w:val="af9"/>
        </w:rPr>
        <w:footnoteRef/>
      </w:r>
      <w:r w:rsidRPr="002E29DE">
        <w:t xml:space="preserve"> </w:t>
      </w:r>
      <w:r w:rsidRPr="002E29DE">
        <w:rPr>
          <w:rFonts w:cstheme="minorHAnsi"/>
          <w:lang w:val="en-US"/>
        </w:rPr>
        <w:t>Inclusion of ownership and formal employment as separate variables leads to automatic omission of one of these variables because employment in the public sector is almost universally formal.</w:t>
      </w:r>
    </w:p>
  </w:footnote>
  <w:footnote w:id="27">
    <w:p w14:paraId="39ED46BB" w14:textId="77777777" w:rsidR="008D6C2F" w:rsidRPr="002E29DE" w:rsidRDefault="008D6C2F" w:rsidP="00853E3A">
      <w:pPr>
        <w:pStyle w:val="af7"/>
        <w:rPr>
          <w:lang w:val="en-US"/>
        </w:rPr>
      </w:pPr>
      <w:r w:rsidRPr="002E29DE">
        <w:rPr>
          <w:rStyle w:val="af9"/>
          <w:lang w:val="en-US"/>
        </w:rPr>
        <w:footnoteRef/>
      </w:r>
      <w:r w:rsidRPr="002E29DE">
        <w:rPr>
          <w:lang w:val="en-US"/>
        </w:rPr>
        <w:t xml:space="preserve"> The estimated motherhood wage penalty in Ukraine is 7.8% for women with one child under 18 years and 12% for those with two or more children if the pooled OLS regression is used, but it increases to over 16 and 27%, respectively, in the fixed effects models (</w:t>
      </w:r>
      <w:proofErr w:type="spellStart"/>
      <w:r w:rsidRPr="002E29DE">
        <w:rPr>
          <w:lang w:val="en-US"/>
        </w:rPr>
        <w:t>Nizalova</w:t>
      </w:r>
      <w:proofErr w:type="spellEnd"/>
      <w:r w:rsidRPr="002E29DE">
        <w:rPr>
          <w:lang w:val="en-US"/>
        </w:rPr>
        <w:t xml:space="preserve"> et al., 2016).</w:t>
      </w:r>
    </w:p>
  </w:footnote>
  <w:footnote w:id="28">
    <w:p w14:paraId="5764B960" w14:textId="77777777" w:rsidR="008D6C2F" w:rsidRPr="002E29DE" w:rsidRDefault="008D6C2F" w:rsidP="007707F3">
      <w:pPr>
        <w:pStyle w:val="af7"/>
        <w:jc w:val="both"/>
        <w:rPr>
          <w:lang w:val="en-US"/>
        </w:rPr>
      </w:pPr>
      <w:r w:rsidRPr="002E29DE">
        <w:rPr>
          <w:rStyle w:val="af9"/>
          <w:lang w:val="en-US"/>
        </w:rPr>
        <w:footnoteRef/>
      </w:r>
      <w:r w:rsidRPr="002E29DE">
        <w:rPr>
          <w:lang w:val="en-US"/>
        </w:rPr>
        <w:t xml:space="preserve"> The number of men with 3 and more children under 15 years in the sample of employees reporting wages and working hours is very small (15 observations in 2016). They are mainly low-educated and lower-skilled rural residents.</w:t>
      </w:r>
    </w:p>
  </w:footnote>
  <w:footnote w:id="29">
    <w:p w14:paraId="4D49E573" w14:textId="5C30CC42" w:rsidR="008D6C2F" w:rsidRPr="000C1E34" w:rsidRDefault="008D6C2F">
      <w:pPr>
        <w:pStyle w:val="af7"/>
      </w:pPr>
      <w:r>
        <w:rPr>
          <w:rStyle w:val="af9"/>
        </w:rPr>
        <w:footnoteRef/>
      </w:r>
      <w:r>
        <w:t xml:space="preserve"> See Annex I for technical details of how the data set of job seeker profiles has been constructed.</w:t>
      </w:r>
    </w:p>
  </w:footnote>
  <w:footnote w:id="30">
    <w:p w14:paraId="38544C35" w14:textId="32ACCC26" w:rsidR="008D6C2F" w:rsidRPr="0088139A" w:rsidRDefault="008D6C2F">
      <w:pPr>
        <w:pStyle w:val="af7"/>
      </w:pPr>
      <w:r>
        <w:rPr>
          <w:rStyle w:val="af9"/>
        </w:rPr>
        <w:footnoteRef/>
      </w:r>
      <w:r>
        <w:t xml:space="preserve"> W</w:t>
      </w:r>
      <w:proofErr w:type="spellStart"/>
      <w:r>
        <w:rPr>
          <w:rFonts w:cstheme="minorHAnsi"/>
          <w:lang w:val="en-US"/>
        </w:rPr>
        <w:t>e</w:t>
      </w:r>
      <w:proofErr w:type="spellEnd"/>
      <w:r>
        <w:rPr>
          <w:rFonts w:cstheme="minorHAnsi"/>
          <w:lang w:val="en-US"/>
        </w:rPr>
        <w:t xml:space="preserve"> assume t</w:t>
      </w:r>
      <w:r>
        <w:t>hat if women having children are cohabiting, they are less likely to report themselves as being single, i.e. unmarried.</w:t>
      </w:r>
    </w:p>
  </w:footnote>
  <w:footnote w:id="31">
    <w:p w14:paraId="322F31ED" w14:textId="77777777" w:rsidR="008D6C2F" w:rsidRPr="002C08A0" w:rsidRDefault="008D6C2F" w:rsidP="00083890">
      <w:pPr>
        <w:pStyle w:val="af7"/>
        <w:jc w:val="both"/>
        <w:rPr>
          <w:lang w:val="en-US"/>
        </w:rPr>
      </w:pPr>
      <w:r w:rsidRPr="002E29DE">
        <w:rPr>
          <w:rStyle w:val="af9"/>
          <w:lang w:val="en-US"/>
        </w:rPr>
        <w:footnoteRef/>
      </w:r>
      <w:r w:rsidRPr="002E29DE">
        <w:rPr>
          <w:lang w:val="en-US"/>
        </w:rPr>
        <w:t xml:space="preserve"> </w:t>
      </w:r>
      <w:r w:rsidRPr="002C08A0">
        <w:rPr>
          <w:rFonts w:cstheme="minorHAnsi"/>
          <w:lang w:val="en-US"/>
        </w:rPr>
        <w:t xml:space="preserve">However, the experiment </w:t>
      </w:r>
      <w:r>
        <w:rPr>
          <w:rFonts w:cstheme="minorHAnsi"/>
          <w:lang w:val="en-US"/>
        </w:rPr>
        <w:t xml:space="preserve">in Israel </w:t>
      </w:r>
      <w:r w:rsidRPr="002C08A0">
        <w:rPr>
          <w:rFonts w:cstheme="minorHAnsi"/>
          <w:lang w:val="en-US"/>
        </w:rPr>
        <w:t xml:space="preserve">with sending out CVs with photos and without them shows that </w:t>
      </w:r>
      <w:r w:rsidRPr="002E29DE">
        <w:rPr>
          <w:rFonts w:cstheme="minorHAnsi"/>
          <w:color w:val="111111"/>
          <w:shd w:val="clear" w:color="auto" w:fill="FFFFFF"/>
          <w:lang w:val="en-US"/>
        </w:rPr>
        <w:t xml:space="preserve">women with no </w:t>
      </w:r>
      <w:r>
        <w:rPr>
          <w:rFonts w:cstheme="minorHAnsi"/>
          <w:color w:val="111111"/>
          <w:shd w:val="clear" w:color="auto" w:fill="FFFFFF"/>
          <w:lang w:val="en-US"/>
        </w:rPr>
        <w:t>photo</w:t>
      </w:r>
      <w:r w:rsidRPr="002E29DE">
        <w:rPr>
          <w:rFonts w:cstheme="minorHAnsi"/>
          <w:color w:val="111111"/>
          <w:shd w:val="clear" w:color="auto" w:fill="FFFFFF"/>
          <w:lang w:val="en-US"/>
        </w:rPr>
        <w:t xml:space="preserve"> have a significantly higher rate of callbacks</w:t>
      </w:r>
      <w:r>
        <w:rPr>
          <w:rFonts w:cstheme="minorHAnsi"/>
          <w:color w:val="111111"/>
          <w:shd w:val="clear" w:color="auto" w:fill="FFFFFF"/>
          <w:lang w:val="en-US"/>
        </w:rPr>
        <w:t xml:space="preserve"> for interview</w:t>
      </w:r>
      <w:r w:rsidRPr="002E29DE">
        <w:rPr>
          <w:rFonts w:cstheme="minorHAnsi"/>
          <w:color w:val="111111"/>
          <w:shd w:val="clear" w:color="auto" w:fill="FFFFFF"/>
          <w:lang w:val="en-US"/>
        </w:rPr>
        <w:t xml:space="preserve"> than </w:t>
      </w:r>
      <w:r>
        <w:rPr>
          <w:rFonts w:cstheme="minorHAnsi"/>
          <w:color w:val="111111"/>
          <w:shd w:val="clear" w:color="auto" w:fill="FFFFFF"/>
          <w:lang w:val="en-US"/>
        </w:rPr>
        <w:t xml:space="preserve">both </w:t>
      </w:r>
      <w:r w:rsidRPr="002E29DE">
        <w:rPr>
          <w:rFonts w:cstheme="minorHAnsi"/>
          <w:color w:val="111111"/>
          <w:shd w:val="clear" w:color="auto" w:fill="FFFFFF"/>
          <w:lang w:val="en-US"/>
        </w:rPr>
        <w:t xml:space="preserve">attractive </w:t>
      </w:r>
      <w:r>
        <w:rPr>
          <w:rFonts w:cstheme="minorHAnsi"/>
          <w:color w:val="111111"/>
          <w:shd w:val="clear" w:color="auto" w:fill="FFFFFF"/>
          <w:lang w:val="en-US"/>
        </w:rPr>
        <w:t>and</w:t>
      </w:r>
      <w:r w:rsidRPr="002E29DE">
        <w:rPr>
          <w:rFonts w:cstheme="minorHAnsi"/>
          <w:color w:val="111111"/>
          <w:shd w:val="clear" w:color="auto" w:fill="FFFFFF"/>
          <w:lang w:val="en-US"/>
        </w:rPr>
        <w:t xml:space="preserve"> plain-looking women, and </w:t>
      </w:r>
      <w:r w:rsidRPr="002E29DE">
        <w:rPr>
          <w:lang w:val="en-US"/>
        </w:rPr>
        <w:t>attractive women</w:t>
      </w:r>
      <w:r w:rsidRPr="002E29DE">
        <w:rPr>
          <w:rFonts w:cstheme="minorHAnsi"/>
          <w:color w:val="111111"/>
          <w:shd w:val="clear" w:color="auto" w:fill="FFFFFF"/>
          <w:lang w:val="en-US"/>
        </w:rPr>
        <w:t xml:space="preserve"> are likely to face a penalty for </w:t>
      </w:r>
      <w:r w:rsidRPr="002E29DE">
        <w:rPr>
          <w:lang w:val="en-US"/>
        </w:rPr>
        <w:t xml:space="preserve">including a photograph </w:t>
      </w:r>
      <w:r>
        <w:rPr>
          <w:lang w:val="en-US"/>
        </w:rPr>
        <w:t>in their</w:t>
      </w:r>
      <w:r w:rsidRPr="002E29DE">
        <w:rPr>
          <w:lang w:val="en-US"/>
        </w:rPr>
        <w:t xml:space="preserve"> CV because of the interviewer’s bias against them </w:t>
      </w:r>
      <w:r w:rsidRPr="002E29DE">
        <w:rPr>
          <w:rFonts w:cstheme="minorHAnsi"/>
          <w:color w:val="111111"/>
          <w:shd w:val="clear" w:color="auto" w:fill="FFFFFF"/>
          <w:lang w:val="en-US"/>
        </w:rPr>
        <w:t>(</w:t>
      </w:r>
      <w:r w:rsidRPr="002E29DE">
        <w:rPr>
          <w:rFonts w:cstheme="minorHAnsi"/>
          <w:lang w:val="en-US"/>
        </w:rPr>
        <w:t xml:space="preserve">Ruffle and </w:t>
      </w:r>
      <w:proofErr w:type="spellStart"/>
      <w:r w:rsidRPr="002E29DE">
        <w:rPr>
          <w:rFonts w:cstheme="minorHAnsi"/>
          <w:lang w:val="en-US"/>
        </w:rPr>
        <w:t>Shtudiner</w:t>
      </w:r>
      <w:proofErr w:type="spellEnd"/>
      <w:r w:rsidRPr="002E29DE">
        <w:rPr>
          <w:rFonts w:cstheme="minorHAnsi"/>
          <w:lang w:val="en-US"/>
        </w:rPr>
        <w:t>, 2011)</w:t>
      </w:r>
      <w:r w:rsidRPr="002E29DE">
        <w:rPr>
          <w:rFonts w:cstheme="minorHAnsi"/>
          <w:color w:val="111111"/>
          <w:shd w:val="clear" w:color="auto" w:fill="FFFFFF"/>
          <w:lang w:val="en-US"/>
        </w:rPr>
        <w:t>.</w:t>
      </w:r>
    </w:p>
  </w:footnote>
  <w:footnote w:id="32">
    <w:p w14:paraId="579B2D09" w14:textId="77777777" w:rsidR="008D6C2F" w:rsidRPr="002E29DE" w:rsidRDefault="008D6C2F" w:rsidP="00C0672D">
      <w:pPr>
        <w:pStyle w:val="af7"/>
        <w:jc w:val="both"/>
        <w:rPr>
          <w:lang w:val="en-US"/>
        </w:rPr>
      </w:pPr>
      <w:r w:rsidRPr="002E29DE">
        <w:rPr>
          <w:rStyle w:val="af9"/>
          <w:lang w:val="en-US"/>
        </w:rPr>
        <w:footnoteRef/>
      </w:r>
      <w:r w:rsidRPr="002E29DE">
        <w:rPr>
          <w:lang w:val="en-US"/>
        </w:rPr>
        <w:t xml:space="preserve"> According to the NBS online databank (Series: Population aged 15 years and over by economic status by level of education, years, sex, area and economic status), the share of individuals with tertiary education was 19.4% among unemployed men and 25.1% among unemployed women in 2017. Respective shares of individuals with secondary specialized education (sometimes used as a substitute for incomplete higher education by job seekers) are 11 and 13%.</w:t>
      </w:r>
    </w:p>
  </w:footnote>
  <w:footnote w:id="33">
    <w:p w14:paraId="771B873C" w14:textId="77777777" w:rsidR="008D6C2F" w:rsidRPr="002E29DE" w:rsidRDefault="008D6C2F" w:rsidP="000D5EE0">
      <w:pPr>
        <w:pStyle w:val="af7"/>
        <w:rPr>
          <w:lang w:val="en-US"/>
        </w:rPr>
      </w:pPr>
      <w:r w:rsidRPr="002E29DE">
        <w:rPr>
          <w:rStyle w:val="af9"/>
          <w:lang w:val="en-US"/>
        </w:rPr>
        <w:footnoteRef/>
      </w:r>
      <w:r w:rsidRPr="002E29DE">
        <w:rPr>
          <w:lang w:val="en-US"/>
        </w:rPr>
        <w:t xml:space="preserve"> See, for example, </w:t>
      </w:r>
      <w:hyperlink r:id="rId3" w:history="1">
        <w:r w:rsidRPr="002E29DE">
          <w:rPr>
            <w:rStyle w:val="afb"/>
            <w:lang w:val="en-US"/>
          </w:rPr>
          <w:t>http://fortune.com/2015/03/26/the-resume-gap-women-tell-stories-men-stick-to-facts-and-get-the-advantage/</w:t>
        </w:r>
      </w:hyperlink>
      <w:r w:rsidRPr="002E29DE">
        <w:rPr>
          <w:lang w:val="en-US"/>
        </w:rPr>
        <w:t xml:space="preserve">, </w:t>
      </w:r>
      <w:hyperlink r:id="rId4" w:history="1">
        <w:r w:rsidRPr="002E29DE">
          <w:rPr>
            <w:rStyle w:val="afb"/>
            <w:lang w:val="en-US"/>
          </w:rPr>
          <w:t>https://www.zippia.com/advice/resume-sentiment-analysis-men-women/</w:t>
        </w:r>
      </w:hyperlink>
      <w:r w:rsidRPr="002E29DE">
        <w:rPr>
          <w:lang w:val="en-US"/>
        </w:rPr>
        <w:t>.</w:t>
      </w:r>
    </w:p>
  </w:footnote>
  <w:footnote w:id="34">
    <w:p w14:paraId="7620083F" w14:textId="77777777" w:rsidR="008D6C2F" w:rsidRPr="002B4C19" w:rsidRDefault="008D6C2F" w:rsidP="0002156A">
      <w:pPr>
        <w:pStyle w:val="af7"/>
        <w:jc w:val="both"/>
        <w:rPr>
          <w:lang w:val="en-US"/>
        </w:rPr>
      </w:pPr>
      <w:r w:rsidRPr="002B4C19">
        <w:rPr>
          <w:rStyle w:val="af9"/>
          <w:lang w:val="en-US"/>
        </w:rPr>
        <w:footnoteRef/>
      </w:r>
      <w:r w:rsidRPr="002B4C19">
        <w:rPr>
          <w:lang w:val="en-US"/>
        </w:rPr>
        <w:t xml:space="preserve"> 18.6% of </w:t>
      </w:r>
      <w:r w:rsidRPr="002C08A0">
        <w:rPr>
          <w:rFonts w:cstheme="minorHAnsi"/>
          <w:lang w:val="en-US"/>
        </w:rPr>
        <w:t>job seekers who reported about con</w:t>
      </w:r>
      <w:r w:rsidRPr="00BA0681">
        <w:rPr>
          <w:rFonts w:cstheme="minorHAnsi"/>
          <w:lang w:val="en-US"/>
        </w:rPr>
        <w:t>tinuing studies were employed at the time of posting resume, while 47.3 percent did not work before, i.e. did not report any employment episode in the profile. For comparison, the similar shares among job seekers who defined themselves as students in the f</w:t>
      </w:r>
      <w:r w:rsidRPr="002C08A0">
        <w:rPr>
          <w:rFonts w:cstheme="minorHAnsi"/>
          <w:lang w:val="en-US"/>
        </w:rPr>
        <w:t xml:space="preserve">ield about the level of education are 12.4 and 71.4%, respectively. Given this, we cannot say that </w:t>
      </w:r>
      <w:r w:rsidRPr="002B4C19">
        <w:rPr>
          <w:lang w:val="en-US"/>
        </w:rPr>
        <w:t>students combining studies with employment strongly prefer to report their highest level of education rather than to label themselves as students.</w:t>
      </w:r>
    </w:p>
  </w:footnote>
  <w:footnote w:id="35">
    <w:p w14:paraId="62BBFDAF" w14:textId="5AFD7072" w:rsidR="008D6C2F" w:rsidRPr="00514CA2" w:rsidRDefault="008D6C2F" w:rsidP="00514CA2">
      <w:pPr>
        <w:pStyle w:val="af7"/>
        <w:jc w:val="both"/>
      </w:pPr>
      <w:r>
        <w:rPr>
          <w:rStyle w:val="af9"/>
        </w:rPr>
        <w:footnoteRef/>
      </w:r>
      <w:r>
        <w:t xml:space="preserve"> </w:t>
      </w:r>
      <w:r w:rsidRPr="00F33FC3">
        <w:t>To compare the composition of the sample of job seekers posting their resumes to that of employed population by the type of occupation (female-, male-dominated or mixed), we use classification of 2-digit occupations that we have developed based on the LFS data for 2014-2016 (</w:t>
      </w:r>
      <w:r w:rsidRPr="00F33FC3">
        <w:fldChar w:fldCharType="begin"/>
      </w:r>
      <w:r w:rsidRPr="00F33FC3">
        <w:instrText xml:space="preserve"> REF _Ref525305983 \h </w:instrText>
      </w:r>
      <w:r>
        <w:instrText xml:space="preserve"> \* MERGEFORMAT </w:instrText>
      </w:r>
      <w:r w:rsidRPr="00F33FC3">
        <w:fldChar w:fldCharType="separate"/>
      </w:r>
      <w:r>
        <w:t xml:space="preserve">Table </w:t>
      </w:r>
      <w:r>
        <w:rPr>
          <w:noProof/>
        </w:rPr>
        <w:t>A-2</w:t>
      </w:r>
      <w:r w:rsidRPr="00F33FC3">
        <w:fldChar w:fldCharType="end"/>
      </w:r>
      <w:r w:rsidRPr="00F33FC3">
        <w:t>).</w:t>
      </w:r>
    </w:p>
  </w:footnote>
  <w:footnote w:id="36">
    <w:p w14:paraId="45E9580A" w14:textId="77777777" w:rsidR="008D6C2F" w:rsidRPr="00BA0681" w:rsidRDefault="008D6C2F" w:rsidP="00D9659F">
      <w:pPr>
        <w:pStyle w:val="af7"/>
        <w:jc w:val="both"/>
        <w:rPr>
          <w:lang w:val="en-US"/>
        </w:rPr>
      </w:pPr>
      <w:r w:rsidRPr="006D4290">
        <w:rPr>
          <w:rStyle w:val="af9"/>
          <w:lang w:val="en-US"/>
        </w:rPr>
        <w:footnoteRef/>
      </w:r>
      <w:r w:rsidRPr="006D4290">
        <w:rPr>
          <w:lang w:val="en-US"/>
        </w:rPr>
        <w:t xml:space="preserve"> </w:t>
      </w:r>
      <w:r w:rsidRPr="002C08A0">
        <w:rPr>
          <w:lang w:val="en-US"/>
        </w:rPr>
        <w:t>The shar</w:t>
      </w:r>
      <w:r w:rsidRPr="00BA0681">
        <w:rPr>
          <w:lang w:val="en-US"/>
        </w:rPr>
        <w:t>e of female job seekers looking for full-time jobs is 20 p.p. smaller among current students than among non-studying women (48.2 vs. 68.6 percent).</w:t>
      </w:r>
    </w:p>
  </w:footnote>
  <w:footnote w:id="37">
    <w:p w14:paraId="68261573" w14:textId="1921B862" w:rsidR="008D6C2F" w:rsidRPr="006B44F8" w:rsidRDefault="008D6C2F">
      <w:pPr>
        <w:pStyle w:val="af7"/>
      </w:pPr>
      <w:r>
        <w:rPr>
          <w:rStyle w:val="af9"/>
        </w:rPr>
        <w:footnoteRef/>
      </w:r>
      <w:r>
        <w:t xml:space="preserve"> When</w:t>
      </w:r>
      <w:r w:rsidRPr="009E3543">
        <w:t xml:space="preserve"> </w:t>
      </w:r>
      <w:r>
        <w:t>creating</w:t>
      </w:r>
      <w:r w:rsidRPr="009E3543">
        <w:t xml:space="preserve"> their profiles</w:t>
      </w:r>
      <w:r>
        <w:t xml:space="preserve"> on the job portal,</w:t>
      </w:r>
      <w:r w:rsidRPr="009E3543">
        <w:t xml:space="preserve"> job seekers are asked about the expected salary. Although it is not necessarily the lowest wage rate at which a job seeker would be willing to accept a particular type of job, expected salary can be used as a proxy for the reservation wage.</w:t>
      </w:r>
    </w:p>
  </w:footnote>
  <w:footnote w:id="38">
    <w:p w14:paraId="23E35AEA" w14:textId="77777777" w:rsidR="008D6C2F" w:rsidRPr="002C08A0" w:rsidRDefault="008D6C2F" w:rsidP="003D648D">
      <w:pPr>
        <w:pStyle w:val="af7"/>
        <w:jc w:val="both"/>
        <w:rPr>
          <w:lang w:val="en-US"/>
        </w:rPr>
      </w:pPr>
      <w:r w:rsidRPr="006D4290">
        <w:rPr>
          <w:rStyle w:val="af9"/>
          <w:lang w:val="en-US"/>
        </w:rPr>
        <w:footnoteRef/>
      </w:r>
      <w:r w:rsidRPr="006D4290">
        <w:rPr>
          <w:lang w:val="en-US"/>
        </w:rPr>
        <w:t xml:space="preserve"> Regression analysis of the determinants of </w:t>
      </w:r>
      <w:r w:rsidRPr="002C08A0">
        <w:rPr>
          <w:lang w:val="en-US"/>
        </w:rPr>
        <w:t>the probability of reporting “</w:t>
      </w:r>
      <w:r>
        <w:rPr>
          <w:lang w:val="en-US"/>
        </w:rPr>
        <w:t>negotiable</w:t>
      </w:r>
      <w:r w:rsidRPr="002C08A0">
        <w:rPr>
          <w:lang w:val="en-US"/>
        </w:rPr>
        <w:t xml:space="preserve">” instead of some definite value for salary expectations based on the </w:t>
      </w:r>
      <w:proofErr w:type="spellStart"/>
      <w:r w:rsidRPr="002C08A0">
        <w:rPr>
          <w:lang w:val="en-US"/>
        </w:rPr>
        <w:t>probit</w:t>
      </w:r>
      <w:proofErr w:type="spellEnd"/>
      <w:r w:rsidRPr="002C08A0">
        <w:rPr>
          <w:lang w:val="en-US"/>
        </w:rPr>
        <w:t xml:space="preserve"> model shows, that women, job seekers looking for clerical jobs, full-time employment</w:t>
      </w:r>
      <w:r>
        <w:rPr>
          <w:lang w:val="en-US"/>
        </w:rPr>
        <w:t>,</w:t>
      </w:r>
      <w:r w:rsidRPr="002C08A0">
        <w:rPr>
          <w:lang w:val="en-US"/>
        </w:rPr>
        <w:t xml:space="preserve"> and jobs in Trade are significantly less likely to report “</w:t>
      </w:r>
      <w:r>
        <w:rPr>
          <w:lang w:val="en-US"/>
        </w:rPr>
        <w:t>negotiable</w:t>
      </w:r>
      <w:r w:rsidRPr="002C08A0">
        <w:rPr>
          <w:lang w:val="en-US"/>
        </w:rPr>
        <w:t>” than males, job seekers looking for managerial jobs, part-time employment</w:t>
      </w:r>
      <w:r>
        <w:rPr>
          <w:lang w:val="en-US"/>
        </w:rPr>
        <w:t>,</w:t>
      </w:r>
      <w:r w:rsidRPr="002C08A0">
        <w:rPr>
          <w:lang w:val="en-US"/>
        </w:rPr>
        <w:t xml:space="preserve"> and jobs in Industry. At the same time, individuals reporting that Romanian is their native language are more likely to hide their salary expectation. Other variables (age, marital status, education, work experience, number of employment episodes, current employment status, living in the capital city, language skills) appear to be insignificant. </w:t>
      </w:r>
    </w:p>
  </w:footnote>
  <w:footnote w:id="39">
    <w:p w14:paraId="64239055" w14:textId="77777777" w:rsidR="008D6C2F" w:rsidRPr="002C08A0" w:rsidRDefault="008D6C2F" w:rsidP="00FD5B74">
      <w:pPr>
        <w:pStyle w:val="af7"/>
        <w:jc w:val="both"/>
        <w:rPr>
          <w:rFonts w:cstheme="minorHAnsi"/>
          <w:lang w:val="en-US"/>
        </w:rPr>
      </w:pPr>
      <w:r w:rsidRPr="006D4290">
        <w:rPr>
          <w:rStyle w:val="af9"/>
          <w:lang w:val="en-US"/>
        </w:rPr>
        <w:footnoteRef/>
      </w:r>
      <w:r w:rsidRPr="006D4290">
        <w:rPr>
          <w:lang w:val="en-US"/>
        </w:rPr>
        <w:t xml:space="preserve"> </w:t>
      </w:r>
      <w:r w:rsidRPr="006D4290">
        <w:rPr>
          <w:rFonts w:cstheme="minorHAnsi"/>
          <w:lang w:val="en-US"/>
        </w:rPr>
        <w:t>Based on the NBS online databank, series “</w:t>
      </w:r>
      <w:r w:rsidRPr="006D4290">
        <w:rPr>
          <w:rFonts w:cstheme="minorHAnsi"/>
          <w:bCs/>
          <w:color w:val="222222"/>
          <w:shd w:val="clear" w:color="auto" w:fill="FFFFFF"/>
          <w:lang w:val="en-US"/>
        </w:rPr>
        <w:t>Monthly average earnings by economic activities, years, quarters and sector</w:t>
      </w:r>
      <w:r>
        <w:rPr>
          <w:rFonts w:cstheme="minorHAnsi"/>
          <w:bCs/>
          <w:color w:val="222222"/>
          <w:shd w:val="clear" w:color="auto" w:fill="FFFFFF"/>
          <w:lang w:val="en-US"/>
        </w:rPr>
        <w:t>.</w:t>
      </w:r>
      <w:r w:rsidRPr="006D4290">
        <w:rPr>
          <w:rFonts w:cstheme="minorHAnsi"/>
          <w:bCs/>
          <w:color w:val="222222"/>
          <w:shd w:val="clear" w:color="auto" w:fill="FFFFFF"/>
          <w:lang w:val="en-US"/>
        </w:rPr>
        <w:t>” Data are presented for social and economic units with 4 or more employees and all budgetary institutions regardless of the number of employees.</w:t>
      </w:r>
    </w:p>
  </w:footnote>
  <w:footnote w:id="40">
    <w:p w14:paraId="4364F81A" w14:textId="77777777" w:rsidR="008D6C2F" w:rsidRPr="002C08A0" w:rsidRDefault="008D6C2F">
      <w:pPr>
        <w:pStyle w:val="af7"/>
        <w:rPr>
          <w:lang w:val="en-US"/>
        </w:rPr>
      </w:pPr>
      <w:r w:rsidRPr="00AD37B1">
        <w:rPr>
          <w:rStyle w:val="af9"/>
          <w:lang w:val="en-US"/>
        </w:rPr>
        <w:footnoteRef/>
      </w:r>
      <w:r w:rsidRPr="00AD37B1">
        <w:rPr>
          <w:lang w:val="en-US"/>
        </w:rPr>
        <w:t xml:space="preserve"> </w:t>
      </w:r>
      <w:hyperlink r:id="rId5" w:anchor="wbl_gj" w:history="1">
        <w:r w:rsidRPr="00AD37B1">
          <w:rPr>
            <w:rStyle w:val="afb"/>
            <w:lang w:val="en-US"/>
          </w:rPr>
          <w:t>http://wbl.worldbank.org/en/data/exploreeconomies/moldova/2017#wbl_gj</w:t>
        </w:r>
      </w:hyperlink>
    </w:p>
  </w:footnote>
  <w:footnote w:id="41">
    <w:p w14:paraId="138ED484" w14:textId="77777777" w:rsidR="008D6C2F" w:rsidRPr="00AD37B1" w:rsidRDefault="008D6C2F" w:rsidP="00757D98">
      <w:pPr>
        <w:pStyle w:val="af7"/>
        <w:jc w:val="both"/>
        <w:rPr>
          <w:lang w:val="en-US"/>
        </w:rPr>
      </w:pPr>
      <w:r w:rsidRPr="00AD37B1">
        <w:rPr>
          <w:rStyle w:val="af9"/>
          <w:lang w:val="en-US"/>
        </w:rPr>
        <w:footnoteRef/>
      </w:r>
      <w:r w:rsidRPr="00AD37B1">
        <w:rPr>
          <w:lang w:val="en-US"/>
        </w:rPr>
        <w:t xml:space="preserve"> According to discussion with representatives of Moldovan employers and business associations in March 2016 and October 2018, small firms tend to discriminate in hiring against young women who they suspect can take long parental leaves in the near future. At the same time, large firms that cannot discriminate openly, especially firms with foreign investment, suffer from high labor turnover and labor costs</w:t>
      </w:r>
      <w:r>
        <w:rPr>
          <w:lang w:val="en-US"/>
        </w:rPr>
        <w:t xml:space="preserve"> from very long parental leaves</w:t>
      </w:r>
      <w:r w:rsidRPr="00AD37B1">
        <w:rPr>
          <w:lang w:val="en-US"/>
        </w:rPr>
        <w:t xml:space="preserve">. </w:t>
      </w:r>
    </w:p>
  </w:footnote>
  <w:footnote w:id="42">
    <w:p w14:paraId="697B81F9" w14:textId="77777777" w:rsidR="008D6C2F" w:rsidRPr="00AD37B1" w:rsidRDefault="008D6C2F" w:rsidP="00D51C02">
      <w:pPr>
        <w:pStyle w:val="af7"/>
        <w:jc w:val="both"/>
        <w:rPr>
          <w:lang w:val="en-US"/>
        </w:rPr>
      </w:pPr>
      <w:r w:rsidRPr="00AD37B1">
        <w:rPr>
          <w:rStyle w:val="af9"/>
          <w:lang w:val="en-US"/>
        </w:rPr>
        <w:footnoteRef/>
      </w:r>
      <w:r w:rsidRPr="00AD37B1">
        <w:rPr>
          <w:lang w:val="en-US"/>
        </w:rPr>
        <w:t xml:space="preserve"> These gender-based job restrictions originate from Soviet-era labor regulations. “Because of their maternity and childcare functions, women were considered a specific labor force barred from “unsuitable” occupations and encouraged to concentrate in healthcare, education, light industry and white collar jobs” (World Bank, 2013, p. 19).</w:t>
      </w:r>
    </w:p>
  </w:footnote>
  <w:footnote w:id="43">
    <w:p w14:paraId="42362C3C" w14:textId="77777777" w:rsidR="008D6C2F" w:rsidRPr="002C08A0" w:rsidRDefault="008D6C2F">
      <w:pPr>
        <w:pStyle w:val="af7"/>
        <w:rPr>
          <w:lang w:val="en-US"/>
        </w:rPr>
      </w:pPr>
      <w:r w:rsidRPr="00AD37B1">
        <w:rPr>
          <w:rStyle w:val="af9"/>
          <w:lang w:val="en-US"/>
        </w:rPr>
        <w:footnoteRef/>
      </w:r>
      <w:r w:rsidRPr="00AD37B1">
        <w:rPr>
          <w:lang w:val="en-US"/>
        </w:rPr>
        <w:t xml:space="preserve"> </w:t>
      </w:r>
      <w:hyperlink r:id="rId6" w:history="1">
        <w:r w:rsidRPr="00AD37B1">
          <w:rPr>
            <w:rStyle w:val="afb"/>
            <w:lang w:val="en-US"/>
          </w:rPr>
          <w:t>http://blogs.worldbank.org/jobs/women-working-behind-wheels-not-everywhere-yet</w:t>
        </w:r>
      </w:hyperlink>
      <w:r w:rsidRPr="00AD37B1">
        <w:rPr>
          <w:lang w:val="en-US"/>
        </w:rPr>
        <w:t xml:space="preserve"> </w:t>
      </w:r>
    </w:p>
  </w:footnote>
  <w:footnote w:id="44">
    <w:p w14:paraId="76C93246" w14:textId="77777777" w:rsidR="008D6C2F" w:rsidRPr="002C08A0" w:rsidRDefault="008D6C2F" w:rsidP="00E8177E">
      <w:pPr>
        <w:pStyle w:val="af7"/>
        <w:rPr>
          <w:lang w:val="en-US"/>
        </w:rPr>
      </w:pPr>
      <w:r w:rsidRPr="0067696A">
        <w:rPr>
          <w:rStyle w:val="af9"/>
          <w:lang w:val="en-US"/>
        </w:rPr>
        <w:footnoteRef/>
      </w:r>
      <w:r w:rsidRPr="0067696A">
        <w:rPr>
          <w:lang w:val="en-US"/>
        </w:rPr>
        <w:t xml:space="preserve"> </w:t>
      </w:r>
      <w:r w:rsidRPr="002C08A0">
        <w:rPr>
          <w:rFonts w:cstheme="minorHAnsi"/>
          <w:color w:val="000000"/>
          <w:lang w:val="en-US"/>
        </w:rPr>
        <w:t>We use the average for 2014-2016 when occupations have been classified according to ISCO-0</w:t>
      </w:r>
      <w:r w:rsidRPr="002C08A0">
        <w:rPr>
          <w:rStyle w:val="Constantia8pt"/>
          <w:rFonts w:asciiTheme="minorHAnsi" w:hAnsiTheme="minorHAnsi" w:cstheme="minorHAnsi"/>
          <w:sz w:val="20"/>
          <w:szCs w:val="20"/>
          <w:lang w:val="en-US"/>
        </w:rPr>
        <w:t>8</w:t>
      </w:r>
      <w:r w:rsidRPr="002C08A0">
        <w:rPr>
          <w:rFonts w:cstheme="minorHAnsi"/>
          <w:color w:val="000000"/>
          <w:lang w:val="en-US"/>
        </w:rPr>
        <w:t xml:space="preserve"> in order to minimize the impact of year-to-year changes in the sample composition.</w:t>
      </w:r>
    </w:p>
  </w:footnote>
  <w:footnote w:id="45">
    <w:p w14:paraId="7DBD48FB" w14:textId="77777777" w:rsidR="008D6C2F" w:rsidRPr="00BA0681" w:rsidRDefault="008D6C2F" w:rsidP="007511C2">
      <w:pPr>
        <w:pStyle w:val="af7"/>
        <w:rPr>
          <w:lang w:val="en-US"/>
        </w:rPr>
      </w:pPr>
      <w:r w:rsidRPr="001F5205">
        <w:rPr>
          <w:rStyle w:val="af9"/>
          <w:lang w:val="en-US"/>
        </w:rPr>
        <w:footnoteRef/>
      </w:r>
      <w:r w:rsidRPr="001F5205">
        <w:rPr>
          <w:lang w:val="en-US"/>
        </w:rPr>
        <w:t xml:space="preserve"> </w:t>
      </w:r>
      <w:r w:rsidRPr="002C08A0">
        <w:rPr>
          <w:lang w:val="en-US"/>
        </w:rPr>
        <w:t>The same approach was used in the analysis of informal employment in Moldova (World Bank, 2014b).</w:t>
      </w:r>
    </w:p>
  </w:footnote>
  <w:footnote w:id="46">
    <w:p w14:paraId="6F297F5E" w14:textId="77777777" w:rsidR="008D6C2F" w:rsidRPr="002C08A0" w:rsidRDefault="008D6C2F" w:rsidP="00183275">
      <w:pPr>
        <w:pStyle w:val="af7"/>
        <w:jc w:val="both"/>
        <w:rPr>
          <w:lang w:val="en-US"/>
        </w:rPr>
      </w:pPr>
      <w:r w:rsidRPr="003F6E25">
        <w:rPr>
          <w:rStyle w:val="af9"/>
          <w:lang w:val="en-US"/>
        </w:rPr>
        <w:footnoteRef/>
      </w:r>
      <w:r w:rsidRPr="003F6E25">
        <w:rPr>
          <w:lang w:val="en-US"/>
        </w:rPr>
        <w:t xml:space="preserve"> Self-employed workers are excluded from the analysis because the LFS does not ask employers and own-account workers about their earnings/profit. Even if such question about earnings were included, we would expect a lot of missing or strange values, as the majority of self-employed in Moldova are engaged in informal own-account work, predominantly in agriculture.</w:t>
      </w:r>
    </w:p>
  </w:footnote>
  <w:footnote w:id="47">
    <w:p w14:paraId="260820DA" w14:textId="77777777" w:rsidR="008D6C2F" w:rsidRPr="003F6E25" w:rsidRDefault="008D6C2F" w:rsidP="00183275">
      <w:pPr>
        <w:pStyle w:val="af7"/>
        <w:rPr>
          <w:lang w:val="en-US"/>
        </w:rPr>
      </w:pPr>
      <w:r w:rsidRPr="003F6E25">
        <w:rPr>
          <w:rStyle w:val="af9"/>
          <w:lang w:val="en-US"/>
        </w:rPr>
        <w:footnoteRef/>
      </w:r>
      <w:r w:rsidRPr="003F6E25">
        <w:rPr>
          <w:lang w:val="en-US"/>
        </w:rPr>
        <w:t xml:space="preserve"> For example, in 2016 this share is 42.2 percent (7,619 out of 18,044 observations).</w:t>
      </w:r>
    </w:p>
  </w:footnote>
  <w:footnote w:id="48">
    <w:p w14:paraId="20E10DA9" w14:textId="77777777" w:rsidR="008D6C2F" w:rsidRPr="000963B6" w:rsidRDefault="008D6C2F" w:rsidP="00183275">
      <w:pPr>
        <w:pStyle w:val="af7"/>
        <w:rPr>
          <w:lang w:val="en-US"/>
        </w:rPr>
      </w:pPr>
      <w:r w:rsidRPr="000963B6">
        <w:rPr>
          <w:rStyle w:val="af9"/>
          <w:lang w:val="en-US"/>
        </w:rPr>
        <w:footnoteRef/>
      </w:r>
      <w:r w:rsidRPr="000963B6">
        <w:rPr>
          <w:lang w:val="en-US"/>
        </w:rPr>
        <w:t xml:space="preserve"> </w:t>
      </w:r>
      <w:hyperlink r:id="rId7" w:history="1">
        <w:r w:rsidRPr="000963B6">
          <w:rPr>
            <w:rStyle w:val="afb"/>
            <w:lang w:val="en-US"/>
          </w:rPr>
          <w:t>http://ec.europa.eu/eurostat/statistics-explained/index.php?title=Glossary:Gender_pay_gap</w:t>
        </w:r>
      </w:hyperlink>
      <w:r w:rsidRPr="000963B6">
        <w:rPr>
          <w:lang w:val="en-US"/>
        </w:rPr>
        <w:t xml:space="preserve"> </w:t>
      </w:r>
    </w:p>
  </w:footnote>
  <w:footnote w:id="49">
    <w:p w14:paraId="74D5C44A" w14:textId="77777777" w:rsidR="008D6C2F" w:rsidRPr="00BA0681" w:rsidRDefault="008D6C2F" w:rsidP="00183275">
      <w:pPr>
        <w:pStyle w:val="af7"/>
        <w:rPr>
          <w:lang w:val="en-US"/>
        </w:rPr>
      </w:pPr>
      <w:r w:rsidRPr="000963B6">
        <w:rPr>
          <w:rStyle w:val="af9"/>
          <w:lang w:val="en-US"/>
        </w:rPr>
        <w:footnoteRef/>
      </w:r>
      <w:r w:rsidRPr="000963B6">
        <w:rPr>
          <w:lang w:val="en-US"/>
        </w:rPr>
        <w:t xml:space="preserve"> </w:t>
      </w:r>
      <w:proofErr w:type="spellStart"/>
      <w:r w:rsidRPr="000963B6">
        <w:rPr>
          <w:color w:val="000000"/>
          <w:lang w:val="en-US"/>
        </w:rPr>
        <w:t>Blau</w:t>
      </w:r>
      <w:proofErr w:type="spellEnd"/>
      <w:r w:rsidRPr="000963B6">
        <w:rPr>
          <w:color w:val="000000"/>
          <w:lang w:val="en-US"/>
        </w:rPr>
        <w:t xml:space="preserve"> and Kahn (2017) </w:t>
      </w:r>
      <w:r w:rsidRPr="002C08A0">
        <w:rPr>
          <w:lang w:val="en-US"/>
        </w:rPr>
        <w:t xml:space="preserve">did not control for marital status and number of children in their basic specifications in view of potential </w:t>
      </w:r>
      <w:proofErr w:type="spellStart"/>
      <w:r w:rsidRPr="002C08A0">
        <w:rPr>
          <w:lang w:val="en-US"/>
        </w:rPr>
        <w:t>endogeneity</w:t>
      </w:r>
      <w:proofErr w:type="spellEnd"/>
      <w:r w:rsidRPr="002C08A0">
        <w:rPr>
          <w:lang w:val="en-US"/>
        </w:rPr>
        <w:t xml:space="preserve"> of these variables</w:t>
      </w:r>
      <w:r w:rsidRPr="00BA0681">
        <w:rPr>
          <w:lang w:val="en-US"/>
        </w:rPr>
        <w:t xml:space="preserve"> with respect to women’s employment decisions.</w:t>
      </w:r>
    </w:p>
  </w:footnote>
  <w:footnote w:id="50">
    <w:p w14:paraId="63AC325C" w14:textId="77777777" w:rsidR="008D6C2F" w:rsidRPr="002C08A0" w:rsidRDefault="008D6C2F" w:rsidP="00A073E8">
      <w:pPr>
        <w:pStyle w:val="af7"/>
        <w:jc w:val="both"/>
        <w:rPr>
          <w:lang w:val="en-US"/>
        </w:rPr>
      </w:pPr>
      <w:r w:rsidRPr="002E29DE">
        <w:rPr>
          <w:rStyle w:val="af9"/>
          <w:lang w:val="en-US"/>
        </w:rPr>
        <w:footnoteRef/>
      </w:r>
      <w:r w:rsidRPr="002C08A0">
        <w:rPr>
          <w:lang w:val="en-US"/>
        </w:rPr>
        <w:t xml:space="preserve"> </w:t>
      </w:r>
      <w:r w:rsidRPr="00BA0681">
        <w:rPr>
          <w:lang w:val="en-US"/>
        </w:rPr>
        <w:t xml:space="preserve">According to the Terms </w:t>
      </w:r>
      <w:r w:rsidRPr="002C08A0">
        <w:rPr>
          <w:lang w:val="en-US"/>
        </w:rPr>
        <w:t>of Use (</w:t>
      </w:r>
      <w:hyperlink r:id="rId8" w:anchor="cv" w:history="1">
        <w:r w:rsidRPr="002C08A0">
          <w:rPr>
            <w:rStyle w:val="afb"/>
            <w:lang w:val="en-US"/>
          </w:rPr>
          <w:t>https://www.rabota.md/help/index.php#cv</w:t>
        </w:r>
      </w:hyperlink>
      <w:r w:rsidRPr="002C08A0">
        <w:rPr>
          <w:lang w:val="en-US"/>
        </w:rPr>
        <w:t>)</w:t>
      </w:r>
      <w:r w:rsidRPr="00BA0681">
        <w:rPr>
          <w:lang w:val="en-US"/>
        </w:rPr>
        <w:t xml:space="preserve">, job seekers may </w:t>
      </w:r>
      <w:r w:rsidRPr="002C08A0">
        <w:rPr>
          <w:lang w:val="en-US"/>
        </w:rPr>
        <w:t>remove their resumes and information shown online at any moment at their discretion, even if they did not find a job. The Administration of the job portal reserves the right to delete resumes submitted through the site without prior notice and explanation of the reasons. The administration also reserves the right to edit submitted resumes in order to make them more attractive to readers or to remove information that contradicts the legislation of the Republic of Moldova, and also publish resumes in other headings (professional areas) than that were initially chosen by the Applicants.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7385"/>
    <w:multiLevelType w:val="hybridMultilevel"/>
    <w:tmpl w:val="718691F4"/>
    <w:lvl w:ilvl="0" w:tplc="DAA45E68">
      <w:start w:val="1"/>
      <w:numFmt w:val="decimal"/>
      <w:pStyle w:val="a"/>
      <w:lvlText w:val="%1."/>
      <w:lvlJc w:val="left"/>
      <w:pPr>
        <w:ind w:left="630" w:hanging="360"/>
      </w:pPr>
      <w:rPr>
        <w:rFonts w:asciiTheme="minorHAnsi" w:hAnsiTheme="minorHAnsi" w:cstheme="minorHAnsi"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1064"/>
    <w:multiLevelType w:val="hybridMultilevel"/>
    <w:tmpl w:val="88580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31EC3"/>
    <w:multiLevelType w:val="hybridMultilevel"/>
    <w:tmpl w:val="89BE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65088"/>
    <w:multiLevelType w:val="hybridMultilevel"/>
    <w:tmpl w:val="8214B21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04172"/>
    <w:multiLevelType w:val="hybridMultilevel"/>
    <w:tmpl w:val="2D381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91196"/>
    <w:multiLevelType w:val="hybridMultilevel"/>
    <w:tmpl w:val="A10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D0B86"/>
    <w:multiLevelType w:val="hybridMultilevel"/>
    <w:tmpl w:val="8214B21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0"/>
  </w:num>
  <w:num w:numId="5">
    <w:abstractNumId w:val="0"/>
  </w:num>
  <w:num w:numId="6">
    <w:abstractNumId w:val="0"/>
  </w:num>
  <w:num w:numId="7">
    <w:abstractNumId w:val="0"/>
  </w:num>
  <w:num w:numId="8">
    <w:abstractNumId w:val="4"/>
  </w:num>
  <w:num w:numId="9">
    <w:abstractNumId w:val="2"/>
  </w:num>
  <w:num w:numId="10">
    <w:abstractNumId w:val="1"/>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57"/>
    <w:rsid w:val="00001B1C"/>
    <w:rsid w:val="00001B37"/>
    <w:rsid w:val="000028A9"/>
    <w:rsid w:val="00002B22"/>
    <w:rsid w:val="00003781"/>
    <w:rsid w:val="00003FD5"/>
    <w:rsid w:val="00004C75"/>
    <w:rsid w:val="00005382"/>
    <w:rsid w:val="000079BF"/>
    <w:rsid w:val="00007E98"/>
    <w:rsid w:val="000101EA"/>
    <w:rsid w:val="00010CE0"/>
    <w:rsid w:val="0001145A"/>
    <w:rsid w:val="00012479"/>
    <w:rsid w:val="00012505"/>
    <w:rsid w:val="00012C63"/>
    <w:rsid w:val="000132BA"/>
    <w:rsid w:val="0001350C"/>
    <w:rsid w:val="0001370F"/>
    <w:rsid w:val="00013B70"/>
    <w:rsid w:val="00013EDC"/>
    <w:rsid w:val="000142FF"/>
    <w:rsid w:val="0001564B"/>
    <w:rsid w:val="000206DE"/>
    <w:rsid w:val="0002156A"/>
    <w:rsid w:val="000219EA"/>
    <w:rsid w:val="00021E9F"/>
    <w:rsid w:val="0002203E"/>
    <w:rsid w:val="00022A40"/>
    <w:rsid w:val="000233B7"/>
    <w:rsid w:val="00023B67"/>
    <w:rsid w:val="0002449A"/>
    <w:rsid w:val="00024E53"/>
    <w:rsid w:val="00024ED0"/>
    <w:rsid w:val="00026289"/>
    <w:rsid w:val="00031299"/>
    <w:rsid w:val="00031ADC"/>
    <w:rsid w:val="0003253D"/>
    <w:rsid w:val="000327F4"/>
    <w:rsid w:val="00032D58"/>
    <w:rsid w:val="00033B7B"/>
    <w:rsid w:val="0003498F"/>
    <w:rsid w:val="00034FA6"/>
    <w:rsid w:val="00035632"/>
    <w:rsid w:val="0003612C"/>
    <w:rsid w:val="00037A52"/>
    <w:rsid w:val="000410C4"/>
    <w:rsid w:val="00042216"/>
    <w:rsid w:val="00044079"/>
    <w:rsid w:val="0004507E"/>
    <w:rsid w:val="00045654"/>
    <w:rsid w:val="0004596D"/>
    <w:rsid w:val="0004631B"/>
    <w:rsid w:val="00047315"/>
    <w:rsid w:val="00050270"/>
    <w:rsid w:val="00050DC4"/>
    <w:rsid w:val="000517F7"/>
    <w:rsid w:val="00052413"/>
    <w:rsid w:val="00052A41"/>
    <w:rsid w:val="00053367"/>
    <w:rsid w:val="00053DEC"/>
    <w:rsid w:val="00054853"/>
    <w:rsid w:val="00054FAC"/>
    <w:rsid w:val="000560C0"/>
    <w:rsid w:val="000569BA"/>
    <w:rsid w:val="00056C6D"/>
    <w:rsid w:val="00057ADF"/>
    <w:rsid w:val="00063B16"/>
    <w:rsid w:val="00063F2F"/>
    <w:rsid w:val="00065453"/>
    <w:rsid w:val="00066C30"/>
    <w:rsid w:val="00066DDC"/>
    <w:rsid w:val="00067849"/>
    <w:rsid w:val="00067D7A"/>
    <w:rsid w:val="00071262"/>
    <w:rsid w:val="0007162B"/>
    <w:rsid w:val="0007169F"/>
    <w:rsid w:val="00072FF8"/>
    <w:rsid w:val="000740F6"/>
    <w:rsid w:val="000741C0"/>
    <w:rsid w:val="0007453A"/>
    <w:rsid w:val="0007511F"/>
    <w:rsid w:val="00075133"/>
    <w:rsid w:val="00075599"/>
    <w:rsid w:val="00075733"/>
    <w:rsid w:val="00075ED4"/>
    <w:rsid w:val="000800DD"/>
    <w:rsid w:val="000802C7"/>
    <w:rsid w:val="000817D7"/>
    <w:rsid w:val="0008190B"/>
    <w:rsid w:val="00081A28"/>
    <w:rsid w:val="00082CE1"/>
    <w:rsid w:val="00082FE0"/>
    <w:rsid w:val="0008302A"/>
    <w:rsid w:val="000835D0"/>
    <w:rsid w:val="000836FD"/>
    <w:rsid w:val="00083890"/>
    <w:rsid w:val="00084148"/>
    <w:rsid w:val="000843A2"/>
    <w:rsid w:val="00085ECD"/>
    <w:rsid w:val="00086947"/>
    <w:rsid w:val="00086BF2"/>
    <w:rsid w:val="000878BE"/>
    <w:rsid w:val="00087DD5"/>
    <w:rsid w:val="000903A0"/>
    <w:rsid w:val="00091ED4"/>
    <w:rsid w:val="000920CF"/>
    <w:rsid w:val="00092615"/>
    <w:rsid w:val="00092BE2"/>
    <w:rsid w:val="0009383B"/>
    <w:rsid w:val="00093E7B"/>
    <w:rsid w:val="0009526C"/>
    <w:rsid w:val="000959D8"/>
    <w:rsid w:val="000960BD"/>
    <w:rsid w:val="000963B6"/>
    <w:rsid w:val="00096D18"/>
    <w:rsid w:val="00097D3F"/>
    <w:rsid w:val="000A1AA8"/>
    <w:rsid w:val="000A29CB"/>
    <w:rsid w:val="000A3FA4"/>
    <w:rsid w:val="000A4CCC"/>
    <w:rsid w:val="000A7C45"/>
    <w:rsid w:val="000B068C"/>
    <w:rsid w:val="000B2024"/>
    <w:rsid w:val="000B255C"/>
    <w:rsid w:val="000B2F75"/>
    <w:rsid w:val="000B357E"/>
    <w:rsid w:val="000B3F77"/>
    <w:rsid w:val="000B4368"/>
    <w:rsid w:val="000B458A"/>
    <w:rsid w:val="000B54AE"/>
    <w:rsid w:val="000B5CE1"/>
    <w:rsid w:val="000B6B32"/>
    <w:rsid w:val="000C037E"/>
    <w:rsid w:val="000C0A62"/>
    <w:rsid w:val="000C0D0D"/>
    <w:rsid w:val="000C18F6"/>
    <w:rsid w:val="000C1E34"/>
    <w:rsid w:val="000C226C"/>
    <w:rsid w:val="000C2372"/>
    <w:rsid w:val="000C27E8"/>
    <w:rsid w:val="000C339A"/>
    <w:rsid w:val="000C45F5"/>
    <w:rsid w:val="000C5323"/>
    <w:rsid w:val="000C5EEB"/>
    <w:rsid w:val="000C7BE4"/>
    <w:rsid w:val="000D077F"/>
    <w:rsid w:val="000D09EC"/>
    <w:rsid w:val="000D15B2"/>
    <w:rsid w:val="000D17D7"/>
    <w:rsid w:val="000D18BB"/>
    <w:rsid w:val="000D1B6F"/>
    <w:rsid w:val="000D1F1E"/>
    <w:rsid w:val="000D1F7C"/>
    <w:rsid w:val="000D2685"/>
    <w:rsid w:val="000D27C6"/>
    <w:rsid w:val="000D2D4F"/>
    <w:rsid w:val="000D3939"/>
    <w:rsid w:val="000D3A33"/>
    <w:rsid w:val="000D41B9"/>
    <w:rsid w:val="000D4A10"/>
    <w:rsid w:val="000D5819"/>
    <w:rsid w:val="000D5EE0"/>
    <w:rsid w:val="000D6173"/>
    <w:rsid w:val="000E0F05"/>
    <w:rsid w:val="000E2910"/>
    <w:rsid w:val="000E2A53"/>
    <w:rsid w:val="000E34CF"/>
    <w:rsid w:val="000E3F5C"/>
    <w:rsid w:val="000E4F1D"/>
    <w:rsid w:val="000E59BB"/>
    <w:rsid w:val="000E60DE"/>
    <w:rsid w:val="000F0F16"/>
    <w:rsid w:val="000F1302"/>
    <w:rsid w:val="000F1664"/>
    <w:rsid w:val="000F1960"/>
    <w:rsid w:val="000F261C"/>
    <w:rsid w:val="000F41AD"/>
    <w:rsid w:val="000F48F6"/>
    <w:rsid w:val="000F52B6"/>
    <w:rsid w:val="000F649E"/>
    <w:rsid w:val="000F65D4"/>
    <w:rsid w:val="000F7C93"/>
    <w:rsid w:val="00100E36"/>
    <w:rsid w:val="00101A05"/>
    <w:rsid w:val="0010212F"/>
    <w:rsid w:val="0010249F"/>
    <w:rsid w:val="001027CA"/>
    <w:rsid w:val="00103477"/>
    <w:rsid w:val="001051A8"/>
    <w:rsid w:val="001051CF"/>
    <w:rsid w:val="001067A2"/>
    <w:rsid w:val="00110A8D"/>
    <w:rsid w:val="0011241C"/>
    <w:rsid w:val="00112D9E"/>
    <w:rsid w:val="00114068"/>
    <w:rsid w:val="0011468F"/>
    <w:rsid w:val="0011598B"/>
    <w:rsid w:val="00115AD2"/>
    <w:rsid w:val="0011738E"/>
    <w:rsid w:val="00121161"/>
    <w:rsid w:val="001211B4"/>
    <w:rsid w:val="00121E8C"/>
    <w:rsid w:val="0012511C"/>
    <w:rsid w:val="001305D2"/>
    <w:rsid w:val="00131229"/>
    <w:rsid w:val="00131340"/>
    <w:rsid w:val="00132063"/>
    <w:rsid w:val="0013249B"/>
    <w:rsid w:val="00132F73"/>
    <w:rsid w:val="00135129"/>
    <w:rsid w:val="00135F4A"/>
    <w:rsid w:val="00136541"/>
    <w:rsid w:val="001369B8"/>
    <w:rsid w:val="00136F2C"/>
    <w:rsid w:val="00136FB6"/>
    <w:rsid w:val="00137015"/>
    <w:rsid w:val="0013711A"/>
    <w:rsid w:val="00137D28"/>
    <w:rsid w:val="00140F6B"/>
    <w:rsid w:val="0014107C"/>
    <w:rsid w:val="0014164A"/>
    <w:rsid w:val="00144C34"/>
    <w:rsid w:val="00145559"/>
    <w:rsid w:val="00145E55"/>
    <w:rsid w:val="001500D3"/>
    <w:rsid w:val="00150633"/>
    <w:rsid w:val="0015085C"/>
    <w:rsid w:val="00151238"/>
    <w:rsid w:val="001517EA"/>
    <w:rsid w:val="0015243E"/>
    <w:rsid w:val="00152F1D"/>
    <w:rsid w:val="0015308E"/>
    <w:rsid w:val="00153A1C"/>
    <w:rsid w:val="001549BA"/>
    <w:rsid w:val="00156E87"/>
    <w:rsid w:val="00157B6E"/>
    <w:rsid w:val="001608B9"/>
    <w:rsid w:val="00161811"/>
    <w:rsid w:val="00161CAC"/>
    <w:rsid w:val="00162736"/>
    <w:rsid w:val="0016332E"/>
    <w:rsid w:val="0016356B"/>
    <w:rsid w:val="00163BF8"/>
    <w:rsid w:val="00164895"/>
    <w:rsid w:val="0016492A"/>
    <w:rsid w:val="00165C7B"/>
    <w:rsid w:val="0016611A"/>
    <w:rsid w:val="00167A47"/>
    <w:rsid w:val="00167FBA"/>
    <w:rsid w:val="001707AE"/>
    <w:rsid w:val="001715AA"/>
    <w:rsid w:val="00171FE0"/>
    <w:rsid w:val="001726CE"/>
    <w:rsid w:val="0017348D"/>
    <w:rsid w:val="00176538"/>
    <w:rsid w:val="00176A4E"/>
    <w:rsid w:val="00176BE4"/>
    <w:rsid w:val="00176D34"/>
    <w:rsid w:val="00177468"/>
    <w:rsid w:val="001808B3"/>
    <w:rsid w:val="00180F5A"/>
    <w:rsid w:val="001810C4"/>
    <w:rsid w:val="001820EA"/>
    <w:rsid w:val="001822C0"/>
    <w:rsid w:val="0018255B"/>
    <w:rsid w:val="00183275"/>
    <w:rsid w:val="00183590"/>
    <w:rsid w:val="00183ED4"/>
    <w:rsid w:val="00183F40"/>
    <w:rsid w:val="00184C8E"/>
    <w:rsid w:val="00186A86"/>
    <w:rsid w:val="00186C07"/>
    <w:rsid w:val="001871C7"/>
    <w:rsid w:val="00187A2A"/>
    <w:rsid w:val="00187A7E"/>
    <w:rsid w:val="00190353"/>
    <w:rsid w:val="00190F12"/>
    <w:rsid w:val="00191F32"/>
    <w:rsid w:val="00192AFD"/>
    <w:rsid w:val="0019326F"/>
    <w:rsid w:val="00194212"/>
    <w:rsid w:val="00195067"/>
    <w:rsid w:val="00196019"/>
    <w:rsid w:val="00196E05"/>
    <w:rsid w:val="00197F31"/>
    <w:rsid w:val="001A1A9A"/>
    <w:rsid w:val="001A2840"/>
    <w:rsid w:val="001A2C01"/>
    <w:rsid w:val="001A31B8"/>
    <w:rsid w:val="001A3B23"/>
    <w:rsid w:val="001A44A2"/>
    <w:rsid w:val="001A44E4"/>
    <w:rsid w:val="001A4809"/>
    <w:rsid w:val="001A4EC7"/>
    <w:rsid w:val="001A5FA4"/>
    <w:rsid w:val="001A63C7"/>
    <w:rsid w:val="001A66E6"/>
    <w:rsid w:val="001A703F"/>
    <w:rsid w:val="001A716F"/>
    <w:rsid w:val="001A7453"/>
    <w:rsid w:val="001B162C"/>
    <w:rsid w:val="001B1E53"/>
    <w:rsid w:val="001B1F24"/>
    <w:rsid w:val="001B206C"/>
    <w:rsid w:val="001B223F"/>
    <w:rsid w:val="001B2FEC"/>
    <w:rsid w:val="001B3170"/>
    <w:rsid w:val="001B3489"/>
    <w:rsid w:val="001B36F6"/>
    <w:rsid w:val="001B396C"/>
    <w:rsid w:val="001B39CF"/>
    <w:rsid w:val="001B58AE"/>
    <w:rsid w:val="001B5ED6"/>
    <w:rsid w:val="001B6599"/>
    <w:rsid w:val="001B7A7B"/>
    <w:rsid w:val="001B7BC5"/>
    <w:rsid w:val="001C0579"/>
    <w:rsid w:val="001C1080"/>
    <w:rsid w:val="001C18FF"/>
    <w:rsid w:val="001C1C0E"/>
    <w:rsid w:val="001C2272"/>
    <w:rsid w:val="001C2DF9"/>
    <w:rsid w:val="001C33A4"/>
    <w:rsid w:val="001C665C"/>
    <w:rsid w:val="001C6F1E"/>
    <w:rsid w:val="001C7375"/>
    <w:rsid w:val="001D1248"/>
    <w:rsid w:val="001D2092"/>
    <w:rsid w:val="001D4349"/>
    <w:rsid w:val="001D43BC"/>
    <w:rsid w:val="001D45F8"/>
    <w:rsid w:val="001D4D78"/>
    <w:rsid w:val="001D5A49"/>
    <w:rsid w:val="001D660B"/>
    <w:rsid w:val="001D6AB5"/>
    <w:rsid w:val="001D6F82"/>
    <w:rsid w:val="001D7884"/>
    <w:rsid w:val="001D7939"/>
    <w:rsid w:val="001E0C02"/>
    <w:rsid w:val="001E1907"/>
    <w:rsid w:val="001E2B38"/>
    <w:rsid w:val="001E300D"/>
    <w:rsid w:val="001E3144"/>
    <w:rsid w:val="001E457F"/>
    <w:rsid w:val="001E52E1"/>
    <w:rsid w:val="001E5D54"/>
    <w:rsid w:val="001E6BEE"/>
    <w:rsid w:val="001E6CC3"/>
    <w:rsid w:val="001E7FBC"/>
    <w:rsid w:val="001F22BC"/>
    <w:rsid w:val="001F2696"/>
    <w:rsid w:val="001F2918"/>
    <w:rsid w:val="001F2B7D"/>
    <w:rsid w:val="001F46E1"/>
    <w:rsid w:val="001F4A28"/>
    <w:rsid w:val="001F5205"/>
    <w:rsid w:val="001F591E"/>
    <w:rsid w:val="001F6FDC"/>
    <w:rsid w:val="001F7142"/>
    <w:rsid w:val="002003C1"/>
    <w:rsid w:val="002016AE"/>
    <w:rsid w:val="00202EED"/>
    <w:rsid w:val="00203977"/>
    <w:rsid w:val="0020475E"/>
    <w:rsid w:val="00204892"/>
    <w:rsid w:val="002069CA"/>
    <w:rsid w:val="00206AA9"/>
    <w:rsid w:val="0020755D"/>
    <w:rsid w:val="00207B9A"/>
    <w:rsid w:val="0021009F"/>
    <w:rsid w:val="00213DA0"/>
    <w:rsid w:val="00216011"/>
    <w:rsid w:val="0021652C"/>
    <w:rsid w:val="00216698"/>
    <w:rsid w:val="0021683E"/>
    <w:rsid w:val="00216C1F"/>
    <w:rsid w:val="00217277"/>
    <w:rsid w:val="00217856"/>
    <w:rsid w:val="00220859"/>
    <w:rsid w:val="00220ED7"/>
    <w:rsid w:val="002214BA"/>
    <w:rsid w:val="00221B20"/>
    <w:rsid w:val="0022242E"/>
    <w:rsid w:val="0022266D"/>
    <w:rsid w:val="00223A94"/>
    <w:rsid w:val="00223F95"/>
    <w:rsid w:val="00226293"/>
    <w:rsid w:val="002263EC"/>
    <w:rsid w:val="002276BE"/>
    <w:rsid w:val="0023012B"/>
    <w:rsid w:val="0023072F"/>
    <w:rsid w:val="00232C84"/>
    <w:rsid w:val="00233595"/>
    <w:rsid w:val="00234103"/>
    <w:rsid w:val="0023449B"/>
    <w:rsid w:val="002348EE"/>
    <w:rsid w:val="002354DD"/>
    <w:rsid w:val="00235A92"/>
    <w:rsid w:val="00235ECD"/>
    <w:rsid w:val="002367A8"/>
    <w:rsid w:val="00236AB4"/>
    <w:rsid w:val="00237867"/>
    <w:rsid w:val="00237B33"/>
    <w:rsid w:val="00237B50"/>
    <w:rsid w:val="00240C6C"/>
    <w:rsid w:val="0024122F"/>
    <w:rsid w:val="0024167B"/>
    <w:rsid w:val="00241995"/>
    <w:rsid w:val="00242E62"/>
    <w:rsid w:val="002450B5"/>
    <w:rsid w:val="00245241"/>
    <w:rsid w:val="002452C8"/>
    <w:rsid w:val="00245B58"/>
    <w:rsid w:val="00246E28"/>
    <w:rsid w:val="0024718F"/>
    <w:rsid w:val="0025000C"/>
    <w:rsid w:val="002503E3"/>
    <w:rsid w:val="00250DEE"/>
    <w:rsid w:val="002510B7"/>
    <w:rsid w:val="00252D14"/>
    <w:rsid w:val="00253238"/>
    <w:rsid w:val="00253ACF"/>
    <w:rsid w:val="00253E24"/>
    <w:rsid w:val="002556F6"/>
    <w:rsid w:val="00255A6C"/>
    <w:rsid w:val="00256AE2"/>
    <w:rsid w:val="00257B9E"/>
    <w:rsid w:val="00260189"/>
    <w:rsid w:val="0026022D"/>
    <w:rsid w:val="00260DA8"/>
    <w:rsid w:val="0026269E"/>
    <w:rsid w:val="00262CF4"/>
    <w:rsid w:val="0026306D"/>
    <w:rsid w:val="00263C0F"/>
    <w:rsid w:val="00265784"/>
    <w:rsid w:val="00265DEA"/>
    <w:rsid w:val="00267EF2"/>
    <w:rsid w:val="0027007D"/>
    <w:rsid w:val="00270971"/>
    <w:rsid w:val="00271403"/>
    <w:rsid w:val="00273B17"/>
    <w:rsid w:val="0027541F"/>
    <w:rsid w:val="00275913"/>
    <w:rsid w:val="002766AB"/>
    <w:rsid w:val="0027672F"/>
    <w:rsid w:val="00276E22"/>
    <w:rsid w:val="00276ECD"/>
    <w:rsid w:val="002772EA"/>
    <w:rsid w:val="00283A94"/>
    <w:rsid w:val="00283AEC"/>
    <w:rsid w:val="00283FCC"/>
    <w:rsid w:val="002845E7"/>
    <w:rsid w:val="0028489B"/>
    <w:rsid w:val="00284F9E"/>
    <w:rsid w:val="00287A79"/>
    <w:rsid w:val="00290709"/>
    <w:rsid w:val="00291CA5"/>
    <w:rsid w:val="00292358"/>
    <w:rsid w:val="0029259F"/>
    <w:rsid w:val="002928B9"/>
    <w:rsid w:val="00292B23"/>
    <w:rsid w:val="002933F8"/>
    <w:rsid w:val="00293601"/>
    <w:rsid w:val="00294321"/>
    <w:rsid w:val="00295573"/>
    <w:rsid w:val="002957F9"/>
    <w:rsid w:val="00295F12"/>
    <w:rsid w:val="002A144E"/>
    <w:rsid w:val="002A19EB"/>
    <w:rsid w:val="002A502C"/>
    <w:rsid w:val="002A50F3"/>
    <w:rsid w:val="002A55FF"/>
    <w:rsid w:val="002A6684"/>
    <w:rsid w:val="002A67F1"/>
    <w:rsid w:val="002B002D"/>
    <w:rsid w:val="002B439D"/>
    <w:rsid w:val="002B4C19"/>
    <w:rsid w:val="002B50D1"/>
    <w:rsid w:val="002B5D3A"/>
    <w:rsid w:val="002B661E"/>
    <w:rsid w:val="002B7156"/>
    <w:rsid w:val="002C08A0"/>
    <w:rsid w:val="002C0A7E"/>
    <w:rsid w:val="002C1844"/>
    <w:rsid w:val="002C1FE2"/>
    <w:rsid w:val="002C48C3"/>
    <w:rsid w:val="002C4E03"/>
    <w:rsid w:val="002C58F1"/>
    <w:rsid w:val="002C64C4"/>
    <w:rsid w:val="002C6E6B"/>
    <w:rsid w:val="002D08BD"/>
    <w:rsid w:val="002D0FD7"/>
    <w:rsid w:val="002D2439"/>
    <w:rsid w:val="002D261B"/>
    <w:rsid w:val="002D375A"/>
    <w:rsid w:val="002D49ED"/>
    <w:rsid w:val="002D55BD"/>
    <w:rsid w:val="002D626B"/>
    <w:rsid w:val="002D6417"/>
    <w:rsid w:val="002D66E5"/>
    <w:rsid w:val="002D76C0"/>
    <w:rsid w:val="002D786A"/>
    <w:rsid w:val="002E10B5"/>
    <w:rsid w:val="002E19A7"/>
    <w:rsid w:val="002E1E66"/>
    <w:rsid w:val="002E2503"/>
    <w:rsid w:val="002E29DE"/>
    <w:rsid w:val="002E35FD"/>
    <w:rsid w:val="002E37E2"/>
    <w:rsid w:val="002E3B86"/>
    <w:rsid w:val="002E4074"/>
    <w:rsid w:val="002E425F"/>
    <w:rsid w:val="002E4286"/>
    <w:rsid w:val="002E5349"/>
    <w:rsid w:val="002E547A"/>
    <w:rsid w:val="002E7FEC"/>
    <w:rsid w:val="002F0B28"/>
    <w:rsid w:val="002F17D3"/>
    <w:rsid w:val="002F1B1D"/>
    <w:rsid w:val="002F1B90"/>
    <w:rsid w:val="002F1BFB"/>
    <w:rsid w:val="002F315E"/>
    <w:rsid w:val="002F3C8D"/>
    <w:rsid w:val="002F4383"/>
    <w:rsid w:val="002F4CB5"/>
    <w:rsid w:val="002F50A4"/>
    <w:rsid w:val="002F5338"/>
    <w:rsid w:val="002F5E09"/>
    <w:rsid w:val="002F747E"/>
    <w:rsid w:val="002F7573"/>
    <w:rsid w:val="002F7B83"/>
    <w:rsid w:val="002F7DCA"/>
    <w:rsid w:val="00300677"/>
    <w:rsid w:val="0030101A"/>
    <w:rsid w:val="00302923"/>
    <w:rsid w:val="00303199"/>
    <w:rsid w:val="00303230"/>
    <w:rsid w:val="003035EF"/>
    <w:rsid w:val="003045EE"/>
    <w:rsid w:val="00304EBC"/>
    <w:rsid w:val="00305139"/>
    <w:rsid w:val="0030589D"/>
    <w:rsid w:val="00305DA2"/>
    <w:rsid w:val="003069A1"/>
    <w:rsid w:val="00307D14"/>
    <w:rsid w:val="00310B9E"/>
    <w:rsid w:val="00310D21"/>
    <w:rsid w:val="00311059"/>
    <w:rsid w:val="003111E9"/>
    <w:rsid w:val="00312B52"/>
    <w:rsid w:val="0031338F"/>
    <w:rsid w:val="00313424"/>
    <w:rsid w:val="00313B1E"/>
    <w:rsid w:val="00314643"/>
    <w:rsid w:val="003155F4"/>
    <w:rsid w:val="00316442"/>
    <w:rsid w:val="00317BC8"/>
    <w:rsid w:val="00320115"/>
    <w:rsid w:val="003204E7"/>
    <w:rsid w:val="003205E4"/>
    <w:rsid w:val="00321288"/>
    <w:rsid w:val="00321332"/>
    <w:rsid w:val="003239EA"/>
    <w:rsid w:val="00323F1F"/>
    <w:rsid w:val="00324AC8"/>
    <w:rsid w:val="00325799"/>
    <w:rsid w:val="00326206"/>
    <w:rsid w:val="00326866"/>
    <w:rsid w:val="00326F42"/>
    <w:rsid w:val="00330978"/>
    <w:rsid w:val="00330CEE"/>
    <w:rsid w:val="00331871"/>
    <w:rsid w:val="00333D4B"/>
    <w:rsid w:val="00333E7A"/>
    <w:rsid w:val="00334766"/>
    <w:rsid w:val="00334AB4"/>
    <w:rsid w:val="003355D2"/>
    <w:rsid w:val="00337615"/>
    <w:rsid w:val="00341367"/>
    <w:rsid w:val="00341D34"/>
    <w:rsid w:val="00344025"/>
    <w:rsid w:val="00346131"/>
    <w:rsid w:val="00350482"/>
    <w:rsid w:val="003509C7"/>
    <w:rsid w:val="00352D27"/>
    <w:rsid w:val="00354F7D"/>
    <w:rsid w:val="0035616A"/>
    <w:rsid w:val="003579C8"/>
    <w:rsid w:val="00357A8F"/>
    <w:rsid w:val="00357EDC"/>
    <w:rsid w:val="00360056"/>
    <w:rsid w:val="0036157B"/>
    <w:rsid w:val="003615B1"/>
    <w:rsid w:val="003618FB"/>
    <w:rsid w:val="00361D57"/>
    <w:rsid w:val="00362177"/>
    <w:rsid w:val="003632E7"/>
    <w:rsid w:val="00363E11"/>
    <w:rsid w:val="00364A49"/>
    <w:rsid w:val="00364B4C"/>
    <w:rsid w:val="003657C2"/>
    <w:rsid w:val="00365FA1"/>
    <w:rsid w:val="003661EE"/>
    <w:rsid w:val="00366ACA"/>
    <w:rsid w:val="00367B42"/>
    <w:rsid w:val="00371FF4"/>
    <w:rsid w:val="00372445"/>
    <w:rsid w:val="0037284B"/>
    <w:rsid w:val="00373F3F"/>
    <w:rsid w:val="003749D2"/>
    <w:rsid w:val="003753D6"/>
    <w:rsid w:val="0037595F"/>
    <w:rsid w:val="00375A8F"/>
    <w:rsid w:val="00376823"/>
    <w:rsid w:val="0037728B"/>
    <w:rsid w:val="00380589"/>
    <w:rsid w:val="0038217C"/>
    <w:rsid w:val="0038245B"/>
    <w:rsid w:val="00382A19"/>
    <w:rsid w:val="003835A1"/>
    <w:rsid w:val="00383D19"/>
    <w:rsid w:val="00384E6E"/>
    <w:rsid w:val="00385097"/>
    <w:rsid w:val="0038771F"/>
    <w:rsid w:val="00387D22"/>
    <w:rsid w:val="00391F5E"/>
    <w:rsid w:val="003928B2"/>
    <w:rsid w:val="00392E69"/>
    <w:rsid w:val="0039486E"/>
    <w:rsid w:val="00394D31"/>
    <w:rsid w:val="0039631F"/>
    <w:rsid w:val="00396743"/>
    <w:rsid w:val="00396E2A"/>
    <w:rsid w:val="0039735D"/>
    <w:rsid w:val="00397520"/>
    <w:rsid w:val="003975A8"/>
    <w:rsid w:val="00397ED6"/>
    <w:rsid w:val="003A0F47"/>
    <w:rsid w:val="003A21EE"/>
    <w:rsid w:val="003A38AA"/>
    <w:rsid w:val="003A39D9"/>
    <w:rsid w:val="003A41CB"/>
    <w:rsid w:val="003A4241"/>
    <w:rsid w:val="003A45AB"/>
    <w:rsid w:val="003A5974"/>
    <w:rsid w:val="003A6EEF"/>
    <w:rsid w:val="003A760E"/>
    <w:rsid w:val="003B0508"/>
    <w:rsid w:val="003B1B32"/>
    <w:rsid w:val="003B22F6"/>
    <w:rsid w:val="003B2742"/>
    <w:rsid w:val="003B2B1F"/>
    <w:rsid w:val="003B2EBF"/>
    <w:rsid w:val="003B3854"/>
    <w:rsid w:val="003B3FFA"/>
    <w:rsid w:val="003B45FC"/>
    <w:rsid w:val="003B6CFB"/>
    <w:rsid w:val="003C02CB"/>
    <w:rsid w:val="003C22D3"/>
    <w:rsid w:val="003C36F1"/>
    <w:rsid w:val="003C4F0F"/>
    <w:rsid w:val="003C6AEE"/>
    <w:rsid w:val="003D07D9"/>
    <w:rsid w:val="003D1A63"/>
    <w:rsid w:val="003D2864"/>
    <w:rsid w:val="003D3C47"/>
    <w:rsid w:val="003D416F"/>
    <w:rsid w:val="003D4B99"/>
    <w:rsid w:val="003D5679"/>
    <w:rsid w:val="003D5D21"/>
    <w:rsid w:val="003D5E13"/>
    <w:rsid w:val="003D648D"/>
    <w:rsid w:val="003D69C9"/>
    <w:rsid w:val="003D6F5E"/>
    <w:rsid w:val="003D7F43"/>
    <w:rsid w:val="003E091B"/>
    <w:rsid w:val="003E0FD5"/>
    <w:rsid w:val="003E1E1E"/>
    <w:rsid w:val="003E1FFC"/>
    <w:rsid w:val="003E2969"/>
    <w:rsid w:val="003E2E50"/>
    <w:rsid w:val="003E331F"/>
    <w:rsid w:val="003E3A08"/>
    <w:rsid w:val="003E4370"/>
    <w:rsid w:val="003E4E34"/>
    <w:rsid w:val="003E59E0"/>
    <w:rsid w:val="003E6423"/>
    <w:rsid w:val="003E6E3C"/>
    <w:rsid w:val="003E7C44"/>
    <w:rsid w:val="003E7FA3"/>
    <w:rsid w:val="003F0A87"/>
    <w:rsid w:val="003F28A3"/>
    <w:rsid w:val="003F58DF"/>
    <w:rsid w:val="003F5F9C"/>
    <w:rsid w:val="003F63D5"/>
    <w:rsid w:val="003F6516"/>
    <w:rsid w:val="003F68B6"/>
    <w:rsid w:val="003F6E25"/>
    <w:rsid w:val="00400F1D"/>
    <w:rsid w:val="00401308"/>
    <w:rsid w:val="0040161B"/>
    <w:rsid w:val="00401A6C"/>
    <w:rsid w:val="00401D69"/>
    <w:rsid w:val="0040303F"/>
    <w:rsid w:val="004030DB"/>
    <w:rsid w:val="00403AB7"/>
    <w:rsid w:val="00404DAF"/>
    <w:rsid w:val="00405036"/>
    <w:rsid w:val="00405E16"/>
    <w:rsid w:val="004063F6"/>
    <w:rsid w:val="004069B8"/>
    <w:rsid w:val="00407F06"/>
    <w:rsid w:val="0041001C"/>
    <w:rsid w:val="00410597"/>
    <w:rsid w:val="004112E2"/>
    <w:rsid w:val="004113CD"/>
    <w:rsid w:val="004123BB"/>
    <w:rsid w:val="0041250C"/>
    <w:rsid w:val="00412FAB"/>
    <w:rsid w:val="00413374"/>
    <w:rsid w:val="00414605"/>
    <w:rsid w:val="00414C37"/>
    <w:rsid w:val="00416870"/>
    <w:rsid w:val="00416943"/>
    <w:rsid w:val="00416A1C"/>
    <w:rsid w:val="0041706A"/>
    <w:rsid w:val="0041737C"/>
    <w:rsid w:val="0041757C"/>
    <w:rsid w:val="00417CCD"/>
    <w:rsid w:val="00420AF3"/>
    <w:rsid w:val="00421504"/>
    <w:rsid w:val="00422DEB"/>
    <w:rsid w:val="004237E6"/>
    <w:rsid w:val="004246C2"/>
    <w:rsid w:val="00424965"/>
    <w:rsid w:val="00424B5D"/>
    <w:rsid w:val="00424C29"/>
    <w:rsid w:val="00425402"/>
    <w:rsid w:val="0042714C"/>
    <w:rsid w:val="00427304"/>
    <w:rsid w:val="00427928"/>
    <w:rsid w:val="004315B7"/>
    <w:rsid w:val="0043161C"/>
    <w:rsid w:val="00431B8E"/>
    <w:rsid w:val="004326B0"/>
    <w:rsid w:val="00432AC0"/>
    <w:rsid w:val="004330A0"/>
    <w:rsid w:val="0044091E"/>
    <w:rsid w:val="00440CA7"/>
    <w:rsid w:val="00442AC2"/>
    <w:rsid w:val="00443888"/>
    <w:rsid w:val="00445005"/>
    <w:rsid w:val="0044595F"/>
    <w:rsid w:val="00446160"/>
    <w:rsid w:val="00450423"/>
    <w:rsid w:val="00450E3C"/>
    <w:rsid w:val="00452C1F"/>
    <w:rsid w:val="00452DA6"/>
    <w:rsid w:val="004531FB"/>
    <w:rsid w:val="00453379"/>
    <w:rsid w:val="0045378E"/>
    <w:rsid w:val="004543A4"/>
    <w:rsid w:val="00454F4F"/>
    <w:rsid w:val="00456A80"/>
    <w:rsid w:val="00456C37"/>
    <w:rsid w:val="00456D7E"/>
    <w:rsid w:val="004571D9"/>
    <w:rsid w:val="0046366B"/>
    <w:rsid w:val="00463B80"/>
    <w:rsid w:val="00463E72"/>
    <w:rsid w:val="00463EF2"/>
    <w:rsid w:val="00464562"/>
    <w:rsid w:val="00465552"/>
    <w:rsid w:val="00465699"/>
    <w:rsid w:val="00466731"/>
    <w:rsid w:val="00470AEA"/>
    <w:rsid w:val="00470BCE"/>
    <w:rsid w:val="00471712"/>
    <w:rsid w:val="00471AC1"/>
    <w:rsid w:val="00471B9E"/>
    <w:rsid w:val="0047247E"/>
    <w:rsid w:val="004733BE"/>
    <w:rsid w:val="00473462"/>
    <w:rsid w:val="00473C6F"/>
    <w:rsid w:val="00474368"/>
    <w:rsid w:val="00474811"/>
    <w:rsid w:val="004749A9"/>
    <w:rsid w:val="00474D41"/>
    <w:rsid w:val="00474FA5"/>
    <w:rsid w:val="004755D2"/>
    <w:rsid w:val="004759A6"/>
    <w:rsid w:val="00475F43"/>
    <w:rsid w:val="0047663B"/>
    <w:rsid w:val="00477647"/>
    <w:rsid w:val="0047772E"/>
    <w:rsid w:val="00480528"/>
    <w:rsid w:val="00480BAF"/>
    <w:rsid w:val="00480F68"/>
    <w:rsid w:val="00486301"/>
    <w:rsid w:val="0048793F"/>
    <w:rsid w:val="00491A07"/>
    <w:rsid w:val="004922B1"/>
    <w:rsid w:val="004922F9"/>
    <w:rsid w:val="00494AF6"/>
    <w:rsid w:val="00494E03"/>
    <w:rsid w:val="0049610F"/>
    <w:rsid w:val="0049615D"/>
    <w:rsid w:val="00496A2A"/>
    <w:rsid w:val="004A0066"/>
    <w:rsid w:val="004A06E9"/>
    <w:rsid w:val="004A0768"/>
    <w:rsid w:val="004A18E5"/>
    <w:rsid w:val="004A5578"/>
    <w:rsid w:val="004A64C8"/>
    <w:rsid w:val="004A792A"/>
    <w:rsid w:val="004B03A6"/>
    <w:rsid w:val="004B33A1"/>
    <w:rsid w:val="004B3C6C"/>
    <w:rsid w:val="004B5E9A"/>
    <w:rsid w:val="004B6191"/>
    <w:rsid w:val="004B7380"/>
    <w:rsid w:val="004B7A59"/>
    <w:rsid w:val="004C0379"/>
    <w:rsid w:val="004C0C40"/>
    <w:rsid w:val="004C1C39"/>
    <w:rsid w:val="004C284D"/>
    <w:rsid w:val="004C38ED"/>
    <w:rsid w:val="004C4248"/>
    <w:rsid w:val="004C4A81"/>
    <w:rsid w:val="004C4D21"/>
    <w:rsid w:val="004C5836"/>
    <w:rsid w:val="004C5A00"/>
    <w:rsid w:val="004C7392"/>
    <w:rsid w:val="004D0166"/>
    <w:rsid w:val="004D4279"/>
    <w:rsid w:val="004D52F3"/>
    <w:rsid w:val="004D53B0"/>
    <w:rsid w:val="004D58E8"/>
    <w:rsid w:val="004D5A35"/>
    <w:rsid w:val="004D6E97"/>
    <w:rsid w:val="004D6F9F"/>
    <w:rsid w:val="004D7AFF"/>
    <w:rsid w:val="004E00AF"/>
    <w:rsid w:val="004E01F9"/>
    <w:rsid w:val="004E058C"/>
    <w:rsid w:val="004E1089"/>
    <w:rsid w:val="004E1A13"/>
    <w:rsid w:val="004E1C22"/>
    <w:rsid w:val="004E3650"/>
    <w:rsid w:val="004E4D42"/>
    <w:rsid w:val="004E4EF2"/>
    <w:rsid w:val="004E5F4D"/>
    <w:rsid w:val="004E64E5"/>
    <w:rsid w:val="004E6599"/>
    <w:rsid w:val="004E6BB3"/>
    <w:rsid w:val="004E7C62"/>
    <w:rsid w:val="004F0311"/>
    <w:rsid w:val="004F07E3"/>
    <w:rsid w:val="004F21AB"/>
    <w:rsid w:val="004F24F7"/>
    <w:rsid w:val="004F261B"/>
    <w:rsid w:val="004F2BFD"/>
    <w:rsid w:val="004F3485"/>
    <w:rsid w:val="004F5252"/>
    <w:rsid w:val="004F62C6"/>
    <w:rsid w:val="004F7225"/>
    <w:rsid w:val="00500BB5"/>
    <w:rsid w:val="00501BD7"/>
    <w:rsid w:val="00501C2A"/>
    <w:rsid w:val="00501E56"/>
    <w:rsid w:val="005021FD"/>
    <w:rsid w:val="005022DC"/>
    <w:rsid w:val="00503856"/>
    <w:rsid w:val="0050428F"/>
    <w:rsid w:val="005043F3"/>
    <w:rsid w:val="00505140"/>
    <w:rsid w:val="00505407"/>
    <w:rsid w:val="0050562B"/>
    <w:rsid w:val="00505D80"/>
    <w:rsid w:val="00510023"/>
    <w:rsid w:val="0051142D"/>
    <w:rsid w:val="00511E40"/>
    <w:rsid w:val="00513570"/>
    <w:rsid w:val="00513599"/>
    <w:rsid w:val="00513EBF"/>
    <w:rsid w:val="005143AC"/>
    <w:rsid w:val="005143B5"/>
    <w:rsid w:val="00514594"/>
    <w:rsid w:val="00514CA2"/>
    <w:rsid w:val="00514E23"/>
    <w:rsid w:val="00514EB1"/>
    <w:rsid w:val="0051543B"/>
    <w:rsid w:val="005154D3"/>
    <w:rsid w:val="00515847"/>
    <w:rsid w:val="00515A4E"/>
    <w:rsid w:val="00515B90"/>
    <w:rsid w:val="00515D61"/>
    <w:rsid w:val="0051627C"/>
    <w:rsid w:val="00516D3A"/>
    <w:rsid w:val="00517253"/>
    <w:rsid w:val="005178EE"/>
    <w:rsid w:val="00517B0D"/>
    <w:rsid w:val="00517E7D"/>
    <w:rsid w:val="005211C8"/>
    <w:rsid w:val="005213B0"/>
    <w:rsid w:val="00522908"/>
    <w:rsid w:val="00524160"/>
    <w:rsid w:val="005256DC"/>
    <w:rsid w:val="005258D7"/>
    <w:rsid w:val="00525B47"/>
    <w:rsid w:val="00526E1A"/>
    <w:rsid w:val="00527056"/>
    <w:rsid w:val="00532DF9"/>
    <w:rsid w:val="0053325B"/>
    <w:rsid w:val="0053397A"/>
    <w:rsid w:val="00534500"/>
    <w:rsid w:val="00534D91"/>
    <w:rsid w:val="00534EA2"/>
    <w:rsid w:val="005351BA"/>
    <w:rsid w:val="00535CC5"/>
    <w:rsid w:val="00537409"/>
    <w:rsid w:val="005376C9"/>
    <w:rsid w:val="00537905"/>
    <w:rsid w:val="005406E2"/>
    <w:rsid w:val="00540E28"/>
    <w:rsid w:val="00542D8B"/>
    <w:rsid w:val="00544534"/>
    <w:rsid w:val="00545212"/>
    <w:rsid w:val="005465DC"/>
    <w:rsid w:val="005470FC"/>
    <w:rsid w:val="0054759F"/>
    <w:rsid w:val="00553294"/>
    <w:rsid w:val="005532CC"/>
    <w:rsid w:val="00553465"/>
    <w:rsid w:val="00553FA3"/>
    <w:rsid w:val="0055400B"/>
    <w:rsid w:val="00554440"/>
    <w:rsid w:val="005558D3"/>
    <w:rsid w:val="005565AC"/>
    <w:rsid w:val="005571EA"/>
    <w:rsid w:val="005629E0"/>
    <w:rsid w:val="00562CD7"/>
    <w:rsid w:val="005633EC"/>
    <w:rsid w:val="00564A6A"/>
    <w:rsid w:val="00564D07"/>
    <w:rsid w:val="00565063"/>
    <w:rsid w:val="005652B5"/>
    <w:rsid w:val="00567842"/>
    <w:rsid w:val="00567A23"/>
    <w:rsid w:val="00567C02"/>
    <w:rsid w:val="00567CCA"/>
    <w:rsid w:val="005703A2"/>
    <w:rsid w:val="00571049"/>
    <w:rsid w:val="00572144"/>
    <w:rsid w:val="00573543"/>
    <w:rsid w:val="00575743"/>
    <w:rsid w:val="00575FD6"/>
    <w:rsid w:val="00576491"/>
    <w:rsid w:val="00576F2D"/>
    <w:rsid w:val="005817CE"/>
    <w:rsid w:val="00581E2C"/>
    <w:rsid w:val="00582142"/>
    <w:rsid w:val="00582385"/>
    <w:rsid w:val="00583987"/>
    <w:rsid w:val="00583CFA"/>
    <w:rsid w:val="00584D57"/>
    <w:rsid w:val="00585C87"/>
    <w:rsid w:val="00585E53"/>
    <w:rsid w:val="00590496"/>
    <w:rsid w:val="00590DBB"/>
    <w:rsid w:val="00591C03"/>
    <w:rsid w:val="00591E97"/>
    <w:rsid w:val="0059259A"/>
    <w:rsid w:val="00592CFC"/>
    <w:rsid w:val="00593130"/>
    <w:rsid w:val="00593F44"/>
    <w:rsid w:val="00595AC4"/>
    <w:rsid w:val="00595F81"/>
    <w:rsid w:val="005A0B8A"/>
    <w:rsid w:val="005A2091"/>
    <w:rsid w:val="005A4833"/>
    <w:rsid w:val="005A4EAA"/>
    <w:rsid w:val="005A54C4"/>
    <w:rsid w:val="005A7268"/>
    <w:rsid w:val="005B042F"/>
    <w:rsid w:val="005B04E1"/>
    <w:rsid w:val="005B0943"/>
    <w:rsid w:val="005B13AE"/>
    <w:rsid w:val="005B14ED"/>
    <w:rsid w:val="005B18A5"/>
    <w:rsid w:val="005B18ED"/>
    <w:rsid w:val="005B2F60"/>
    <w:rsid w:val="005B2F6A"/>
    <w:rsid w:val="005B3083"/>
    <w:rsid w:val="005B3835"/>
    <w:rsid w:val="005B50D9"/>
    <w:rsid w:val="005B54BE"/>
    <w:rsid w:val="005B6E19"/>
    <w:rsid w:val="005B72B8"/>
    <w:rsid w:val="005C06CE"/>
    <w:rsid w:val="005C134D"/>
    <w:rsid w:val="005C19AD"/>
    <w:rsid w:val="005C31E8"/>
    <w:rsid w:val="005C3A7D"/>
    <w:rsid w:val="005C4199"/>
    <w:rsid w:val="005C4A7C"/>
    <w:rsid w:val="005C6457"/>
    <w:rsid w:val="005D097E"/>
    <w:rsid w:val="005D0A8A"/>
    <w:rsid w:val="005D1929"/>
    <w:rsid w:val="005D1FBA"/>
    <w:rsid w:val="005D4C9A"/>
    <w:rsid w:val="005D67FD"/>
    <w:rsid w:val="005D79AC"/>
    <w:rsid w:val="005E0578"/>
    <w:rsid w:val="005E0623"/>
    <w:rsid w:val="005E0C72"/>
    <w:rsid w:val="005E2C3E"/>
    <w:rsid w:val="005E3286"/>
    <w:rsid w:val="005E372D"/>
    <w:rsid w:val="005E3A79"/>
    <w:rsid w:val="005E3CAF"/>
    <w:rsid w:val="005E527E"/>
    <w:rsid w:val="005E573E"/>
    <w:rsid w:val="005E601C"/>
    <w:rsid w:val="005E6A6B"/>
    <w:rsid w:val="005E713E"/>
    <w:rsid w:val="005F078C"/>
    <w:rsid w:val="005F0D7B"/>
    <w:rsid w:val="005F0F4A"/>
    <w:rsid w:val="005F14A0"/>
    <w:rsid w:val="005F22ED"/>
    <w:rsid w:val="005F349A"/>
    <w:rsid w:val="005F4072"/>
    <w:rsid w:val="005F42C0"/>
    <w:rsid w:val="005F46FC"/>
    <w:rsid w:val="005F4ED6"/>
    <w:rsid w:val="005F5181"/>
    <w:rsid w:val="005F732A"/>
    <w:rsid w:val="005F763E"/>
    <w:rsid w:val="00600756"/>
    <w:rsid w:val="00601363"/>
    <w:rsid w:val="00601EB4"/>
    <w:rsid w:val="00601F46"/>
    <w:rsid w:val="0060271A"/>
    <w:rsid w:val="006036A0"/>
    <w:rsid w:val="00604328"/>
    <w:rsid w:val="00604BBB"/>
    <w:rsid w:val="0060536E"/>
    <w:rsid w:val="00605939"/>
    <w:rsid w:val="00607595"/>
    <w:rsid w:val="00607AF8"/>
    <w:rsid w:val="0061098D"/>
    <w:rsid w:val="006123CA"/>
    <w:rsid w:val="0061276C"/>
    <w:rsid w:val="006129FF"/>
    <w:rsid w:val="006139C1"/>
    <w:rsid w:val="00613D92"/>
    <w:rsid w:val="00614454"/>
    <w:rsid w:val="0061460D"/>
    <w:rsid w:val="00615833"/>
    <w:rsid w:val="00615841"/>
    <w:rsid w:val="0061623C"/>
    <w:rsid w:val="00616666"/>
    <w:rsid w:val="00616F22"/>
    <w:rsid w:val="006207EB"/>
    <w:rsid w:val="0062371D"/>
    <w:rsid w:val="0062378E"/>
    <w:rsid w:val="00625D5F"/>
    <w:rsid w:val="00626711"/>
    <w:rsid w:val="00626ED5"/>
    <w:rsid w:val="00632E60"/>
    <w:rsid w:val="00633291"/>
    <w:rsid w:val="00633F2B"/>
    <w:rsid w:val="00634882"/>
    <w:rsid w:val="006348FB"/>
    <w:rsid w:val="00634F9C"/>
    <w:rsid w:val="00636F5A"/>
    <w:rsid w:val="00637891"/>
    <w:rsid w:val="00637CE9"/>
    <w:rsid w:val="006406AF"/>
    <w:rsid w:val="0064242C"/>
    <w:rsid w:val="00642C2A"/>
    <w:rsid w:val="0064491A"/>
    <w:rsid w:val="00644D9F"/>
    <w:rsid w:val="00645F3C"/>
    <w:rsid w:val="0064734A"/>
    <w:rsid w:val="00651BAB"/>
    <w:rsid w:val="00651E4A"/>
    <w:rsid w:val="006535AF"/>
    <w:rsid w:val="00653950"/>
    <w:rsid w:val="00654932"/>
    <w:rsid w:val="00656CA6"/>
    <w:rsid w:val="006607EA"/>
    <w:rsid w:val="00661153"/>
    <w:rsid w:val="0066124A"/>
    <w:rsid w:val="00661FF3"/>
    <w:rsid w:val="00662B30"/>
    <w:rsid w:val="006642DC"/>
    <w:rsid w:val="00665220"/>
    <w:rsid w:val="00665A04"/>
    <w:rsid w:val="00665D6D"/>
    <w:rsid w:val="0066614D"/>
    <w:rsid w:val="006666B3"/>
    <w:rsid w:val="00666E49"/>
    <w:rsid w:val="006674C6"/>
    <w:rsid w:val="00667ACD"/>
    <w:rsid w:val="00670646"/>
    <w:rsid w:val="00671D37"/>
    <w:rsid w:val="00673143"/>
    <w:rsid w:val="006733F2"/>
    <w:rsid w:val="00673F63"/>
    <w:rsid w:val="00674189"/>
    <w:rsid w:val="006744A8"/>
    <w:rsid w:val="00674595"/>
    <w:rsid w:val="006750FE"/>
    <w:rsid w:val="0067542D"/>
    <w:rsid w:val="0067696A"/>
    <w:rsid w:val="00676E92"/>
    <w:rsid w:val="00677514"/>
    <w:rsid w:val="00681756"/>
    <w:rsid w:val="0068308B"/>
    <w:rsid w:val="00683424"/>
    <w:rsid w:val="006834AE"/>
    <w:rsid w:val="00683D36"/>
    <w:rsid w:val="00683FBA"/>
    <w:rsid w:val="00684929"/>
    <w:rsid w:val="00684F25"/>
    <w:rsid w:val="006851FC"/>
    <w:rsid w:val="00685F81"/>
    <w:rsid w:val="00692F59"/>
    <w:rsid w:val="006948F9"/>
    <w:rsid w:val="006958B4"/>
    <w:rsid w:val="006A0A3F"/>
    <w:rsid w:val="006A0DD0"/>
    <w:rsid w:val="006A1E52"/>
    <w:rsid w:val="006A35F2"/>
    <w:rsid w:val="006A3AC6"/>
    <w:rsid w:val="006A3C84"/>
    <w:rsid w:val="006A52DF"/>
    <w:rsid w:val="006A55AF"/>
    <w:rsid w:val="006A62B7"/>
    <w:rsid w:val="006A6753"/>
    <w:rsid w:val="006A6C25"/>
    <w:rsid w:val="006A7639"/>
    <w:rsid w:val="006B0911"/>
    <w:rsid w:val="006B257A"/>
    <w:rsid w:val="006B34C0"/>
    <w:rsid w:val="006B3EFC"/>
    <w:rsid w:val="006B3FD0"/>
    <w:rsid w:val="006B44F8"/>
    <w:rsid w:val="006B4DBC"/>
    <w:rsid w:val="006B70EA"/>
    <w:rsid w:val="006C0C5D"/>
    <w:rsid w:val="006C0D12"/>
    <w:rsid w:val="006C1058"/>
    <w:rsid w:val="006C12CB"/>
    <w:rsid w:val="006C279F"/>
    <w:rsid w:val="006C46C3"/>
    <w:rsid w:val="006C4A2E"/>
    <w:rsid w:val="006C546C"/>
    <w:rsid w:val="006C5805"/>
    <w:rsid w:val="006C5AC6"/>
    <w:rsid w:val="006C66AD"/>
    <w:rsid w:val="006C6FA1"/>
    <w:rsid w:val="006D0C23"/>
    <w:rsid w:val="006D1220"/>
    <w:rsid w:val="006D130E"/>
    <w:rsid w:val="006D2CC9"/>
    <w:rsid w:val="006D2D6A"/>
    <w:rsid w:val="006D2DEF"/>
    <w:rsid w:val="006D4290"/>
    <w:rsid w:val="006D4702"/>
    <w:rsid w:val="006D4C6E"/>
    <w:rsid w:val="006D4DA3"/>
    <w:rsid w:val="006D6119"/>
    <w:rsid w:val="006E07E0"/>
    <w:rsid w:val="006E0B14"/>
    <w:rsid w:val="006E0DB9"/>
    <w:rsid w:val="006E1430"/>
    <w:rsid w:val="006E2A0A"/>
    <w:rsid w:val="006E2B0B"/>
    <w:rsid w:val="006E3865"/>
    <w:rsid w:val="006E3B74"/>
    <w:rsid w:val="006E3C3E"/>
    <w:rsid w:val="006E3E07"/>
    <w:rsid w:val="006E47B5"/>
    <w:rsid w:val="006E5FAB"/>
    <w:rsid w:val="006E78CA"/>
    <w:rsid w:val="006E7D67"/>
    <w:rsid w:val="006F094D"/>
    <w:rsid w:val="006F130F"/>
    <w:rsid w:val="006F15A5"/>
    <w:rsid w:val="006F1E0A"/>
    <w:rsid w:val="006F2020"/>
    <w:rsid w:val="006F3C91"/>
    <w:rsid w:val="006F4C9B"/>
    <w:rsid w:val="006F4EE0"/>
    <w:rsid w:val="006F546B"/>
    <w:rsid w:val="006F6418"/>
    <w:rsid w:val="006F7505"/>
    <w:rsid w:val="00700FE3"/>
    <w:rsid w:val="00701D94"/>
    <w:rsid w:val="00701E08"/>
    <w:rsid w:val="00701E80"/>
    <w:rsid w:val="00702320"/>
    <w:rsid w:val="00702801"/>
    <w:rsid w:val="00703C9D"/>
    <w:rsid w:val="0070485B"/>
    <w:rsid w:val="00704A89"/>
    <w:rsid w:val="007056BE"/>
    <w:rsid w:val="00705E44"/>
    <w:rsid w:val="0070609F"/>
    <w:rsid w:val="007078DA"/>
    <w:rsid w:val="00707E53"/>
    <w:rsid w:val="00710CEB"/>
    <w:rsid w:val="00710F05"/>
    <w:rsid w:val="00712755"/>
    <w:rsid w:val="0071281A"/>
    <w:rsid w:val="00712DE8"/>
    <w:rsid w:val="00714CFF"/>
    <w:rsid w:val="0071511F"/>
    <w:rsid w:val="00715B28"/>
    <w:rsid w:val="0071606D"/>
    <w:rsid w:val="00716A09"/>
    <w:rsid w:val="00717762"/>
    <w:rsid w:val="0072151A"/>
    <w:rsid w:val="007215BF"/>
    <w:rsid w:val="007224CC"/>
    <w:rsid w:val="0072280C"/>
    <w:rsid w:val="0072305E"/>
    <w:rsid w:val="00723AA3"/>
    <w:rsid w:val="007240DB"/>
    <w:rsid w:val="007247CE"/>
    <w:rsid w:val="00724C05"/>
    <w:rsid w:val="0072531F"/>
    <w:rsid w:val="00725886"/>
    <w:rsid w:val="00727C8C"/>
    <w:rsid w:val="00730E3E"/>
    <w:rsid w:val="007311EA"/>
    <w:rsid w:val="0073287E"/>
    <w:rsid w:val="00732B8A"/>
    <w:rsid w:val="0073328B"/>
    <w:rsid w:val="00733C35"/>
    <w:rsid w:val="00733C8B"/>
    <w:rsid w:val="00736EE7"/>
    <w:rsid w:val="00740246"/>
    <w:rsid w:val="00740AF0"/>
    <w:rsid w:val="00741A67"/>
    <w:rsid w:val="00743817"/>
    <w:rsid w:val="007454D3"/>
    <w:rsid w:val="00745562"/>
    <w:rsid w:val="007456F8"/>
    <w:rsid w:val="00745716"/>
    <w:rsid w:val="00745A5A"/>
    <w:rsid w:val="00746030"/>
    <w:rsid w:val="00746867"/>
    <w:rsid w:val="00746FE8"/>
    <w:rsid w:val="00747A0D"/>
    <w:rsid w:val="00747A31"/>
    <w:rsid w:val="007511C2"/>
    <w:rsid w:val="00751815"/>
    <w:rsid w:val="00752A88"/>
    <w:rsid w:val="007531C5"/>
    <w:rsid w:val="00753E97"/>
    <w:rsid w:val="0075402D"/>
    <w:rsid w:val="00754216"/>
    <w:rsid w:val="00755055"/>
    <w:rsid w:val="007551DD"/>
    <w:rsid w:val="0075639E"/>
    <w:rsid w:val="00756EA7"/>
    <w:rsid w:val="00756F7B"/>
    <w:rsid w:val="00757D98"/>
    <w:rsid w:val="007619F4"/>
    <w:rsid w:val="00762C60"/>
    <w:rsid w:val="00762EBD"/>
    <w:rsid w:val="00763353"/>
    <w:rsid w:val="007646B2"/>
    <w:rsid w:val="00766B55"/>
    <w:rsid w:val="00770588"/>
    <w:rsid w:val="0077068B"/>
    <w:rsid w:val="007707F3"/>
    <w:rsid w:val="007715D9"/>
    <w:rsid w:val="00771D4E"/>
    <w:rsid w:val="00774793"/>
    <w:rsid w:val="0077501A"/>
    <w:rsid w:val="0077529F"/>
    <w:rsid w:val="007756B7"/>
    <w:rsid w:val="007761B3"/>
    <w:rsid w:val="00776E63"/>
    <w:rsid w:val="00776F46"/>
    <w:rsid w:val="00777134"/>
    <w:rsid w:val="007771F9"/>
    <w:rsid w:val="007772B6"/>
    <w:rsid w:val="0077734E"/>
    <w:rsid w:val="0077753F"/>
    <w:rsid w:val="007805E1"/>
    <w:rsid w:val="0078113B"/>
    <w:rsid w:val="00781E24"/>
    <w:rsid w:val="007828EC"/>
    <w:rsid w:val="00782B65"/>
    <w:rsid w:val="0078319C"/>
    <w:rsid w:val="007831F8"/>
    <w:rsid w:val="00783227"/>
    <w:rsid w:val="007833CF"/>
    <w:rsid w:val="0078456F"/>
    <w:rsid w:val="00784C80"/>
    <w:rsid w:val="007852F8"/>
    <w:rsid w:val="00785955"/>
    <w:rsid w:val="00787D7C"/>
    <w:rsid w:val="0079038F"/>
    <w:rsid w:val="007908D5"/>
    <w:rsid w:val="00791176"/>
    <w:rsid w:val="00791273"/>
    <w:rsid w:val="00791CDC"/>
    <w:rsid w:val="00792011"/>
    <w:rsid w:val="007940E6"/>
    <w:rsid w:val="007947FF"/>
    <w:rsid w:val="00795194"/>
    <w:rsid w:val="0079619D"/>
    <w:rsid w:val="00797616"/>
    <w:rsid w:val="007A130F"/>
    <w:rsid w:val="007A25BC"/>
    <w:rsid w:val="007A2FDE"/>
    <w:rsid w:val="007A3114"/>
    <w:rsid w:val="007A320C"/>
    <w:rsid w:val="007A6BD9"/>
    <w:rsid w:val="007A6C6E"/>
    <w:rsid w:val="007B0245"/>
    <w:rsid w:val="007B05AC"/>
    <w:rsid w:val="007B15D5"/>
    <w:rsid w:val="007B26D9"/>
    <w:rsid w:val="007B3F23"/>
    <w:rsid w:val="007B4277"/>
    <w:rsid w:val="007B4A2E"/>
    <w:rsid w:val="007B7CCA"/>
    <w:rsid w:val="007B7E52"/>
    <w:rsid w:val="007B7EF1"/>
    <w:rsid w:val="007B7F44"/>
    <w:rsid w:val="007C036E"/>
    <w:rsid w:val="007C06B1"/>
    <w:rsid w:val="007C0E6F"/>
    <w:rsid w:val="007C2773"/>
    <w:rsid w:val="007C370D"/>
    <w:rsid w:val="007C37BA"/>
    <w:rsid w:val="007C445F"/>
    <w:rsid w:val="007C491B"/>
    <w:rsid w:val="007C660D"/>
    <w:rsid w:val="007D0141"/>
    <w:rsid w:val="007D02A7"/>
    <w:rsid w:val="007D2A7F"/>
    <w:rsid w:val="007D2F71"/>
    <w:rsid w:val="007D47E4"/>
    <w:rsid w:val="007D5A23"/>
    <w:rsid w:val="007D65A7"/>
    <w:rsid w:val="007E0FCF"/>
    <w:rsid w:val="007E20B1"/>
    <w:rsid w:val="007E22F9"/>
    <w:rsid w:val="007E3683"/>
    <w:rsid w:val="007E5011"/>
    <w:rsid w:val="007E54F6"/>
    <w:rsid w:val="007E621A"/>
    <w:rsid w:val="007E69BB"/>
    <w:rsid w:val="007E6B13"/>
    <w:rsid w:val="007E6DC8"/>
    <w:rsid w:val="007E76E2"/>
    <w:rsid w:val="007F17C9"/>
    <w:rsid w:val="007F1839"/>
    <w:rsid w:val="007F25F0"/>
    <w:rsid w:val="007F26DA"/>
    <w:rsid w:val="007F315B"/>
    <w:rsid w:val="007F3A0F"/>
    <w:rsid w:val="007F4A32"/>
    <w:rsid w:val="007F56F7"/>
    <w:rsid w:val="007F770C"/>
    <w:rsid w:val="007F7CF9"/>
    <w:rsid w:val="008007FD"/>
    <w:rsid w:val="00801515"/>
    <w:rsid w:val="0080169F"/>
    <w:rsid w:val="00801F8D"/>
    <w:rsid w:val="00803F53"/>
    <w:rsid w:val="00804E31"/>
    <w:rsid w:val="00805602"/>
    <w:rsid w:val="00806566"/>
    <w:rsid w:val="00807980"/>
    <w:rsid w:val="00810D3F"/>
    <w:rsid w:val="00810FE9"/>
    <w:rsid w:val="008126BB"/>
    <w:rsid w:val="00812895"/>
    <w:rsid w:val="00812A6D"/>
    <w:rsid w:val="00813215"/>
    <w:rsid w:val="00813426"/>
    <w:rsid w:val="00814F47"/>
    <w:rsid w:val="00816A23"/>
    <w:rsid w:val="00816B01"/>
    <w:rsid w:val="00816EC1"/>
    <w:rsid w:val="00816ECD"/>
    <w:rsid w:val="00817429"/>
    <w:rsid w:val="008203B2"/>
    <w:rsid w:val="0082128C"/>
    <w:rsid w:val="00821D09"/>
    <w:rsid w:val="008221F5"/>
    <w:rsid w:val="00822D0C"/>
    <w:rsid w:val="00822F76"/>
    <w:rsid w:val="00823454"/>
    <w:rsid w:val="00823666"/>
    <w:rsid w:val="008237C2"/>
    <w:rsid w:val="00823805"/>
    <w:rsid w:val="00823ED3"/>
    <w:rsid w:val="0082581D"/>
    <w:rsid w:val="00825F21"/>
    <w:rsid w:val="00827D54"/>
    <w:rsid w:val="00827F3C"/>
    <w:rsid w:val="008308A2"/>
    <w:rsid w:val="00830934"/>
    <w:rsid w:val="008309BF"/>
    <w:rsid w:val="00831F23"/>
    <w:rsid w:val="00832B0E"/>
    <w:rsid w:val="00833273"/>
    <w:rsid w:val="00834143"/>
    <w:rsid w:val="00834AE8"/>
    <w:rsid w:val="00834BB1"/>
    <w:rsid w:val="0083709D"/>
    <w:rsid w:val="008402E2"/>
    <w:rsid w:val="00841641"/>
    <w:rsid w:val="00842466"/>
    <w:rsid w:val="008448C9"/>
    <w:rsid w:val="00846CE0"/>
    <w:rsid w:val="00847673"/>
    <w:rsid w:val="00847683"/>
    <w:rsid w:val="00850240"/>
    <w:rsid w:val="00850C91"/>
    <w:rsid w:val="00851D77"/>
    <w:rsid w:val="00853D75"/>
    <w:rsid w:val="00853E3A"/>
    <w:rsid w:val="00854C6E"/>
    <w:rsid w:val="008564B4"/>
    <w:rsid w:val="00856738"/>
    <w:rsid w:val="00856B7C"/>
    <w:rsid w:val="00860E56"/>
    <w:rsid w:val="0086186E"/>
    <w:rsid w:val="008629BB"/>
    <w:rsid w:val="00862F94"/>
    <w:rsid w:val="008631B5"/>
    <w:rsid w:val="00863310"/>
    <w:rsid w:val="0086363D"/>
    <w:rsid w:val="00863F44"/>
    <w:rsid w:val="008642EB"/>
    <w:rsid w:val="00866091"/>
    <w:rsid w:val="008660A0"/>
    <w:rsid w:val="00866570"/>
    <w:rsid w:val="0086678D"/>
    <w:rsid w:val="00871E20"/>
    <w:rsid w:val="008720AC"/>
    <w:rsid w:val="008724C7"/>
    <w:rsid w:val="0087253C"/>
    <w:rsid w:val="00873888"/>
    <w:rsid w:val="008741D7"/>
    <w:rsid w:val="00874456"/>
    <w:rsid w:val="0087457E"/>
    <w:rsid w:val="0087464F"/>
    <w:rsid w:val="00874A59"/>
    <w:rsid w:val="00875866"/>
    <w:rsid w:val="00880FD6"/>
    <w:rsid w:val="0088139A"/>
    <w:rsid w:val="00881DE0"/>
    <w:rsid w:val="0088309F"/>
    <w:rsid w:val="00883AD4"/>
    <w:rsid w:val="00884035"/>
    <w:rsid w:val="008843E7"/>
    <w:rsid w:val="00884421"/>
    <w:rsid w:val="0088543B"/>
    <w:rsid w:val="00885C37"/>
    <w:rsid w:val="00886616"/>
    <w:rsid w:val="00886961"/>
    <w:rsid w:val="00890316"/>
    <w:rsid w:val="0089131F"/>
    <w:rsid w:val="00891DD1"/>
    <w:rsid w:val="008922CE"/>
    <w:rsid w:val="00892512"/>
    <w:rsid w:val="008929A9"/>
    <w:rsid w:val="00892B0B"/>
    <w:rsid w:val="00894B38"/>
    <w:rsid w:val="008955EB"/>
    <w:rsid w:val="0089668F"/>
    <w:rsid w:val="00896AFE"/>
    <w:rsid w:val="00897835"/>
    <w:rsid w:val="00897D82"/>
    <w:rsid w:val="00897EC2"/>
    <w:rsid w:val="008A07D0"/>
    <w:rsid w:val="008A098F"/>
    <w:rsid w:val="008A17C1"/>
    <w:rsid w:val="008A1FAB"/>
    <w:rsid w:val="008A265A"/>
    <w:rsid w:val="008A2930"/>
    <w:rsid w:val="008A2E1D"/>
    <w:rsid w:val="008A30F6"/>
    <w:rsid w:val="008A3CCB"/>
    <w:rsid w:val="008A3E51"/>
    <w:rsid w:val="008A64C3"/>
    <w:rsid w:val="008A672D"/>
    <w:rsid w:val="008A6789"/>
    <w:rsid w:val="008B0102"/>
    <w:rsid w:val="008B174A"/>
    <w:rsid w:val="008B18BD"/>
    <w:rsid w:val="008B1EFE"/>
    <w:rsid w:val="008B2772"/>
    <w:rsid w:val="008B2B1C"/>
    <w:rsid w:val="008B48E3"/>
    <w:rsid w:val="008B4B2E"/>
    <w:rsid w:val="008B4B78"/>
    <w:rsid w:val="008B4DEF"/>
    <w:rsid w:val="008B4F74"/>
    <w:rsid w:val="008B5400"/>
    <w:rsid w:val="008B5B45"/>
    <w:rsid w:val="008B65EB"/>
    <w:rsid w:val="008C01C2"/>
    <w:rsid w:val="008C0353"/>
    <w:rsid w:val="008C180B"/>
    <w:rsid w:val="008C3046"/>
    <w:rsid w:val="008C316D"/>
    <w:rsid w:val="008C3305"/>
    <w:rsid w:val="008C3A69"/>
    <w:rsid w:val="008C3AD9"/>
    <w:rsid w:val="008C3CA4"/>
    <w:rsid w:val="008C4914"/>
    <w:rsid w:val="008C4D9C"/>
    <w:rsid w:val="008C524B"/>
    <w:rsid w:val="008C6931"/>
    <w:rsid w:val="008C7B7D"/>
    <w:rsid w:val="008C7CCC"/>
    <w:rsid w:val="008C7E57"/>
    <w:rsid w:val="008C7E91"/>
    <w:rsid w:val="008D0C50"/>
    <w:rsid w:val="008D1588"/>
    <w:rsid w:val="008D1E97"/>
    <w:rsid w:val="008D3B85"/>
    <w:rsid w:val="008D4966"/>
    <w:rsid w:val="008D49EC"/>
    <w:rsid w:val="008D4CB7"/>
    <w:rsid w:val="008D4FF1"/>
    <w:rsid w:val="008D5076"/>
    <w:rsid w:val="008D5695"/>
    <w:rsid w:val="008D591B"/>
    <w:rsid w:val="008D5F3C"/>
    <w:rsid w:val="008D62B0"/>
    <w:rsid w:val="008D6C2F"/>
    <w:rsid w:val="008D73B0"/>
    <w:rsid w:val="008D74DB"/>
    <w:rsid w:val="008D77D5"/>
    <w:rsid w:val="008D7FFA"/>
    <w:rsid w:val="008E0514"/>
    <w:rsid w:val="008E082A"/>
    <w:rsid w:val="008E09D0"/>
    <w:rsid w:val="008E0D78"/>
    <w:rsid w:val="008E3AEC"/>
    <w:rsid w:val="008E4BF2"/>
    <w:rsid w:val="008E53C9"/>
    <w:rsid w:val="008E58D0"/>
    <w:rsid w:val="008E5B61"/>
    <w:rsid w:val="008E5CE6"/>
    <w:rsid w:val="008E624B"/>
    <w:rsid w:val="008E6A4A"/>
    <w:rsid w:val="008E73C8"/>
    <w:rsid w:val="008F323E"/>
    <w:rsid w:val="008F44C3"/>
    <w:rsid w:val="008F581C"/>
    <w:rsid w:val="008F7BF2"/>
    <w:rsid w:val="00900236"/>
    <w:rsid w:val="00900C85"/>
    <w:rsid w:val="00901621"/>
    <w:rsid w:val="009017D3"/>
    <w:rsid w:val="00902D58"/>
    <w:rsid w:val="00902E53"/>
    <w:rsid w:val="00903430"/>
    <w:rsid w:val="00905A2A"/>
    <w:rsid w:val="00905B0B"/>
    <w:rsid w:val="009068F3"/>
    <w:rsid w:val="00907064"/>
    <w:rsid w:val="0091233F"/>
    <w:rsid w:val="00912A3A"/>
    <w:rsid w:val="00913268"/>
    <w:rsid w:val="009135A5"/>
    <w:rsid w:val="00913BFD"/>
    <w:rsid w:val="00914022"/>
    <w:rsid w:val="009144A5"/>
    <w:rsid w:val="00914B6B"/>
    <w:rsid w:val="0091592F"/>
    <w:rsid w:val="00915B4D"/>
    <w:rsid w:val="00916B19"/>
    <w:rsid w:val="00916B8A"/>
    <w:rsid w:val="0091724C"/>
    <w:rsid w:val="00920ABD"/>
    <w:rsid w:val="009213B9"/>
    <w:rsid w:val="00922468"/>
    <w:rsid w:val="00922A60"/>
    <w:rsid w:val="00924040"/>
    <w:rsid w:val="009241F9"/>
    <w:rsid w:val="00924705"/>
    <w:rsid w:val="00925635"/>
    <w:rsid w:val="00925AFB"/>
    <w:rsid w:val="009265A1"/>
    <w:rsid w:val="0093029D"/>
    <w:rsid w:val="0093094A"/>
    <w:rsid w:val="009320C5"/>
    <w:rsid w:val="00932F62"/>
    <w:rsid w:val="00933CB3"/>
    <w:rsid w:val="009348E8"/>
    <w:rsid w:val="00935BEB"/>
    <w:rsid w:val="009361D9"/>
    <w:rsid w:val="00936578"/>
    <w:rsid w:val="00936B0F"/>
    <w:rsid w:val="00936EE7"/>
    <w:rsid w:val="0093732B"/>
    <w:rsid w:val="009374BD"/>
    <w:rsid w:val="00937BBC"/>
    <w:rsid w:val="00941473"/>
    <w:rsid w:val="00941C7D"/>
    <w:rsid w:val="00941ECF"/>
    <w:rsid w:val="00943B6E"/>
    <w:rsid w:val="009448ED"/>
    <w:rsid w:val="00944937"/>
    <w:rsid w:val="009461A6"/>
    <w:rsid w:val="00946607"/>
    <w:rsid w:val="00947172"/>
    <w:rsid w:val="00950BE4"/>
    <w:rsid w:val="0095145C"/>
    <w:rsid w:val="0095249A"/>
    <w:rsid w:val="0095589D"/>
    <w:rsid w:val="00956BAB"/>
    <w:rsid w:val="00957F86"/>
    <w:rsid w:val="00960962"/>
    <w:rsid w:val="00960CCC"/>
    <w:rsid w:val="0096132D"/>
    <w:rsid w:val="0096366B"/>
    <w:rsid w:val="009638A5"/>
    <w:rsid w:val="00965274"/>
    <w:rsid w:val="00965925"/>
    <w:rsid w:val="00965D29"/>
    <w:rsid w:val="00966553"/>
    <w:rsid w:val="0096744A"/>
    <w:rsid w:val="00970289"/>
    <w:rsid w:val="00970B46"/>
    <w:rsid w:val="009713A3"/>
    <w:rsid w:val="00971D32"/>
    <w:rsid w:val="00972B26"/>
    <w:rsid w:val="0097377E"/>
    <w:rsid w:val="00973A2E"/>
    <w:rsid w:val="0097405E"/>
    <w:rsid w:val="00974FA3"/>
    <w:rsid w:val="00975FB7"/>
    <w:rsid w:val="00980B98"/>
    <w:rsid w:val="009826EC"/>
    <w:rsid w:val="00983675"/>
    <w:rsid w:val="0098377B"/>
    <w:rsid w:val="00983DF8"/>
    <w:rsid w:val="0098428E"/>
    <w:rsid w:val="00984B70"/>
    <w:rsid w:val="00984D68"/>
    <w:rsid w:val="00984E66"/>
    <w:rsid w:val="00985270"/>
    <w:rsid w:val="00986C42"/>
    <w:rsid w:val="0098725C"/>
    <w:rsid w:val="00990E42"/>
    <w:rsid w:val="00990FA4"/>
    <w:rsid w:val="00991779"/>
    <w:rsid w:val="00992CBA"/>
    <w:rsid w:val="00993835"/>
    <w:rsid w:val="00994D4A"/>
    <w:rsid w:val="00996864"/>
    <w:rsid w:val="00996DA8"/>
    <w:rsid w:val="009975A5"/>
    <w:rsid w:val="009A0740"/>
    <w:rsid w:val="009A0A2E"/>
    <w:rsid w:val="009A0F76"/>
    <w:rsid w:val="009A1C99"/>
    <w:rsid w:val="009A29B2"/>
    <w:rsid w:val="009A4F8E"/>
    <w:rsid w:val="009A58A8"/>
    <w:rsid w:val="009A597C"/>
    <w:rsid w:val="009A6D3F"/>
    <w:rsid w:val="009B09A5"/>
    <w:rsid w:val="009B1645"/>
    <w:rsid w:val="009B220E"/>
    <w:rsid w:val="009B2938"/>
    <w:rsid w:val="009B29B6"/>
    <w:rsid w:val="009B2E8A"/>
    <w:rsid w:val="009B323E"/>
    <w:rsid w:val="009B350E"/>
    <w:rsid w:val="009B367D"/>
    <w:rsid w:val="009B36C4"/>
    <w:rsid w:val="009B4183"/>
    <w:rsid w:val="009B4456"/>
    <w:rsid w:val="009B44F3"/>
    <w:rsid w:val="009B4A7D"/>
    <w:rsid w:val="009B4FBC"/>
    <w:rsid w:val="009B54CD"/>
    <w:rsid w:val="009B572B"/>
    <w:rsid w:val="009B5A29"/>
    <w:rsid w:val="009B6AC4"/>
    <w:rsid w:val="009B7224"/>
    <w:rsid w:val="009B7B8C"/>
    <w:rsid w:val="009C0597"/>
    <w:rsid w:val="009C070C"/>
    <w:rsid w:val="009C1012"/>
    <w:rsid w:val="009C2114"/>
    <w:rsid w:val="009C27D0"/>
    <w:rsid w:val="009C2857"/>
    <w:rsid w:val="009C4A84"/>
    <w:rsid w:val="009C4AFE"/>
    <w:rsid w:val="009C6A33"/>
    <w:rsid w:val="009C7837"/>
    <w:rsid w:val="009D0309"/>
    <w:rsid w:val="009D06BA"/>
    <w:rsid w:val="009D0761"/>
    <w:rsid w:val="009D13B6"/>
    <w:rsid w:val="009D23BA"/>
    <w:rsid w:val="009D301D"/>
    <w:rsid w:val="009D3C35"/>
    <w:rsid w:val="009D3DDC"/>
    <w:rsid w:val="009D4321"/>
    <w:rsid w:val="009D77C5"/>
    <w:rsid w:val="009D7849"/>
    <w:rsid w:val="009D7BD4"/>
    <w:rsid w:val="009E068D"/>
    <w:rsid w:val="009E0AE7"/>
    <w:rsid w:val="009E2F89"/>
    <w:rsid w:val="009E3543"/>
    <w:rsid w:val="009E3D6A"/>
    <w:rsid w:val="009E455A"/>
    <w:rsid w:val="009E67ED"/>
    <w:rsid w:val="009F0453"/>
    <w:rsid w:val="009F1C85"/>
    <w:rsid w:val="009F2A3A"/>
    <w:rsid w:val="009F2ADE"/>
    <w:rsid w:val="009F2B03"/>
    <w:rsid w:val="009F3451"/>
    <w:rsid w:val="009F49FF"/>
    <w:rsid w:val="009F628F"/>
    <w:rsid w:val="009F74EF"/>
    <w:rsid w:val="009F756E"/>
    <w:rsid w:val="009F7682"/>
    <w:rsid w:val="00A00317"/>
    <w:rsid w:val="00A00F71"/>
    <w:rsid w:val="00A014B0"/>
    <w:rsid w:val="00A038A5"/>
    <w:rsid w:val="00A03E3B"/>
    <w:rsid w:val="00A045F8"/>
    <w:rsid w:val="00A05278"/>
    <w:rsid w:val="00A056AE"/>
    <w:rsid w:val="00A05A93"/>
    <w:rsid w:val="00A06275"/>
    <w:rsid w:val="00A06DA2"/>
    <w:rsid w:val="00A073E8"/>
    <w:rsid w:val="00A103E2"/>
    <w:rsid w:val="00A116ED"/>
    <w:rsid w:val="00A130D2"/>
    <w:rsid w:val="00A13B89"/>
    <w:rsid w:val="00A157C8"/>
    <w:rsid w:val="00A15D21"/>
    <w:rsid w:val="00A15E8F"/>
    <w:rsid w:val="00A1684B"/>
    <w:rsid w:val="00A16953"/>
    <w:rsid w:val="00A17277"/>
    <w:rsid w:val="00A2015E"/>
    <w:rsid w:val="00A215D0"/>
    <w:rsid w:val="00A21865"/>
    <w:rsid w:val="00A23CCF"/>
    <w:rsid w:val="00A25587"/>
    <w:rsid w:val="00A2560A"/>
    <w:rsid w:val="00A25B72"/>
    <w:rsid w:val="00A26081"/>
    <w:rsid w:val="00A2639A"/>
    <w:rsid w:val="00A2662E"/>
    <w:rsid w:val="00A26C0A"/>
    <w:rsid w:val="00A274F8"/>
    <w:rsid w:val="00A27801"/>
    <w:rsid w:val="00A27C4D"/>
    <w:rsid w:val="00A30A7B"/>
    <w:rsid w:val="00A3221D"/>
    <w:rsid w:val="00A32349"/>
    <w:rsid w:val="00A327EC"/>
    <w:rsid w:val="00A33793"/>
    <w:rsid w:val="00A33E37"/>
    <w:rsid w:val="00A33F0E"/>
    <w:rsid w:val="00A358F2"/>
    <w:rsid w:val="00A35F52"/>
    <w:rsid w:val="00A369B0"/>
    <w:rsid w:val="00A37C23"/>
    <w:rsid w:val="00A40005"/>
    <w:rsid w:val="00A40375"/>
    <w:rsid w:val="00A419DD"/>
    <w:rsid w:val="00A42D80"/>
    <w:rsid w:val="00A433C1"/>
    <w:rsid w:val="00A44723"/>
    <w:rsid w:val="00A44901"/>
    <w:rsid w:val="00A44F2D"/>
    <w:rsid w:val="00A45CA8"/>
    <w:rsid w:val="00A46916"/>
    <w:rsid w:val="00A46FA7"/>
    <w:rsid w:val="00A475AA"/>
    <w:rsid w:val="00A50112"/>
    <w:rsid w:val="00A50416"/>
    <w:rsid w:val="00A50438"/>
    <w:rsid w:val="00A50770"/>
    <w:rsid w:val="00A50815"/>
    <w:rsid w:val="00A52194"/>
    <w:rsid w:val="00A53D4C"/>
    <w:rsid w:val="00A54409"/>
    <w:rsid w:val="00A54628"/>
    <w:rsid w:val="00A55D5F"/>
    <w:rsid w:val="00A56971"/>
    <w:rsid w:val="00A56C53"/>
    <w:rsid w:val="00A57132"/>
    <w:rsid w:val="00A5720B"/>
    <w:rsid w:val="00A57C2F"/>
    <w:rsid w:val="00A6083D"/>
    <w:rsid w:val="00A60A8D"/>
    <w:rsid w:val="00A60BA5"/>
    <w:rsid w:val="00A619B4"/>
    <w:rsid w:val="00A6246E"/>
    <w:rsid w:val="00A62D20"/>
    <w:rsid w:val="00A63DBF"/>
    <w:rsid w:val="00A65106"/>
    <w:rsid w:val="00A65168"/>
    <w:rsid w:val="00A67F78"/>
    <w:rsid w:val="00A70114"/>
    <w:rsid w:val="00A7117D"/>
    <w:rsid w:val="00A71F39"/>
    <w:rsid w:val="00A7486A"/>
    <w:rsid w:val="00A756D6"/>
    <w:rsid w:val="00A75E66"/>
    <w:rsid w:val="00A76AA8"/>
    <w:rsid w:val="00A777DE"/>
    <w:rsid w:val="00A81C65"/>
    <w:rsid w:val="00A8224A"/>
    <w:rsid w:val="00A8271D"/>
    <w:rsid w:val="00A830B2"/>
    <w:rsid w:val="00A83854"/>
    <w:rsid w:val="00A84E42"/>
    <w:rsid w:val="00A8540D"/>
    <w:rsid w:val="00A85E37"/>
    <w:rsid w:val="00A8647C"/>
    <w:rsid w:val="00A86972"/>
    <w:rsid w:val="00A86CC4"/>
    <w:rsid w:val="00A86E7D"/>
    <w:rsid w:val="00A90765"/>
    <w:rsid w:val="00A908C1"/>
    <w:rsid w:val="00A90ADF"/>
    <w:rsid w:val="00A9189B"/>
    <w:rsid w:val="00A91B3D"/>
    <w:rsid w:val="00A9201B"/>
    <w:rsid w:val="00A9213B"/>
    <w:rsid w:val="00A92B27"/>
    <w:rsid w:val="00A92F94"/>
    <w:rsid w:val="00A930E4"/>
    <w:rsid w:val="00A93441"/>
    <w:rsid w:val="00A93574"/>
    <w:rsid w:val="00A93941"/>
    <w:rsid w:val="00A94BD1"/>
    <w:rsid w:val="00A95186"/>
    <w:rsid w:val="00A951A5"/>
    <w:rsid w:val="00A95D55"/>
    <w:rsid w:val="00A9659B"/>
    <w:rsid w:val="00A9783E"/>
    <w:rsid w:val="00AA07C6"/>
    <w:rsid w:val="00AA09B9"/>
    <w:rsid w:val="00AA1326"/>
    <w:rsid w:val="00AA3BFC"/>
    <w:rsid w:val="00AA4147"/>
    <w:rsid w:val="00AA4D8A"/>
    <w:rsid w:val="00AA6271"/>
    <w:rsid w:val="00AA64D1"/>
    <w:rsid w:val="00AB11BD"/>
    <w:rsid w:val="00AB316B"/>
    <w:rsid w:val="00AB3B34"/>
    <w:rsid w:val="00AB4748"/>
    <w:rsid w:val="00AB4A89"/>
    <w:rsid w:val="00AB61FF"/>
    <w:rsid w:val="00AB6D56"/>
    <w:rsid w:val="00AC0167"/>
    <w:rsid w:val="00AC1267"/>
    <w:rsid w:val="00AC20CD"/>
    <w:rsid w:val="00AC2D2F"/>
    <w:rsid w:val="00AC33AE"/>
    <w:rsid w:val="00AC34E1"/>
    <w:rsid w:val="00AC4518"/>
    <w:rsid w:val="00AC48B4"/>
    <w:rsid w:val="00AC5407"/>
    <w:rsid w:val="00AC5F5D"/>
    <w:rsid w:val="00AC7BFE"/>
    <w:rsid w:val="00AC7FF8"/>
    <w:rsid w:val="00AD0C26"/>
    <w:rsid w:val="00AD24D9"/>
    <w:rsid w:val="00AD25D5"/>
    <w:rsid w:val="00AD27E7"/>
    <w:rsid w:val="00AD2912"/>
    <w:rsid w:val="00AD37B1"/>
    <w:rsid w:val="00AD4084"/>
    <w:rsid w:val="00AD419D"/>
    <w:rsid w:val="00AD4822"/>
    <w:rsid w:val="00AD4841"/>
    <w:rsid w:val="00AD4E0C"/>
    <w:rsid w:val="00AD508D"/>
    <w:rsid w:val="00AD5669"/>
    <w:rsid w:val="00AD628A"/>
    <w:rsid w:val="00AD6481"/>
    <w:rsid w:val="00AD6917"/>
    <w:rsid w:val="00AD6A88"/>
    <w:rsid w:val="00AE0D86"/>
    <w:rsid w:val="00AE1D79"/>
    <w:rsid w:val="00AE1E35"/>
    <w:rsid w:val="00AE2059"/>
    <w:rsid w:val="00AE26C1"/>
    <w:rsid w:val="00AE5DF8"/>
    <w:rsid w:val="00AE5EA6"/>
    <w:rsid w:val="00AE5EEC"/>
    <w:rsid w:val="00AE6744"/>
    <w:rsid w:val="00AF0EEC"/>
    <w:rsid w:val="00AF0FC9"/>
    <w:rsid w:val="00AF3881"/>
    <w:rsid w:val="00AF3E95"/>
    <w:rsid w:val="00AF45CB"/>
    <w:rsid w:val="00AF5FAF"/>
    <w:rsid w:val="00AF638E"/>
    <w:rsid w:val="00AF7643"/>
    <w:rsid w:val="00B009AB"/>
    <w:rsid w:val="00B0105D"/>
    <w:rsid w:val="00B01AE3"/>
    <w:rsid w:val="00B01CBD"/>
    <w:rsid w:val="00B02925"/>
    <w:rsid w:val="00B05020"/>
    <w:rsid w:val="00B062C0"/>
    <w:rsid w:val="00B06561"/>
    <w:rsid w:val="00B10BD6"/>
    <w:rsid w:val="00B10C6C"/>
    <w:rsid w:val="00B11927"/>
    <w:rsid w:val="00B12D16"/>
    <w:rsid w:val="00B12F12"/>
    <w:rsid w:val="00B130FE"/>
    <w:rsid w:val="00B13657"/>
    <w:rsid w:val="00B14823"/>
    <w:rsid w:val="00B15684"/>
    <w:rsid w:val="00B16937"/>
    <w:rsid w:val="00B17ACF"/>
    <w:rsid w:val="00B20259"/>
    <w:rsid w:val="00B20E9B"/>
    <w:rsid w:val="00B21A25"/>
    <w:rsid w:val="00B21BE8"/>
    <w:rsid w:val="00B22176"/>
    <w:rsid w:val="00B2286C"/>
    <w:rsid w:val="00B22996"/>
    <w:rsid w:val="00B23173"/>
    <w:rsid w:val="00B236D4"/>
    <w:rsid w:val="00B238E1"/>
    <w:rsid w:val="00B23C23"/>
    <w:rsid w:val="00B23DC2"/>
    <w:rsid w:val="00B245ED"/>
    <w:rsid w:val="00B24631"/>
    <w:rsid w:val="00B24A85"/>
    <w:rsid w:val="00B24CE5"/>
    <w:rsid w:val="00B25161"/>
    <w:rsid w:val="00B256B6"/>
    <w:rsid w:val="00B2574B"/>
    <w:rsid w:val="00B257B7"/>
    <w:rsid w:val="00B26F2E"/>
    <w:rsid w:val="00B275AB"/>
    <w:rsid w:val="00B27DC5"/>
    <w:rsid w:val="00B30049"/>
    <w:rsid w:val="00B301B9"/>
    <w:rsid w:val="00B30D8D"/>
    <w:rsid w:val="00B31845"/>
    <w:rsid w:val="00B31B42"/>
    <w:rsid w:val="00B3328B"/>
    <w:rsid w:val="00B33DD1"/>
    <w:rsid w:val="00B34CA0"/>
    <w:rsid w:val="00B352A8"/>
    <w:rsid w:val="00B35352"/>
    <w:rsid w:val="00B36A22"/>
    <w:rsid w:val="00B36EA2"/>
    <w:rsid w:val="00B37041"/>
    <w:rsid w:val="00B37A2F"/>
    <w:rsid w:val="00B401DE"/>
    <w:rsid w:val="00B40BE0"/>
    <w:rsid w:val="00B413F5"/>
    <w:rsid w:val="00B41684"/>
    <w:rsid w:val="00B4343C"/>
    <w:rsid w:val="00B43D1C"/>
    <w:rsid w:val="00B4483A"/>
    <w:rsid w:val="00B44C41"/>
    <w:rsid w:val="00B45158"/>
    <w:rsid w:val="00B46861"/>
    <w:rsid w:val="00B46CAB"/>
    <w:rsid w:val="00B47852"/>
    <w:rsid w:val="00B50CFC"/>
    <w:rsid w:val="00B50EA9"/>
    <w:rsid w:val="00B519CF"/>
    <w:rsid w:val="00B52147"/>
    <w:rsid w:val="00B52802"/>
    <w:rsid w:val="00B54401"/>
    <w:rsid w:val="00B54C18"/>
    <w:rsid w:val="00B54CE4"/>
    <w:rsid w:val="00B579A7"/>
    <w:rsid w:val="00B60FB8"/>
    <w:rsid w:val="00B61894"/>
    <w:rsid w:val="00B62201"/>
    <w:rsid w:val="00B62A67"/>
    <w:rsid w:val="00B6364F"/>
    <w:rsid w:val="00B6365B"/>
    <w:rsid w:val="00B63C0A"/>
    <w:rsid w:val="00B647DF"/>
    <w:rsid w:val="00B65D60"/>
    <w:rsid w:val="00B65EAC"/>
    <w:rsid w:val="00B66195"/>
    <w:rsid w:val="00B673BB"/>
    <w:rsid w:val="00B67AAD"/>
    <w:rsid w:val="00B70A06"/>
    <w:rsid w:val="00B7102B"/>
    <w:rsid w:val="00B713FE"/>
    <w:rsid w:val="00B71D13"/>
    <w:rsid w:val="00B71EC0"/>
    <w:rsid w:val="00B72323"/>
    <w:rsid w:val="00B7244D"/>
    <w:rsid w:val="00B75A43"/>
    <w:rsid w:val="00B76021"/>
    <w:rsid w:val="00B76239"/>
    <w:rsid w:val="00B7732B"/>
    <w:rsid w:val="00B80405"/>
    <w:rsid w:val="00B806AB"/>
    <w:rsid w:val="00B80F3B"/>
    <w:rsid w:val="00B812D3"/>
    <w:rsid w:val="00B8175C"/>
    <w:rsid w:val="00B81A01"/>
    <w:rsid w:val="00B835EE"/>
    <w:rsid w:val="00B8418B"/>
    <w:rsid w:val="00B858CB"/>
    <w:rsid w:val="00B85BB6"/>
    <w:rsid w:val="00B90D19"/>
    <w:rsid w:val="00B914F3"/>
    <w:rsid w:val="00B91E37"/>
    <w:rsid w:val="00B92593"/>
    <w:rsid w:val="00B930C5"/>
    <w:rsid w:val="00B941CF"/>
    <w:rsid w:val="00B953E2"/>
    <w:rsid w:val="00B9641E"/>
    <w:rsid w:val="00B9643D"/>
    <w:rsid w:val="00B9689E"/>
    <w:rsid w:val="00BA0681"/>
    <w:rsid w:val="00BA1652"/>
    <w:rsid w:val="00BA17AE"/>
    <w:rsid w:val="00BA4ACB"/>
    <w:rsid w:val="00BA4C71"/>
    <w:rsid w:val="00BA69A5"/>
    <w:rsid w:val="00BA7031"/>
    <w:rsid w:val="00BA72D2"/>
    <w:rsid w:val="00BA7832"/>
    <w:rsid w:val="00BB0F9A"/>
    <w:rsid w:val="00BB1586"/>
    <w:rsid w:val="00BB1854"/>
    <w:rsid w:val="00BB2790"/>
    <w:rsid w:val="00BB2A83"/>
    <w:rsid w:val="00BB3048"/>
    <w:rsid w:val="00BB343B"/>
    <w:rsid w:val="00BB40C0"/>
    <w:rsid w:val="00BB4A8F"/>
    <w:rsid w:val="00BB619C"/>
    <w:rsid w:val="00BB639C"/>
    <w:rsid w:val="00BB7655"/>
    <w:rsid w:val="00BB7CC9"/>
    <w:rsid w:val="00BC0523"/>
    <w:rsid w:val="00BC05AA"/>
    <w:rsid w:val="00BC144A"/>
    <w:rsid w:val="00BC1919"/>
    <w:rsid w:val="00BC207F"/>
    <w:rsid w:val="00BC4D1E"/>
    <w:rsid w:val="00BC6168"/>
    <w:rsid w:val="00BC6F83"/>
    <w:rsid w:val="00BC7493"/>
    <w:rsid w:val="00BD0FD3"/>
    <w:rsid w:val="00BD1986"/>
    <w:rsid w:val="00BD22B7"/>
    <w:rsid w:val="00BD2DB6"/>
    <w:rsid w:val="00BD6A45"/>
    <w:rsid w:val="00BE0792"/>
    <w:rsid w:val="00BE07E5"/>
    <w:rsid w:val="00BE3B8D"/>
    <w:rsid w:val="00BE3B9F"/>
    <w:rsid w:val="00BE3BAA"/>
    <w:rsid w:val="00BE4503"/>
    <w:rsid w:val="00BE5140"/>
    <w:rsid w:val="00BE5B19"/>
    <w:rsid w:val="00BE5B2F"/>
    <w:rsid w:val="00BE5E8F"/>
    <w:rsid w:val="00BE7132"/>
    <w:rsid w:val="00BE7700"/>
    <w:rsid w:val="00BE79CF"/>
    <w:rsid w:val="00BE7DD7"/>
    <w:rsid w:val="00BF009B"/>
    <w:rsid w:val="00BF0CC0"/>
    <w:rsid w:val="00BF0E45"/>
    <w:rsid w:val="00BF22B7"/>
    <w:rsid w:val="00BF353B"/>
    <w:rsid w:val="00BF3C18"/>
    <w:rsid w:val="00BF4E7D"/>
    <w:rsid w:val="00BF4ED9"/>
    <w:rsid w:val="00BF55A6"/>
    <w:rsid w:val="00BF59C0"/>
    <w:rsid w:val="00BF710C"/>
    <w:rsid w:val="00BF7C44"/>
    <w:rsid w:val="00BF7D78"/>
    <w:rsid w:val="00C00C0D"/>
    <w:rsid w:val="00C0361D"/>
    <w:rsid w:val="00C0672D"/>
    <w:rsid w:val="00C076CB"/>
    <w:rsid w:val="00C11513"/>
    <w:rsid w:val="00C1224A"/>
    <w:rsid w:val="00C12C71"/>
    <w:rsid w:val="00C13164"/>
    <w:rsid w:val="00C133E4"/>
    <w:rsid w:val="00C13C86"/>
    <w:rsid w:val="00C14A4A"/>
    <w:rsid w:val="00C16229"/>
    <w:rsid w:val="00C17BE6"/>
    <w:rsid w:val="00C21778"/>
    <w:rsid w:val="00C21C13"/>
    <w:rsid w:val="00C22706"/>
    <w:rsid w:val="00C227A1"/>
    <w:rsid w:val="00C22ACC"/>
    <w:rsid w:val="00C23230"/>
    <w:rsid w:val="00C245CB"/>
    <w:rsid w:val="00C24D16"/>
    <w:rsid w:val="00C2672A"/>
    <w:rsid w:val="00C27156"/>
    <w:rsid w:val="00C27F7A"/>
    <w:rsid w:val="00C301AC"/>
    <w:rsid w:val="00C30591"/>
    <w:rsid w:val="00C30993"/>
    <w:rsid w:val="00C31941"/>
    <w:rsid w:val="00C31A2F"/>
    <w:rsid w:val="00C32BC6"/>
    <w:rsid w:val="00C34DFA"/>
    <w:rsid w:val="00C367CF"/>
    <w:rsid w:val="00C36F13"/>
    <w:rsid w:val="00C370F4"/>
    <w:rsid w:val="00C37B1E"/>
    <w:rsid w:val="00C4055D"/>
    <w:rsid w:val="00C412FE"/>
    <w:rsid w:val="00C41B3E"/>
    <w:rsid w:val="00C42258"/>
    <w:rsid w:val="00C429E5"/>
    <w:rsid w:val="00C42F94"/>
    <w:rsid w:val="00C4315E"/>
    <w:rsid w:val="00C43E8C"/>
    <w:rsid w:val="00C4435C"/>
    <w:rsid w:val="00C44A65"/>
    <w:rsid w:val="00C462F7"/>
    <w:rsid w:val="00C467A3"/>
    <w:rsid w:val="00C46EBE"/>
    <w:rsid w:val="00C47C97"/>
    <w:rsid w:val="00C50AB2"/>
    <w:rsid w:val="00C511B5"/>
    <w:rsid w:val="00C5166A"/>
    <w:rsid w:val="00C5180F"/>
    <w:rsid w:val="00C519B9"/>
    <w:rsid w:val="00C53E73"/>
    <w:rsid w:val="00C54651"/>
    <w:rsid w:val="00C55143"/>
    <w:rsid w:val="00C55A66"/>
    <w:rsid w:val="00C55D67"/>
    <w:rsid w:val="00C571EE"/>
    <w:rsid w:val="00C60103"/>
    <w:rsid w:val="00C62A9B"/>
    <w:rsid w:val="00C6306C"/>
    <w:rsid w:val="00C630D0"/>
    <w:rsid w:val="00C63932"/>
    <w:rsid w:val="00C6723E"/>
    <w:rsid w:val="00C67B06"/>
    <w:rsid w:val="00C70D4A"/>
    <w:rsid w:val="00C70DD6"/>
    <w:rsid w:val="00C71168"/>
    <w:rsid w:val="00C7135A"/>
    <w:rsid w:val="00C713E2"/>
    <w:rsid w:val="00C71DB1"/>
    <w:rsid w:val="00C71EF3"/>
    <w:rsid w:val="00C7239B"/>
    <w:rsid w:val="00C72640"/>
    <w:rsid w:val="00C732B9"/>
    <w:rsid w:val="00C73305"/>
    <w:rsid w:val="00C747B8"/>
    <w:rsid w:val="00C74CA4"/>
    <w:rsid w:val="00C75BF6"/>
    <w:rsid w:val="00C771F7"/>
    <w:rsid w:val="00C8127F"/>
    <w:rsid w:val="00C813E0"/>
    <w:rsid w:val="00C83333"/>
    <w:rsid w:val="00C8391D"/>
    <w:rsid w:val="00C865F4"/>
    <w:rsid w:val="00C86747"/>
    <w:rsid w:val="00C86BDA"/>
    <w:rsid w:val="00C870DE"/>
    <w:rsid w:val="00C8797D"/>
    <w:rsid w:val="00C90249"/>
    <w:rsid w:val="00C913CB"/>
    <w:rsid w:val="00C9221B"/>
    <w:rsid w:val="00C924AD"/>
    <w:rsid w:val="00C927F8"/>
    <w:rsid w:val="00C9304F"/>
    <w:rsid w:val="00C93060"/>
    <w:rsid w:val="00C938EE"/>
    <w:rsid w:val="00C93AE8"/>
    <w:rsid w:val="00C93CBF"/>
    <w:rsid w:val="00C94DA7"/>
    <w:rsid w:val="00C94EEC"/>
    <w:rsid w:val="00C9518B"/>
    <w:rsid w:val="00C96821"/>
    <w:rsid w:val="00C97344"/>
    <w:rsid w:val="00C97609"/>
    <w:rsid w:val="00CA1B68"/>
    <w:rsid w:val="00CA42B7"/>
    <w:rsid w:val="00CA4606"/>
    <w:rsid w:val="00CA47A8"/>
    <w:rsid w:val="00CA628E"/>
    <w:rsid w:val="00CA6CBF"/>
    <w:rsid w:val="00CA7DAA"/>
    <w:rsid w:val="00CB2752"/>
    <w:rsid w:val="00CB2800"/>
    <w:rsid w:val="00CB294D"/>
    <w:rsid w:val="00CB3198"/>
    <w:rsid w:val="00CB3991"/>
    <w:rsid w:val="00CB39AA"/>
    <w:rsid w:val="00CB4643"/>
    <w:rsid w:val="00CB4F62"/>
    <w:rsid w:val="00CB5407"/>
    <w:rsid w:val="00CB6C93"/>
    <w:rsid w:val="00CB6D2A"/>
    <w:rsid w:val="00CB6D48"/>
    <w:rsid w:val="00CB76CB"/>
    <w:rsid w:val="00CB7ECD"/>
    <w:rsid w:val="00CC0663"/>
    <w:rsid w:val="00CC10CB"/>
    <w:rsid w:val="00CC1273"/>
    <w:rsid w:val="00CC2746"/>
    <w:rsid w:val="00CC2BC4"/>
    <w:rsid w:val="00CC4158"/>
    <w:rsid w:val="00CC5017"/>
    <w:rsid w:val="00CC5C52"/>
    <w:rsid w:val="00CC7EF4"/>
    <w:rsid w:val="00CD17AD"/>
    <w:rsid w:val="00CD230E"/>
    <w:rsid w:val="00CD231E"/>
    <w:rsid w:val="00CD2422"/>
    <w:rsid w:val="00CD2EA9"/>
    <w:rsid w:val="00CD3DB8"/>
    <w:rsid w:val="00CD415F"/>
    <w:rsid w:val="00CD59B9"/>
    <w:rsid w:val="00CD5F0B"/>
    <w:rsid w:val="00CD66C2"/>
    <w:rsid w:val="00CD6F2A"/>
    <w:rsid w:val="00CD740C"/>
    <w:rsid w:val="00CE1121"/>
    <w:rsid w:val="00CE278D"/>
    <w:rsid w:val="00CE569A"/>
    <w:rsid w:val="00CE62F9"/>
    <w:rsid w:val="00CE76F6"/>
    <w:rsid w:val="00CE7B20"/>
    <w:rsid w:val="00CF2502"/>
    <w:rsid w:val="00CF2677"/>
    <w:rsid w:val="00CF3DB7"/>
    <w:rsid w:val="00CF4D62"/>
    <w:rsid w:val="00CF4DA9"/>
    <w:rsid w:val="00CF60B8"/>
    <w:rsid w:val="00CF635E"/>
    <w:rsid w:val="00CF65BD"/>
    <w:rsid w:val="00CF71FB"/>
    <w:rsid w:val="00D00CAF"/>
    <w:rsid w:val="00D016A1"/>
    <w:rsid w:val="00D02E22"/>
    <w:rsid w:val="00D0338B"/>
    <w:rsid w:val="00D0390B"/>
    <w:rsid w:val="00D064AC"/>
    <w:rsid w:val="00D07A4E"/>
    <w:rsid w:val="00D1000D"/>
    <w:rsid w:val="00D103E3"/>
    <w:rsid w:val="00D10475"/>
    <w:rsid w:val="00D10F78"/>
    <w:rsid w:val="00D11025"/>
    <w:rsid w:val="00D12F55"/>
    <w:rsid w:val="00D13114"/>
    <w:rsid w:val="00D1315B"/>
    <w:rsid w:val="00D14383"/>
    <w:rsid w:val="00D14B13"/>
    <w:rsid w:val="00D152E7"/>
    <w:rsid w:val="00D161CC"/>
    <w:rsid w:val="00D16258"/>
    <w:rsid w:val="00D16850"/>
    <w:rsid w:val="00D169E5"/>
    <w:rsid w:val="00D16BAC"/>
    <w:rsid w:val="00D17D6F"/>
    <w:rsid w:val="00D202DA"/>
    <w:rsid w:val="00D21344"/>
    <w:rsid w:val="00D21BAB"/>
    <w:rsid w:val="00D25623"/>
    <w:rsid w:val="00D256FA"/>
    <w:rsid w:val="00D27A99"/>
    <w:rsid w:val="00D30D02"/>
    <w:rsid w:val="00D3131A"/>
    <w:rsid w:val="00D32E30"/>
    <w:rsid w:val="00D335D5"/>
    <w:rsid w:val="00D33D77"/>
    <w:rsid w:val="00D34179"/>
    <w:rsid w:val="00D34A2D"/>
    <w:rsid w:val="00D35928"/>
    <w:rsid w:val="00D3716D"/>
    <w:rsid w:val="00D37895"/>
    <w:rsid w:val="00D37C82"/>
    <w:rsid w:val="00D400A6"/>
    <w:rsid w:val="00D411F3"/>
    <w:rsid w:val="00D4176B"/>
    <w:rsid w:val="00D4319C"/>
    <w:rsid w:val="00D43370"/>
    <w:rsid w:val="00D43DFA"/>
    <w:rsid w:val="00D448E5"/>
    <w:rsid w:val="00D44BBB"/>
    <w:rsid w:val="00D45860"/>
    <w:rsid w:val="00D466BD"/>
    <w:rsid w:val="00D466D0"/>
    <w:rsid w:val="00D473E6"/>
    <w:rsid w:val="00D50C70"/>
    <w:rsid w:val="00D51C02"/>
    <w:rsid w:val="00D51DD9"/>
    <w:rsid w:val="00D52572"/>
    <w:rsid w:val="00D54BB5"/>
    <w:rsid w:val="00D54FD8"/>
    <w:rsid w:val="00D550D6"/>
    <w:rsid w:val="00D5563A"/>
    <w:rsid w:val="00D56DBB"/>
    <w:rsid w:val="00D574CF"/>
    <w:rsid w:val="00D602F6"/>
    <w:rsid w:val="00D605A6"/>
    <w:rsid w:val="00D60AA6"/>
    <w:rsid w:val="00D60D4F"/>
    <w:rsid w:val="00D625FD"/>
    <w:rsid w:val="00D632FA"/>
    <w:rsid w:val="00D634C2"/>
    <w:rsid w:val="00D645F6"/>
    <w:rsid w:val="00D64649"/>
    <w:rsid w:val="00D64684"/>
    <w:rsid w:val="00D65099"/>
    <w:rsid w:val="00D654B8"/>
    <w:rsid w:val="00D65815"/>
    <w:rsid w:val="00D65893"/>
    <w:rsid w:val="00D6630C"/>
    <w:rsid w:val="00D668F4"/>
    <w:rsid w:val="00D67DB7"/>
    <w:rsid w:val="00D722B6"/>
    <w:rsid w:val="00D72569"/>
    <w:rsid w:val="00D73163"/>
    <w:rsid w:val="00D73666"/>
    <w:rsid w:val="00D73947"/>
    <w:rsid w:val="00D741AD"/>
    <w:rsid w:val="00D751AB"/>
    <w:rsid w:val="00D75E31"/>
    <w:rsid w:val="00D76466"/>
    <w:rsid w:val="00D76685"/>
    <w:rsid w:val="00D76911"/>
    <w:rsid w:val="00D774E7"/>
    <w:rsid w:val="00D77DB6"/>
    <w:rsid w:val="00D81192"/>
    <w:rsid w:val="00D813BD"/>
    <w:rsid w:val="00D81761"/>
    <w:rsid w:val="00D82B7C"/>
    <w:rsid w:val="00D82FE9"/>
    <w:rsid w:val="00D8417D"/>
    <w:rsid w:val="00D8461A"/>
    <w:rsid w:val="00D85100"/>
    <w:rsid w:val="00D861CA"/>
    <w:rsid w:val="00D86852"/>
    <w:rsid w:val="00D86ECF"/>
    <w:rsid w:val="00D87039"/>
    <w:rsid w:val="00D87062"/>
    <w:rsid w:val="00D87737"/>
    <w:rsid w:val="00D90C95"/>
    <w:rsid w:val="00D90DB9"/>
    <w:rsid w:val="00D91F23"/>
    <w:rsid w:val="00D9291C"/>
    <w:rsid w:val="00D93182"/>
    <w:rsid w:val="00D93275"/>
    <w:rsid w:val="00D940E8"/>
    <w:rsid w:val="00D948DF"/>
    <w:rsid w:val="00D958D3"/>
    <w:rsid w:val="00D95AB9"/>
    <w:rsid w:val="00D9659F"/>
    <w:rsid w:val="00D97553"/>
    <w:rsid w:val="00DA0AB7"/>
    <w:rsid w:val="00DA1BF6"/>
    <w:rsid w:val="00DA37B8"/>
    <w:rsid w:val="00DA3CCE"/>
    <w:rsid w:val="00DA4295"/>
    <w:rsid w:val="00DA439B"/>
    <w:rsid w:val="00DA4D42"/>
    <w:rsid w:val="00DA6CA9"/>
    <w:rsid w:val="00DA705E"/>
    <w:rsid w:val="00DA7555"/>
    <w:rsid w:val="00DB07E8"/>
    <w:rsid w:val="00DB1E57"/>
    <w:rsid w:val="00DB2904"/>
    <w:rsid w:val="00DB33BB"/>
    <w:rsid w:val="00DB4CA7"/>
    <w:rsid w:val="00DB4E99"/>
    <w:rsid w:val="00DB707E"/>
    <w:rsid w:val="00DB78D4"/>
    <w:rsid w:val="00DC0170"/>
    <w:rsid w:val="00DC0D68"/>
    <w:rsid w:val="00DC1684"/>
    <w:rsid w:val="00DC211E"/>
    <w:rsid w:val="00DC5413"/>
    <w:rsid w:val="00DC6C57"/>
    <w:rsid w:val="00DC6D96"/>
    <w:rsid w:val="00DD1419"/>
    <w:rsid w:val="00DD14CB"/>
    <w:rsid w:val="00DD2193"/>
    <w:rsid w:val="00DD2A90"/>
    <w:rsid w:val="00DD341C"/>
    <w:rsid w:val="00DD4002"/>
    <w:rsid w:val="00DD51BE"/>
    <w:rsid w:val="00DD5201"/>
    <w:rsid w:val="00DD5D59"/>
    <w:rsid w:val="00DD5E61"/>
    <w:rsid w:val="00DD5EDE"/>
    <w:rsid w:val="00DE1047"/>
    <w:rsid w:val="00DE107D"/>
    <w:rsid w:val="00DE10A8"/>
    <w:rsid w:val="00DE1106"/>
    <w:rsid w:val="00DE1604"/>
    <w:rsid w:val="00DE240C"/>
    <w:rsid w:val="00DE2531"/>
    <w:rsid w:val="00DE3D59"/>
    <w:rsid w:val="00DE4287"/>
    <w:rsid w:val="00DE44CE"/>
    <w:rsid w:val="00DE5F37"/>
    <w:rsid w:val="00DE63AF"/>
    <w:rsid w:val="00DE6A3C"/>
    <w:rsid w:val="00DE71A2"/>
    <w:rsid w:val="00DF019F"/>
    <w:rsid w:val="00DF06F2"/>
    <w:rsid w:val="00DF1BBE"/>
    <w:rsid w:val="00DF1D64"/>
    <w:rsid w:val="00DF23FA"/>
    <w:rsid w:val="00DF2775"/>
    <w:rsid w:val="00DF298A"/>
    <w:rsid w:val="00DF2D2C"/>
    <w:rsid w:val="00DF3BF7"/>
    <w:rsid w:val="00DF3CF9"/>
    <w:rsid w:val="00DF4661"/>
    <w:rsid w:val="00DF6470"/>
    <w:rsid w:val="00E00E60"/>
    <w:rsid w:val="00E01445"/>
    <w:rsid w:val="00E026B0"/>
    <w:rsid w:val="00E035E2"/>
    <w:rsid w:val="00E03CF5"/>
    <w:rsid w:val="00E06F04"/>
    <w:rsid w:val="00E075C6"/>
    <w:rsid w:val="00E07609"/>
    <w:rsid w:val="00E105C9"/>
    <w:rsid w:val="00E11087"/>
    <w:rsid w:val="00E111EC"/>
    <w:rsid w:val="00E12A9D"/>
    <w:rsid w:val="00E13694"/>
    <w:rsid w:val="00E145F5"/>
    <w:rsid w:val="00E14AA4"/>
    <w:rsid w:val="00E20B15"/>
    <w:rsid w:val="00E21627"/>
    <w:rsid w:val="00E21D1C"/>
    <w:rsid w:val="00E2272F"/>
    <w:rsid w:val="00E25375"/>
    <w:rsid w:val="00E253AF"/>
    <w:rsid w:val="00E25EBC"/>
    <w:rsid w:val="00E262FF"/>
    <w:rsid w:val="00E270FB"/>
    <w:rsid w:val="00E277F1"/>
    <w:rsid w:val="00E30946"/>
    <w:rsid w:val="00E30C90"/>
    <w:rsid w:val="00E3150B"/>
    <w:rsid w:val="00E32DDB"/>
    <w:rsid w:val="00E32F9A"/>
    <w:rsid w:val="00E34D5A"/>
    <w:rsid w:val="00E3597E"/>
    <w:rsid w:val="00E41047"/>
    <w:rsid w:val="00E420DD"/>
    <w:rsid w:val="00E42DE4"/>
    <w:rsid w:val="00E4386C"/>
    <w:rsid w:val="00E44A4E"/>
    <w:rsid w:val="00E44B6A"/>
    <w:rsid w:val="00E452CB"/>
    <w:rsid w:val="00E45712"/>
    <w:rsid w:val="00E50DA9"/>
    <w:rsid w:val="00E52EDD"/>
    <w:rsid w:val="00E54498"/>
    <w:rsid w:val="00E54BA9"/>
    <w:rsid w:val="00E550F6"/>
    <w:rsid w:val="00E55AE3"/>
    <w:rsid w:val="00E56DDB"/>
    <w:rsid w:val="00E57D91"/>
    <w:rsid w:val="00E609EB"/>
    <w:rsid w:val="00E61DDA"/>
    <w:rsid w:val="00E61FB5"/>
    <w:rsid w:val="00E6211C"/>
    <w:rsid w:val="00E6323D"/>
    <w:rsid w:val="00E7058B"/>
    <w:rsid w:val="00E71F6F"/>
    <w:rsid w:val="00E72BD2"/>
    <w:rsid w:val="00E72ECE"/>
    <w:rsid w:val="00E7360F"/>
    <w:rsid w:val="00E74E73"/>
    <w:rsid w:val="00E76C73"/>
    <w:rsid w:val="00E77748"/>
    <w:rsid w:val="00E80E2A"/>
    <w:rsid w:val="00E813C5"/>
    <w:rsid w:val="00E8177E"/>
    <w:rsid w:val="00E8290E"/>
    <w:rsid w:val="00E82C12"/>
    <w:rsid w:val="00E82DA2"/>
    <w:rsid w:val="00E845B7"/>
    <w:rsid w:val="00E84915"/>
    <w:rsid w:val="00E85321"/>
    <w:rsid w:val="00E8547F"/>
    <w:rsid w:val="00E8578E"/>
    <w:rsid w:val="00E86E4A"/>
    <w:rsid w:val="00E91BC3"/>
    <w:rsid w:val="00E91DF3"/>
    <w:rsid w:val="00E922D8"/>
    <w:rsid w:val="00E926BC"/>
    <w:rsid w:val="00E92A70"/>
    <w:rsid w:val="00E961FC"/>
    <w:rsid w:val="00E96587"/>
    <w:rsid w:val="00E96C47"/>
    <w:rsid w:val="00E975A3"/>
    <w:rsid w:val="00EA0898"/>
    <w:rsid w:val="00EA0EB2"/>
    <w:rsid w:val="00EA1618"/>
    <w:rsid w:val="00EA1944"/>
    <w:rsid w:val="00EA1B44"/>
    <w:rsid w:val="00EA22A0"/>
    <w:rsid w:val="00EA381D"/>
    <w:rsid w:val="00EA4314"/>
    <w:rsid w:val="00EA46DE"/>
    <w:rsid w:val="00EA4CF1"/>
    <w:rsid w:val="00EA5CD3"/>
    <w:rsid w:val="00EA691B"/>
    <w:rsid w:val="00EA765F"/>
    <w:rsid w:val="00EA79A8"/>
    <w:rsid w:val="00EB24FC"/>
    <w:rsid w:val="00EB25A8"/>
    <w:rsid w:val="00EB376B"/>
    <w:rsid w:val="00EB46F5"/>
    <w:rsid w:val="00EB5013"/>
    <w:rsid w:val="00EB5169"/>
    <w:rsid w:val="00EB572D"/>
    <w:rsid w:val="00EB6197"/>
    <w:rsid w:val="00EB6529"/>
    <w:rsid w:val="00EB6CCB"/>
    <w:rsid w:val="00EB7439"/>
    <w:rsid w:val="00EB761E"/>
    <w:rsid w:val="00EC001A"/>
    <w:rsid w:val="00EC06D1"/>
    <w:rsid w:val="00EC08EC"/>
    <w:rsid w:val="00EC16E2"/>
    <w:rsid w:val="00EC1C72"/>
    <w:rsid w:val="00EC33D9"/>
    <w:rsid w:val="00EC4515"/>
    <w:rsid w:val="00EC4BC6"/>
    <w:rsid w:val="00EC502C"/>
    <w:rsid w:val="00EC5216"/>
    <w:rsid w:val="00EC577A"/>
    <w:rsid w:val="00EC5E3B"/>
    <w:rsid w:val="00EC64E1"/>
    <w:rsid w:val="00EC7C3B"/>
    <w:rsid w:val="00ED0159"/>
    <w:rsid w:val="00ED0408"/>
    <w:rsid w:val="00ED0774"/>
    <w:rsid w:val="00ED16FA"/>
    <w:rsid w:val="00ED2FB9"/>
    <w:rsid w:val="00ED3DBA"/>
    <w:rsid w:val="00ED4C75"/>
    <w:rsid w:val="00ED6879"/>
    <w:rsid w:val="00ED6D8C"/>
    <w:rsid w:val="00ED7244"/>
    <w:rsid w:val="00EE1AC2"/>
    <w:rsid w:val="00EE343D"/>
    <w:rsid w:val="00EE3B6F"/>
    <w:rsid w:val="00EE52B3"/>
    <w:rsid w:val="00EE65ED"/>
    <w:rsid w:val="00EE792F"/>
    <w:rsid w:val="00EF01E5"/>
    <w:rsid w:val="00EF0F46"/>
    <w:rsid w:val="00EF1F50"/>
    <w:rsid w:val="00EF2699"/>
    <w:rsid w:val="00EF3F2A"/>
    <w:rsid w:val="00EF4BF5"/>
    <w:rsid w:val="00EF5DCF"/>
    <w:rsid w:val="00EF6D46"/>
    <w:rsid w:val="00EF6ED2"/>
    <w:rsid w:val="00EF76A3"/>
    <w:rsid w:val="00F008F2"/>
    <w:rsid w:val="00F020FF"/>
    <w:rsid w:val="00F02378"/>
    <w:rsid w:val="00F027DA"/>
    <w:rsid w:val="00F02D6A"/>
    <w:rsid w:val="00F03741"/>
    <w:rsid w:val="00F03DAE"/>
    <w:rsid w:val="00F050CF"/>
    <w:rsid w:val="00F06942"/>
    <w:rsid w:val="00F0706A"/>
    <w:rsid w:val="00F078F7"/>
    <w:rsid w:val="00F07F28"/>
    <w:rsid w:val="00F11220"/>
    <w:rsid w:val="00F11CAE"/>
    <w:rsid w:val="00F1202D"/>
    <w:rsid w:val="00F12AEB"/>
    <w:rsid w:val="00F131F7"/>
    <w:rsid w:val="00F13FE0"/>
    <w:rsid w:val="00F142B0"/>
    <w:rsid w:val="00F149F9"/>
    <w:rsid w:val="00F153D9"/>
    <w:rsid w:val="00F155AD"/>
    <w:rsid w:val="00F16097"/>
    <w:rsid w:val="00F16E9C"/>
    <w:rsid w:val="00F21A8C"/>
    <w:rsid w:val="00F222BE"/>
    <w:rsid w:val="00F22480"/>
    <w:rsid w:val="00F2278E"/>
    <w:rsid w:val="00F229F8"/>
    <w:rsid w:val="00F22A40"/>
    <w:rsid w:val="00F2314F"/>
    <w:rsid w:val="00F23CF9"/>
    <w:rsid w:val="00F240E7"/>
    <w:rsid w:val="00F244BF"/>
    <w:rsid w:val="00F24685"/>
    <w:rsid w:val="00F252D2"/>
    <w:rsid w:val="00F2594A"/>
    <w:rsid w:val="00F25ACB"/>
    <w:rsid w:val="00F263F9"/>
    <w:rsid w:val="00F26E56"/>
    <w:rsid w:val="00F26F1C"/>
    <w:rsid w:val="00F27333"/>
    <w:rsid w:val="00F30296"/>
    <w:rsid w:val="00F31F71"/>
    <w:rsid w:val="00F32A3F"/>
    <w:rsid w:val="00F32DAE"/>
    <w:rsid w:val="00F332C8"/>
    <w:rsid w:val="00F335DA"/>
    <w:rsid w:val="00F33A43"/>
    <w:rsid w:val="00F33CBB"/>
    <w:rsid w:val="00F33FC3"/>
    <w:rsid w:val="00F35383"/>
    <w:rsid w:val="00F3550C"/>
    <w:rsid w:val="00F358B4"/>
    <w:rsid w:val="00F365F9"/>
    <w:rsid w:val="00F36B44"/>
    <w:rsid w:val="00F37240"/>
    <w:rsid w:val="00F37B73"/>
    <w:rsid w:val="00F4152D"/>
    <w:rsid w:val="00F41F04"/>
    <w:rsid w:val="00F42AEB"/>
    <w:rsid w:val="00F42BAA"/>
    <w:rsid w:val="00F4309D"/>
    <w:rsid w:val="00F45665"/>
    <w:rsid w:val="00F45937"/>
    <w:rsid w:val="00F465F2"/>
    <w:rsid w:val="00F4707D"/>
    <w:rsid w:val="00F47539"/>
    <w:rsid w:val="00F47F3B"/>
    <w:rsid w:val="00F515E8"/>
    <w:rsid w:val="00F515FC"/>
    <w:rsid w:val="00F52A37"/>
    <w:rsid w:val="00F52B8F"/>
    <w:rsid w:val="00F52EE5"/>
    <w:rsid w:val="00F53E4C"/>
    <w:rsid w:val="00F54B79"/>
    <w:rsid w:val="00F54EB9"/>
    <w:rsid w:val="00F5689D"/>
    <w:rsid w:val="00F6006F"/>
    <w:rsid w:val="00F60DCA"/>
    <w:rsid w:val="00F61AFB"/>
    <w:rsid w:val="00F61C6D"/>
    <w:rsid w:val="00F622D5"/>
    <w:rsid w:val="00F62CBA"/>
    <w:rsid w:val="00F634EF"/>
    <w:rsid w:val="00F63B27"/>
    <w:rsid w:val="00F63B58"/>
    <w:rsid w:val="00F66EC2"/>
    <w:rsid w:val="00F67BAA"/>
    <w:rsid w:val="00F705E8"/>
    <w:rsid w:val="00F70A32"/>
    <w:rsid w:val="00F71C79"/>
    <w:rsid w:val="00F71C8E"/>
    <w:rsid w:val="00F721F4"/>
    <w:rsid w:val="00F73013"/>
    <w:rsid w:val="00F7376D"/>
    <w:rsid w:val="00F73D53"/>
    <w:rsid w:val="00F74527"/>
    <w:rsid w:val="00F74675"/>
    <w:rsid w:val="00F74C40"/>
    <w:rsid w:val="00F74D9F"/>
    <w:rsid w:val="00F751B7"/>
    <w:rsid w:val="00F751CD"/>
    <w:rsid w:val="00F7744B"/>
    <w:rsid w:val="00F77BC2"/>
    <w:rsid w:val="00F77FA3"/>
    <w:rsid w:val="00F808A8"/>
    <w:rsid w:val="00F8248E"/>
    <w:rsid w:val="00F82DA1"/>
    <w:rsid w:val="00F83189"/>
    <w:rsid w:val="00F831C2"/>
    <w:rsid w:val="00F84F6F"/>
    <w:rsid w:val="00F8605B"/>
    <w:rsid w:val="00F86D47"/>
    <w:rsid w:val="00F877D9"/>
    <w:rsid w:val="00F87ACB"/>
    <w:rsid w:val="00F87E27"/>
    <w:rsid w:val="00F90B76"/>
    <w:rsid w:val="00F90EA9"/>
    <w:rsid w:val="00F921D6"/>
    <w:rsid w:val="00F92797"/>
    <w:rsid w:val="00F92ADE"/>
    <w:rsid w:val="00F942DF"/>
    <w:rsid w:val="00F94864"/>
    <w:rsid w:val="00F961FF"/>
    <w:rsid w:val="00F977C4"/>
    <w:rsid w:val="00FA05F0"/>
    <w:rsid w:val="00FA1D30"/>
    <w:rsid w:val="00FA2A9D"/>
    <w:rsid w:val="00FA38DC"/>
    <w:rsid w:val="00FA4A63"/>
    <w:rsid w:val="00FA5105"/>
    <w:rsid w:val="00FA5208"/>
    <w:rsid w:val="00FA558D"/>
    <w:rsid w:val="00FA6A36"/>
    <w:rsid w:val="00FA6CF8"/>
    <w:rsid w:val="00FA79D1"/>
    <w:rsid w:val="00FB157C"/>
    <w:rsid w:val="00FB15BA"/>
    <w:rsid w:val="00FB259F"/>
    <w:rsid w:val="00FB3081"/>
    <w:rsid w:val="00FB321B"/>
    <w:rsid w:val="00FB35E2"/>
    <w:rsid w:val="00FB4563"/>
    <w:rsid w:val="00FB4BF0"/>
    <w:rsid w:val="00FB5356"/>
    <w:rsid w:val="00FB55D6"/>
    <w:rsid w:val="00FB58CD"/>
    <w:rsid w:val="00FC1E68"/>
    <w:rsid w:val="00FC2889"/>
    <w:rsid w:val="00FC2F3A"/>
    <w:rsid w:val="00FC402F"/>
    <w:rsid w:val="00FC473C"/>
    <w:rsid w:val="00FC4A08"/>
    <w:rsid w:val="00FC5BED"/>
    <w:rsid w:val="00FC7C11"/>
    <w:rsid w:val="00FD0682"/>
    <w:rsid w:val="00FD1208"/>
    <w:rsid w:val="00FD1F74"/>
    <w:rsid w:val="00FD203C"/>
    <w:rsid w:val="00FD4245"/>
    <w:rsid w:val="00FD427B"/>
    <w:rsid w:val="00FD4D93"/>
    <w:rsid w:val="00FD51FA"/>
    <w:rsid w:val="00FD56A0"/>
    <w:rsid w:val="00FD5B74"/>
    <w:rsid w:val="00FE04FF"/>
    <w:rsid w:val="00FE070D"/>
    <w:rsid w:val="00FE3049"/>
    <w:rsid w:val="00FE30E6"/>
    <w:rsid w:val="00FE319A"/>
    <w:rsid w:val="00FE3CA3"/>
    <w:rsid w:val="00FE48AE"/>
    <w:rsid w:val="00FE53ED"/>
    <w:rsid w:val="00FE6745"/>
    <w:rsid w:val="00FE7EE4"/>
    <w:rsid w:val="00FF0F48"/>
    <w:rsid w:val="00FF195A"/>
    <w:rsid w:val="00FF2EAA"/>
    <w:rsid w:val="00FF3944"/>
    <w:rsid w:val="00FF3E64"/>
    <w:rsid w:val="00FF4959"/>
    <w:rsid w:val="00FF4A86"/>
    <w:rsid w:val="00FF5852"/>
    <w:rsid w:val="00FF693E"/>
    <w:rsid w:val="00FF7ACB"/>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9340C"/>
  <w15:docId w15:val="{93CF1104-5B51-4838-846D-906144DC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87E"/>
    <w:pPr>
      <w:spacing w:before="120" w:after="0" w:line="240" w:lineRule="auto"/>
    </w:pPr>
    <w:rPr>
      <w:lang w:val="en-GB"/>
    </w:rPr>
  </w:style>
  <w:style w:type="paragraph" w:styleId="1">
    <w:name w:val="heading 1"/>
    <w:basedOn w:val="a0"/>
    <w:next w:val="a0"/>
    <w:link w:val="10"/>
    <w:uiPriority w:val="9"/>
    <w:qFormat/>
    <w:rsid w:val="00AF0FC9"/>
    <w:pPr>
      <w:keepNext/>
      <w:keepLines/>
      <w:pageBreakBefore/>
      <w:spacing w:before="600" w:after="480"/>
      <w:outlineLvl w:val="0"/>
    </w:pPr>
    <w:rPr>
      <w:rFonts w:asciiTheme="majorHAnsi" w:eastAsiaTheme="majorEastAsia" w:hAnsiTheme="majorHAnsi" w:cstheme="majorBidi"/>
      <w:b/>
      <w:smallCaps/>
      <w:sz w:val="40"/>
      <w:szCs w:val="32"/>
      <w:lang w:val="en-US"/>
    </w:rPr>
  </w:style>
  <w:style w:type="paragraph" w:styleId="2">
    <w:name w:val="heading 2"/>
    <w:basedOn w:val="a"/>
    <w:next w:val="a"/>
    <w:link w:val="20"/>
    <w:uiPriority w:val="9"/>
    <w:unhideWhenUsed/>
    <w:qFormat/>
    <w:rsid w:val="00AF0FC9"/>
    <w:pPr>
      <w:keepNext/>
      <w:keepLines/>
      <w:spacing w:before="600" w:after="120"/>
      <w:outlineLvl w:val="1"/>
    </w:pPr>
    <w:rPr>
      <w:rFonts w:asciiTheme="majorHAnsi" w:eastAsiaTheme="majorEastAsia" w:hAnsiTheme="majorHAnsi" w:cstheme="majorBidi"/>
      <w:b/>
      <w:sz w:val="36"/>
      <w:szCs w:val="26"/>
    </w:rPr>
  </w:style>
  <w:style w:type="paragraph" w:styleId="3">
    <w:name w:val="heading 3"/>
    <w:basedOn w:val="a0"/>
    <w:next w:val="a0"/>
    <w:link w:val="30"/>
    <w:uiPriority w:val="9"/>
    <w:unhideWhenUsed/>
    <w:qFormat/>
    <w:rsid w:val="00AF0FC9"/>
    <w:pPr>
      <w:keepNext/>
      <w:keepLines/>
      <w:spacing w:before="360" w:after="120"/>
      <w:outlineLvl w:val="2"/>
    </w:pPr>
    <w:rPr>
      <w:rFonts w:asciiTheme="majorHAnsi" w:eastAsiaTheme="majorEastAsia" w:hAnsiTheme="majorHAnsi" w:cstheme="majorBidi"/>
      <w:color w:val="000000" w:themeColor="text1"/>
      <w:sz w:val="32"/>
      <w:szCs w:val="24"/>
    </w:rPr>
  </w:style>
  <w:style w:type="paragraph" w:styleId="4">
    <w:name w:val="heading 4"/>
    <w:basedOn w:val="a0"/>
    <w:next w:val="a0"/>
    <w:link w:val="40"/>
    <w:uiPriority w:val="9"/>
    <w:semiHidden/>
    <w:unhideWhenUsed/>
    <w:qFormat/>
    <w:rsid w:val="002C64C4"/>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2C64C4"/>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2C64C4"/>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2C64C4"/>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2C64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2C64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361D57"/>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1"/>
    <w:link w:val="a4"/>
    <w:uiPriority w:val="10"/>
    <w:rsid w:val="00361D57"/>
    <w:rPr>
      <w:rFonts w:asciiTheme="majorHAnsi" w:eastAsiaTheme="majorEastAsia" w:hAnsiTheme="majorHAnsi" w:cstheme="majorBidi"/>
      <w:spacing w:val="-10"/>
      <w:kern w:val="28"/>
      <w:sz w:val="56"/>
      <w:szCs w:val="56"/>
      <w:lang w:val="en-GB"/>
    </w:rPr>
  </w:style>
  <w:style w:type="paragraph" w:styleId="a6">
    <w:name w:val="header"/>
    <w:basedOn w:val="a0"/>
    <w:link w:val="a7"/>
    <w:uiPriority w:val="99"/>
    <w:unhideWhenUsed/>
    <w:rsid w:val="00361D57"/>
    <w:pPr>
      <w:tabs>
        <w:tab w:val="center" w:pos="4680"/>
        <w:tab w:val="right" w:pos="9360"/>
      </w:tabs>
    </w:pPr>
  </w:style>
  <w:style w:type="character" w:customStyle="1" w:styleId="a7">
    <w:name w:val="Верхний колонтитул Знак"/>
    <w:basedOn w:val="a1"/>
    <w:link w:val="a6"/>
    <w:uiPriority w:val="99"/>
    <w:rsid w:val="00361D57"/>
    <w:rPr>
      <w:lang w:val="en-GB"/>
    </w:rPr>
  </w:style>
  <w:style w:type="paragraph" w:styleId="a8">
    <w:name w:val="footer"/>
    <w:basedOn w:val="a0"/>
    <w:link w:val="a9"/>
    <w:uiPriority w:val="99"/>
    <w:unhideWhenUsed/>
    <w:rsid w:val="00361D57"/>
    <w:pPr>
      <w:tabs>
        <w:tab w:val="center" w:pos="4680"/>
        <w:tab w:val="right" w:pos="9360"/>
      </w:tabs>
    </w:pPr>
  </w:style>
  <w:style w:type="character" w:customStyle="1" w:styleId="a9">
    <w:name w:val="Нижний колонтитул Знак"/>
    <w:basedOn w:val="a1"/>
    <w:link w:val="a8"/>
    <w:uiPriority w:val="99"/>
    <w:rsid w:val="00361D57"/>
    <w:rPr>
      <w:lang w:val="en-GB"/>
    </w:rPr>
  </w:style>
  <w:style w:type="paragraph" w:styleId="a">
    <w:name w:val="List Paragraph"/>
    <w:aliases w:val="Numbered List Paragraph,Numbered Paragraph,Main numbered paragraph"/>
    <w:basedOn w:val="a0"/>
    <w:link w:val="aa"/>
    <w:uiPriority w:val="34"/>
    <w:qFormat/>
    <w:rsid w:val="004A0768"/>
    <w:pPr>
      <w:numPr>
        <w:numId w:val="1"/>
      </w:numPr>
      <w:jc w:val="both"/>
    </w:pPr>
    <w:rPr>
      <w:lang w:val="en-US"/>
    </w:rPr>
  </w:style>
  <w:style w:type="character" w:customStyle="1" w:styleId="10">
    <w:name w:val="Заголовок 1 Знак"/>
    <w:basedOn w:val="a1"/>
    <w:link w:val="1"/>
    <w:uiPriority w:val="9"/>
    <w:rsid w:val="00AF0FC9"/>
    <w:rPr>
      <w:rFonts w:asciiTheme="majorHAnsi" w:eastAsiaTheme="majorEastAsia" w:hAnsiTheme="majorHAnsi" w:cstheme="majorBidi"/>
      <w:b/>
      <w:smallCaps/>
      <w:sz w:val="40"/>
      <w:szCs w:val="32"/>
    </w:rPr>
  </w:style>
  <w:style w:type="character" w:styleId="ab">
    <w:name w:val="Subtle Emphasis"/>
    <w:basedOn w:val="a1"/>
    <w:uiPriority w:val="19"/>
    <w:qFormat/>
    <w:rsid w:val="0073287E"/>
    <w:rPr>
      <w:rFonts w:asciiTheme="minorHAnsi" w:hAnsiTheme="minorHAnsi"/>
      <w:i/>
      <w:iCs/>
      <w:color w:val="404040" w:themeColor="text1" w:themeTint="BF"/>
      <w:sz w:val="22"/>
    </w:rPr>
  </w:style>
  <w:style w:type="table" w:styleId="ac">
    <w:name w:val="Table Grid"/>
    <w:basedOn w:val="a2"/>
    <w:uiPriority w:val="59"/>
    <w:rsid w:val="00885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aliases w:val="Caption Char Char Char,Caption1 Char,Caption1,Table title,Figure Head,Figure Head Znak Znak,Figure Head Znak,F10 Table Figure and Chart Title,WB Caption"/>
    <w:basedOn w:val="a0"/>
    <w:next w:val="a0"/>
    <w:link w:val="ae"/>
    <w:uiPriority w:val="35"/>
    <w:unhideWhenUsed/>
    <w:qFormat/>
    <w:rsid w:val="00813215"/>
    <w:pPr>
      <w:keepNext/>
      <w:spacing w:before="360" w:after="120"/>
      <w:jc w:val="center"/>
    </w:pPr>
    <w:rPr>
      <w:b/>
      <w:iCs/>
      <w:szCs w:val="18"/>
    </w:rPr>
  </w:style>
  <w:style w:type="paragraph" w:customStyle="1" w:styleId="Source">
    <w:name w:val="Source"/>
    <w:basedOn w:val="a0"/>
    <w:next w:val="a"/>
    <w:link w:val="SourceChar"/>
    <w:qFormat/>
    <w:rsid w:val="00BF0E45"/>
    <w:pPr>
      <w:spacing w:after="360"/>
      <w:jc w:val="center"/>
    </w:pPr>
    <w:rPr>
      <w:i/>
      <w:sz w:val="20"/>
      <w:lang w:val="en-US"/>
    </w:rPr>
  </w:style>
  <w:style w:type="character" w:customStyle="1" w:styleId="SourceChar">
    <w:name w:val="Source Char"/>
    <w:basedOn w:val="a1"/>
    <w:link w:val="Source"/>
    <w:rsid w:val="00BF0E45"/>
    <w:rPr>
      <w:i/>
      <w:sz w:val="20"/>
    </w:rPr>
  </w:style>
  <w:style w:type="paragraph" w:styleId="af">
    <w:name w:val="Normal (Web)"/>
    <w:basedOn w:val="a0"/>
    <w:uiPriority w:val="99"/>
    <w:unhideWhenUsed/>
    <w:rsid w:val="002E1E66"/>
    <w:pPr>
      <w:spacing w:before="100" w:beforeAutospacing="1" w:after="100" w:afterAutospacing="1"/>
    </w:pPr>
    <w:rPr>
      <w:rFonts w:ascii="Times New Roman" w:eastAsia="Times New Roman" w:hAnsi="Times New Roman" w:cs="Times New Roman"/>
      <w:sz w:val="24"/>
      <w:szCs w:val="24"/>
      <w:lang w:val="en-US"/>
    </w:rPr>
  </w:style>
  <w:style w:type="character" w:customStyle="1" w:styleId="20">
    <w:name w:val="Заголовок 2 Знак"/>
    <w:basedOn w:val="a1"/>
    <w:link w:val="2"/>
    <w:uiPriority w:val="9"/>
    <w:rsid w:val="00AF0FC9"/>
    <w:rPr>
      <w:rFonts w:asciiTheme="majorHAnsi" w:eastAsiaTheme="majorEastAsia" w:hAnsiTheme="majorHAnsi" w:cstheme="majorBidi"/>
      <w:b/>
      <w:sz w:val="36"/>
      <w:szCs w:val="26"/>
    </w:rPr>
  </w:style>
  <w:style w:type="character" w:styleId="af0">
    <w:name w:val="annotation reference"/>
    <w:basedOn w:val="a1"/>
    <w:uiPriority w:val="99"/>
    <w:unhideWhenUsed/>
    <w:rsid w:val="00615841"/>
    <w:rPr>
      <w:sz w:val="16"/>
      <w:szCs w:val="16"/>
    </w:rPr>
  </w:style>
  <w:style w:type="paragraph" w:styleId="af1">
    <w:name w:val="annotation text"/>
    <w:basedOn w:val="a0"/>
    <w:link w:val="af2"/>
    <w:uiPriority w:val="99"/>
    <w:unhideWhenUsed/>
    <w:rsid w:val="00615841"/>
    <w:rPr>
      <w:sz w:val="20"/>
      <w:szCs w:val="20"/>
    </w:rPr>
  </w:style>
  <w:style w:type="character" w:customStyle="1" w:styleId="af2">
    <w:name w:val="Текст примечания Знак"/>
    <w:basedOn w:val="a1"/>
    <w:link w:val="af1"/>
    <w:uiPriority w:val="99"/>
    <w:rsid w:val="00615841"/>
    <w:rPr>
      <w:sz w:val="20"/>
      <w:szCs w:val="20"/>
      <w:lang w:val="en-GB"/>
    </w:rPr>
  </w:style>
  <w:style w:type="paragraph" w:styleId="af3">
    <w:name w:val="annotation subject"/>
    <w:basedOn w:val="af1"/>
    <w:next w:val="af1"/>
    <w:link w:val="af4"/>
    <w:uiPriority w:val="99"/>
    <w:semiHidden/>
    <w:unhideWhenUsed/>
    <w:rsid w:val="00615841"/>
    <w:rPr>
      <w:b/>
      <w:bCs/>
    </w:rPr>
  </w:style>
  <w:style w:type="character" w:customStyle="1" w:styleId="af4">
    <w:name w:val="Тема примечания Знак"/>
    <w:basedOn w:val="af2"/>
    <w:link w:val="af3"/>
    <w:uiPriority w:val="99"/>
    <w:semiHidden/>
    <w:rsid w:val="00615841"/>
    <w:rPr>
      <w:b/>
      <w:bCs/>
      <w:sz w:val="20"/>
      <w:szCs w:val="20"/>
      <w:lang w:val="en-GB"/>
    </w:rPr>
  </w:style>
  <w:style w:type="paragraph" w:styleId="af5">
    <w:name w:val="Balloon Text"/>
    <w:basedOn w:val="a0"/>
    <w:link w:val="af6"/>
    <w:uiPriority w:val="99"/>
    <w:semiHidden/>
    <w:unhideWhenUsed/>
    <w:rsid w:val="00615841"/>
    <w:pPr>
      <w:spacing w:before="0"/>
    </w:pPr>
    <w:rPr>
      <w:rFonts w:ascii="Segoe UI" w:hAnsi="Segoe UI" w:cs="Segoe UI"/>
      <w:sz w:val="18"/>
      <w:szCs w:val="18"/>
    </w:rPr>
  </w:style>
  <w:style w:type="character" w:customStyle="1" w:styleId="af6">
    <w:name w:val="Текст выноски Знак"/>
    <w:basedOn w:val="a1"/>
    <w:link w:val="af5"/>
    <w:uiPriority w:val="99"/>
    <w:semiHidden/>
    <w:rsid w:val="00615841"/>
    <w:rPr>
      <w:rFonts w:ascii="Segoe UI" w:hAnsi="Segoe UI" w:cs="Segoe UI"/>
      <w:sz w:val="18"/>
      <w:szCs w:val="18"/>
      <w:lang w:val="en-GB"/>
    </w:rPr>
  </w:style>
  <w:style w:type="paragraph" w:styleId="af7">
    <w:name w:val="footnote text"/>
    <w:aliases w:val="fn,footnote text,FOOTNOTES,single space,ft,Footnote Text Char Char Char Char Char Char,WB-Fußnotentext,Footnote,Fußnote,ADB,Footnote Text qer,Testo_note,Testo_note1,Testo_note2,Footnote Text Char3 Char,ft Char1 Char Char Ch,f,ALTS FOOTNOTE"/>
    <w:basedOn w:val="a0"/>
    <w:link w:val="af8"/>
    <w:unhideWhenUsed/>
    <w:qFormat/>
    <w:rsid w:val="005A4833"/>
    <w:pPr>
      <w:spacing w:before="0"/>
    </w:pPr>
    <w:rPr>
      <w:sz w:val="20"/>
      <w:szCs w:val="20"/>
    </w:rPr>
  </w:style>
  <w:style w:type="character" w:customStyle="1" w:styleId="af8">
    <w:name w:val="Текст сноски Знак"/>
    <w:aliases w:val="fn Знак,footnote text Знак,FOOTNOTES Знак,single space Знак,ft Знак,Footnote Text Char Char Char Char Char Char Знак,WB-Fußnotentext Знак,Footnote Знак,Fußnote Знак,ADB Знак,Footnote Text qer Знак,Testo_note Знак,Testo_note1 Знак"/>
    <w:basedOn w:val="a1"/>
    <w:link w:val="af7"/>
    <w:rsid w:val="005A4833"/>
    <w:rPr>
      <w:sz w:val="20"/>
      <w:szCs w:val="20"/>
      <w:lang w:val="en-GB"/>
    </w:rPr>
  </w:style>
  <w:style w:type="character" w:styleId="af9">
    <w:name w:val="footnote reference"/>
    <w:aliases w:val="16 Point,Superscript 6 Point,referencia nota al pie,Fußnotenzeichen DISS,ftref,Footnote Reference Number,BVI fnr,Error-Fußnotenzeichen5,Error-Fußnotenzeichen6,Error-Fußnotenzeichen3,Footnote Reference_LVL6,fr,Times 10 Point, BVI fnr"/>
    <w:basedOn w:val="a1"/>
    <w:link w:val="BVIfnrCharCar1CarChar"/>
    <w:unhideWhenUsed/>
    <w:qFormat/>
    <w:rsid w:val="005A4833"/>
    <w:rPr>
      <w:vertAlign w:val="superscript"/>
    </w:rPr>
  </w:style>
  <w:style w:type="paragraph" w:styleId="afa">
    <w:name w:val="TOC Heading"/>
    <w:basedOn w:val="1"/>
    <w:next w:val="a0"/>
    <w:uiPriority w:val="39"/>
    <w:unhideWhenUsed/>
    <w:qFormat/>
    <w:rsid w:val="00EB572D"/>
    <w:pPr>
      <w:spacing w:before="240" w:after="0" w:line="259" w:lineRule="auto"/>
      <w:outlineLvl w:val="9"/>
    </w:pPr>
    <w:rPr>
      <w:b w:val="0"/>
    </w:rPr>
  </w:style>
  <w:style w:type="paragraph" w:styleId="11">
    <w:name w:val="toc 1"/>
    <w:basedOn w:val="a0"/>
    <w:next w:val="a0"/>
    <w:autoRedefine/>
    <w:uiPriority w:val="39"/>
    <w:unhideWhenUsed/>
    <w:rsid w:val="00DD51BE"/>
    <w:pPr>
      <w:tabs>
        <w:tab w:val="right" w:leader="dot" w:pos="9019"/>
      </w:tabs>
      <w:spacing w:after="100"/>
    </w:pPr>
  </w:style>
  <w:style w:type="character" w:styleId="afb">
    <w:name w:val="Hyperlink"/>
    <w:basedOn w:val="a1"/>
    <w:uiPriority w:val="99"/>
    <w:unhideWhenUsed/>
    <w:rsid w:val="00EB572D"/>
    <w:rPr>
      <w:color w:val="0563C1" w:themeColor="hyperlink"/>
      <w:u w:val="single"/>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a0"/>
    <w:next w:val="a0"/>
    <w:link w:val="af9"/>
    <w:uiPriority w:val="99"/>
    <w:rsid w:val="00C24D16"/>
    <w:pPr>
      <w:shd w:val="clear" w:color="auto" w:fill="FFFFFF"/>
      <w:spacing w:before="100" w:beforeAutospacing="1" w:after="160" w:afterAutospacing="1" w:line="240" w:lineRule="exact"/>
      <w:ind w:left="120"/>
      <w:jc w:val="both"/>
    </w:pPr>
    <w:rPr>
      <w:vertAlign w:val="superscript"/>
      <w:lang w:val="en-US"/>
    </w:rPr>
  </w:style>
  <w:style w:type="paragraph" w:customStyle="1" w:styleId="Charts">
    <w:name w:val="Charts"/>
    <w:basedOn w:val="a0"/>
    <w:link w:val="ChartsChar"/>
    <w:qFormat/>
    <w:rsid w:val="007619F4"/>
    <w:pPr>
      <w:keepNext/>
      <w:jc w:val="center"/>
    </w:pPr>
  </w:style>
  <w:style w:type="character" w:customStyle="1" w:styleId="aa">
    <w:name w:val="Абзац списка Знак"/>
    <w:aliases w:val="Numbered List Paragraph Знак,Numbered Paragraph Знак,Main numbered paragraph Знак"/>
    <w:basedOn w:val="a1"/>
    <w:link w:val="a"/>
    <w:uiPriority w:val="34"/>
    <w:rsid w:val="004A0768"/>
  </w:style>
  <w:style w:type="character" w:customStyle="1" w:styleId="ChartsChar">
    <w:name w:val="Charts Char"/>
    <w:basedOn w:val="aa"/>
    <w:link w:val="Charts"/>
    <w:rsid w:val="008C4914"/>
  </w:style>
  <w:style w:type="character" w:styleId="afc">
    <w:name w:val="Intense Emphasis"/>
    <w:basedOn w:val="a1"/>
    <w:uiPriority w:val="21"/>
    <w:qFormat/>
    <w:rsid w:val="0039735D"/>
    <w:rPr>
      <w:i/>
      <w:iCs/>
      <w:color w:val="4472C4" w:themeColor="accent1"/>
    </w:rPr>
  </w:style>
  <w:style w:type="paragraph" w:styleId="21">
    <w:name w:val="toc 2"/>
    <w:basedOn w:val="a0"/>
    <w:next w:val="a0"/>
    <w:autoRedefine/>
    <w:uiPriority w:val="39"/>
    <w:unhideWhenUsed/>
    <w:rsid w:val="00DD51BE"/>
    <w:pPr>
      <w:tabs>
        <w:tab w:val="right" w:leader="dot" w:pos="9019"/>
      </w:tabs>
      <w:spacing w:after="100"/>
      <w:ind w:left="220"/>
    </w:pPr>
  </w:style>
  <w:style w:type="paragraph" w:customStyle="1" w:styleId="Headingoverview">
    <w:name w:val="Heading overview"/>
    <w:basedOn w:val="1"/>
    <w:next w:val="a0"/>
    <w:link w:val="HeadingoverviewChar"/>
    <w:qFormat/>
    <w:rsid w:val="00B12F12"/>
  </w:style>
  <w:style w:type="character" w:customStyle="1" w:styleId="ae">
    <w:name w:val="Название объекта Знак"/>
    <w:aliases w:val="Caption Char Char Char Знак,Caption1 Char Знак,Caption1 Знак,Table title Знак,Figure Head Знак,Figure Head Znak Znak Знак,Figure Head Znak Знак,F10 Table Figure and Chart Title Знак,WB Caption Знак"/>
    <w:basedOn w:val="a1"/>
    <w:link w:val="ad"/>
    <w:uiPriority w:val="35"/>
    <w:rsid w:val="00813215"/>
    <w:rPr>
      <w:b/>
      <w:iCs/>
      <w:szCs w:val="18"/>
      <w:lang w:val="en-GB"/>
    </w:rPr>
  </w:style>
  <w:style w:type="character" w:customStyle="1" w:styleId="HeadingoverviewChar">
    <w:name w:val="Heading overview Char"/>
    <w:basedOn w:val="10"/>
    <w:link w:val="Headingoverview"/>
    <w:rsid w:val="00B12F12"/>
    <w:rPr>
      <w:rFonts w:asciiTheme="majorHAnsi" w:eastAsiaTheme="majorEastAsia" w:hAnsiTheme="majorHAnsi" w:cstheme="majorBidi"/>
      <w:b/>
      <w:smallCaps/>
      <w:sz w:val="40"/>
      <w:szCs w:val="32"/>
    </w:rPr>
  </w:style>
  <w:style w:type="paragraph" w:customStyle="1" w:styleId="Sourcenotes">
    <w:name w:val="Source notes"/>
    <w:basedOn w:val="a0"/>
    <w:link w:val="SourcenotesChar"/>
    <w:qFormat/>
    <w:rsid w:val="000817D7"/>
    <w:pPr>
      <w:spacing w:before="0" w:after="200"/>
    </w:pPr>
    <w:rPr>
      <w:rFonts w:ascii="Times New Roman" w:hAnsi="Times New Roman" w:cs="Times New Roman"/>
      <w:bCs/>
      <w:i/>
      <w:sz w:val="18"/>
      <w:szCs w:val="18"/>
      <w:lang w:val="en-US"/>
    </w:rPr>
  </w:style>
  <w:style w:type="character" w:customStyle="1" w:styleId="SourcenotesChar">
    <w:name w:val="Source notes Char"/>
    <w:basedOn w:val="a1"/>
    <w:link w:val="Sourcenotes"/>
    <w:rsid w:val="000817D7"/>
    <w:rPr>
      <w:rFonts w:ascii="Times New Roman" w:hAnsi="Times New Roman" w:cs="Times New Roman"/>
      <w:bCs/>
      <w:i/>
      <w:sz w:val="18"/>
      <w:szCs w:val="18"/>
    </w:rPr>
  </w:style>
  <w:style w:type="character" w:customStyle="1" w:styleId="NLMainChar">
    <w:name w:val="NLMain Char"/>
    <w:basedOn w:val="a1"/>
    <w:link w:val="NLMain"/>
    <w:locked/>
    <w:rsid w:val="00925AFB"/>
    <w:rPr>
      <w:rFonts w:ascii="Swis721 Lt BT" w:eastAsia="Times New Roman" w:hAnsi="Swis721 Lt BT" w:cs="Times New Roman"/>
      <w:sz w:val="18"/>
      <w:szCs w:val="18"/>
    </w:rPr>
  </w:style>
  <w:style w:type="paragraph" w:customStyle="1" w:styleId="NLMain">
    <w:name w:val="NLMain"/>
    <w:basedOn w:val="a0"/>
    <w:link w:val="NLMainChar"/>
    <w:rsid w:val="00925AFB"/>
    <w:pPr>
      <w:spacing w:before="0" w:after="120"/>
      <w:jc w:val="both"/>
    </w:pPr>
    <w:rPr>
      <w:rFonts w:ascii="Swis721 Lt BT" w:eastAsia="Times New Roman" w:hAnsi="Swis721 Lt BT" w:cs="Times New Roman"/>
      <w:sz w:val="18"/>
      <w:szCs w:val="18"/>
      <w:lang w:val="en-US"/>
    </w:rPr>
  </w:style>
  <w:style w:type="paragraph" w:styleId="afd">
    <w:name w:val="Revision"/>
    <w:hidden/>
    <w:uiPriority w:val="99"/>
    <w:semiHidden/>
    <w:rsid w:val="005B14ED"/>
    <w:pPr>
      <w:spacing w:after="0" w:line="240" w:lineRule="auto"/>
    </w:pPr>
    <w:rPr>
      <w:lang w:val="en-GB"/>
    </w:rPr>
  </w:style>
  <w:style w:type="character" w:customStyle="1" w:styleId="30">
    <w:name w:val="Заголовок 3 Знак"/>
    <w:basedOn w:val="a1"/>
    <w:link w:val="3"/>
    <w:uiPriority w:val="9"/>
    <w:rsid w:val="00AF0FC9"/>
    <w:rPr>
      <w:rFonts w:asciiTheme="majorHAnsi" w:eastAsiaTheme="majorEastAsia" w:hAnsiTheme="majorHAnsi" w:cstheme="majorBidi"/>
      <w:color w:val="000000" w:themeColor="text1"/>
      <w:sz w:val="32"/>
      <w:szCs w:val="24"/>
      <w:lang w:val="en-GB"/>
    </w:rPr>
  </w:style>
  <w:style w:type="character" w:customStyle="1" w:styleId="40">
    <w:name w:val="Заголовок 4 Знак"/>
    <w:basedOn w:val="a1"/>
    <w:link w:val="4"/>
    <w:uiPriority w:val="9"/>
    <w:semiHidden/>
    <w:rsid w:val="002C64C4"/>
    <w:rPr>
      <w:rFonts w:asciiTheme="majorHAnsi" w:eastAsiaTheme="majorEastAsia" w:hAnsiTheme="majorHAnsi" w:cstheme="majorBidi"/>
      <w:i/>
      <w:iCs/>
      <w:color w:val="2F5496" w:themeColor="accent1" w:themeShade="BF"/>
      <w:lang w:val="en-GB"/>
    </w:rPr>
  </w:style>
  <w:style w:type="character" w:customStyle="1" w:styleId="50">
    <w:name w:val="Заголовок 5 Знак"/>
    <w:basedOn w:val="a1"/>
    <w:link w:val="5"/>
    <w:uiPriority w:val="9"/>
    <w:semiHidden/>
    <w:rsid w:val="002C64C4"/>
    <w:rPr>
      <w:rFonts w:asciiTheme="majorHAnsi" w:eastAsiaTheme="majorEastAsia" w:hAnsiTheme="majorHAnsi" w:cstheme="majorBidi"/>
      <w:color w:val="2F5496" w:themeColor="accent1" w:themeShade="BF"/>
      <w:lang w:val="en-GB"/>
    </w:rPr>
  </w:style>
  <w:style w:type="character" w:customStyle="1" w:styleId="60">
    <w:name w:val="Заголовок 6 Знак"/>
    <w:basedOn w:val="a1"/>
    <w:link w:val="6"/>
    <w:uiPriority w:val="9"/>
    <w:semiHidden/>
    <w:rsid w:val="002C64C4"/>
    <w:rPr>
      <w:rFonts w:asciiTheme="majorHAnsi" w:eastAsiaTheme="majorEastAsia" w:hAnsiTheme="majorHAnsi" w:cstheme="majorBidi"/>
      <w:color w:val="1F3763" w:themeColor="accent1" w:themeShade="7F"/>
      <w:lang w:val="en-GB"/>
    </w:rPr>
  </w:style>
  <w:style w:type="character" w:customStyle="1" w:styleId="70">
    <w:name w:val="Заголовок 7 Знак"/>
    <w:basedOn w:val="a1"/>
    <w:link w:val="7"/>
    <w:uiPriority w:val="9"/>
    <w:semiHidden/>
    <w:rsid w:val="002C64C4"/>
    <w:rPr>
      <w:rFonts w:asciiTheme="majorHAnsi" w:eastAsiaTheme="majorEastAsia" w:hAnsiTheme="majorHAnsi" w:cstheme="majorBidi"/>
      <w:i/>
      <w:iCs/>
      <w:color w:val="1F3763" w:themeColor="accent1" w:themeShade="7F"/>
      <w:lang w:val="en-GB"/>
    </w:rPr>
  </w:style>
  <w:style w:type="character" w:customStyle="1" w:styleId="80">
    <w:name w:val="Заголовок 8 Знак"/>
    <w:basedOn w:val="a1"/>
    <w:link w:val="8"/>
    <w:uiPriority w:val="9"/>
    <w:semiHidden/>
    <w:rsid w:val="002C64C4"/>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1"/>
    <w:link w:val="9"/>
    <w:uiPriority w:val="9"/>
    <w:semiHidden/>
    <w:rsid w:val="002C64C4"/>
    <w:rPr>
      <w:rFonts w:asciiTheme="majorHAnsi" w:eastAsiaTheme="majorEastAsia" w:hAnsiTheme="majorHAnsi" w:cstheme="majorBidi"/>
      <w:i/>
      <w:iCs/>
      <w:color w:val="272727" w:themeColor="text1" w:themeTint="D8"/>
      <w:sz w:val="21"/>
      <w:szCs w:val="21"/>
      <w:lang w:val="en-GB"/>
    </w:rPr>
  </w:style>
  <w:style w:type="paragraph" w:styleId="31">
    <w:name w:val="toc 3"/>
    <w:basedOn w:val="a0"/>
    <w:next w:val="a0"/>
    <w:autoRedefine/>
    <w:uiPriority w:val="39"/>
    <w:unhideWhenUsed/>
    <w:rsid w:val="00D202DA"/>
    <w:pPr>
      <w:spacing w:after="100"/>
      <w:ind w:left="440"/>
    </w:pPr>
  </w:style>
  <w:style w:type="paragraph" w:styleId="afe">
    <w:name w:val="table of figures"/>
    <w:basedOn w:val="a0"/>
    <w:next w:val="a0"/>
    <w:uiPriority w:val="99"/>
    <w:unhideWhenUsed/>
    <w:rsid w:val="00C97344"/>
  </w:style>
  <w:style w:type="character" w:customStyle="1" w:styleId="UnresolvedMention1">
    <w:name w:val="Unresolved Mention1"/>
    <w:basedOn w:val="a1"/>
    <w:uiPriority w:val="99"/>
    <w:semiHidden/>
    <w:unhideWhenUsed/>
    <w:rsid w:val="00AF5FAF"/>
    <w:rPr>
      <w:color w:val="808080"/>
      <w:shd w:val="clear" w:color="auto" w:fill="E6E6E6"/>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0"/>
    <w:next w:val="af7"/>
    <w:uiPriority w:val="99"/>
    <w:rsid w:val="0070609F"/>
    <w:pPr>
      <w:spacing w:line="240" w:lineRule="exact"/>
    </w:pPr>
    <w:rPr>
      <w:rFonts w:ascii="TimesNewRomanPS" w:hAnsi="TimesNewRomanPS" w:cs="Times New Roman"/>
      <w:position w:val="6"/>
      <w:sz w:val="16"/>
      <w:lang w:val="mk-MK"/>
    </w:rPr>
  </w:style>
  <w:style w:type="paragraph" w:customStyle="1" w:styleId="Listpara">
    <w:name w:val="List para"/>
    <w:basedOn w:val="a0"/>
    <w:link w:val="ListparaChar"/>
    <w:qFormat/>
    <w:rsid w:val="0070609F"/>
    <w:pPr>
      <w:jc w:val="both"/>
    </w:pPr>
    <w:rPr>
      <w:rFonts w:eastAsiaTheme="minorEastAsia"/>
      <w:lang w:val="en-US"/>
    </w:rPr>
  </w:style>
  <w:style w:type="character" w:customStyle="1" w:styleId="ListparaChar">
    <w:name w:val="List para Char"/>
    <w:basedOn w:val="a1"/>
    <w:link w:val="Listpara"/>
    <w:rsid w:val="0070609F"/>
    <w:rPr>
      <w:rFonts w:eastAsiaTheme="minorEastAsia"/>
    </w:rPr>
  </w:style>
  <w:style w:type="paragraph" w:customStyle="1" w:styleId="overviewheading2">
    <w:name w:val="overview heading 2"/>
    <w:basedOn w:val="1"/>
    <w:link w:val="overviewheading2Char"/>
    <w:qFormat/>
    <w:rsid w:val="0070609F"/>
    <w:pPr>
      <w:pageBreakBefore w:val="0"/>
    </w:pPr>
    <w:rPr>
      <w:smallCaps w:val="0"/>
      <w:sz w:val="36"/>
    </w:rPr>
  </w:style>
  <w:style w:type="paragraph" w:customStyle="1" w:styleId="overviewheading3">
    <w:name w:val="overview heading 3"/>
    <w:basedOn w:val="3"/>
    <w:link w:val="overviewheading3Char"/>
    <w:qFormat/>
    <w:rsid w:val="0070609F"/>
    <w:rPr>
      <w:sz w:val="26"/>
    </w:rPr>
  </w:style>
  <w:style w:type="character" w:customStyle="1" w:styleId="overviewheading2Char">
    <w:name w:val="overview heading 2 Char"/>
    <w:basedOn w:val="10"/>
    <w:link w:val="overviewheading2"/>
    <w:rsid w:val="0070609F"/>
    <w:rPr>
      <w:rFonts w:asciiTheme="majorHAnsi" w:eastAsiaTheme="majorEastAsia" w:hAnsiTheme="majorHAnsi" w:cstheme="majorBidi"/>
      <w:b/>
      <w:smallCaps w:val="0"/>
      <w:sz w:val="36"/>
      <w:szCs w:val="32"/>
    </w:rPr>
  </w:style>
  <w:style w:type="character" w:customStyle="1" w:styleId="overviewheading3Char">
    <w:name w:val="overview heading 3 Char"/>
    <w:basedOn w:val="20"/>
    <w:link w:val="overviewheading3"/>
    <w:rsid w:val="0070609F"/>
    <w:rPr>
      <w:rFonts w:asciiTheme="majorHAnsi" w:eastAsiaTheme="majorEastAsia" w:hAnsiTheme="majorHAnsi" w:cstheme="majorBidi"/>
      <w:b w:val="0"/>
      <w:color w:val="000000" w:themeColor="text1"/>
      <w:sz w:val="26"/>
      <w:szCs w:val="24"/>
      <w:lang w:val="en-GB"/>
    </w:rPr>
  </w:style>
  <w:style w:type="character" w:customStyle="1" w:styleId="aff">
    <w:name w:val="Основной текст_"/>
    <w:basedOn w:val="a1"/>
    <w:link w:val="61"/>
    <w:rsid w:val="00984B70"/>
    <w:rPr>
      <w:rFonts w:ascii="Calibri" w:eastAsia="Calibri" w:hAnsi="Calibri" w:cs="Calibri"/>
      <w:sz w:val="18"/>
      <w:szCs w:val="18"/>
      <w:shd w:val="clear" w:color="auto" w:fill="FFFFFF"/>
    </w:rPr>
  </w:style>
  <w:style w:type="character" w:customStyle="1" w:styleId="12">
    <w:name w:val="Основной текст1"/>
    <w:basedOn w:val="aff"/>
    <w:rsid w:val="00984B70"/>
    <w:rPr>
      <w:rFonts w:ascii="Calibri" w:eastAsia="Calibri" w:hAnsi="Calibri" w:cs="Calibri"/>
      <w:color w:val="000000"/>
      <w:spacing w:val="0"/>
      <w:w w:val="100"/>
      <w:position w:val="0"/>
      <w:sz w:val="18"/>
      <w:szCs w:val="18"/>
      <w:shd w:val="clear" w:color="auto" w:fill="FFFFFF"/>
      <w:lang w:val="en-US"/>
    </w:rPr>
  </w:style>
  <w:style w:type="paragraph" w:customStyle="1" w:styleId="61">
    <w:name w:val="Основной текст6"/>
    <w:basedOn w:val="a0"/>
    <w:link w:val="aff"/>
    <w:rsid w:val="00984B70"/>
    <w:pPr>
      <w:widowControl w:val="0"/>
      <w:shd w:val="clear" w:color="auto" w:fill="FFFFFF"/>
      <w:spacing w:before="0" w:line="0" w:lineRule="atLeast"/>
    </w:pPr>
    <w:rPr>
      <w:rFonts w:ascii="Calibri" w:eastAsia="Calibri" w:hAnsi="Calibri" w:cs="Calibri"/>
      <w:sz w:val="18"/>
      <w:szCs w:val="18"/>
      <w:lang w:val="en-US"/>
    </w:rPr>
  </w:style>
  <w:style w:type="character" w:customStyle="1" w:styleId="41">
    <w:name w:val="Основной текст (4) + Малые прописные"/>
    <w:basedOn w:val="a1"/>
    <w:rsid w:val="0088309F"/>
    <w:rPr>
      <w:rFonts w:ascii="Calibri" w:eastAsia="Calibri" w:hAnsi="Calibri" w:cs="Calibri"/>
      <w:b/>
      <w:bCs/>
      <w:i w:val="0"/>
      <w:iCs w:val="0"/>
      <w:smallCaps/>
      <w:strike w:val="0"/>
      <w:color w:val="000000"/>
      <w:spacing w:val="0"/>
      <w:w w:val="100"/>
      <w:position w:val="0"/>
      <w:sz w:val="29"/>
      <w:szCs w:val="29"/>
      <w:u w:val="none"/>
      <w:lang w:val="en-US"/>
    </w:rPr>
  </w:style>
  <w:style w:type="character" w:customStyle="1" w:styleId="51">
    <w:name w:val="Основной текст (5)_"/>
    <w:basedOn w:val="a1"/>
    <w:link w:val="52"/>
    <w:rsid w:val="0088309F"/>
    <w:rPr>
      <w:rFonts w:ascii="Calibri" w:eastAsia="Calibri" w:hAnsi="Calibri" w:cs="Calibri"/>
      <w:b/>
      <w:bCs/>
      <w:sz w:val="18"/>
      <w:szCs w:val="18"/>
      <w:shd w:val="clear" w:color="auto" w:fill="FFFFFF"/>
    </w:rPr>
  </w:style>
  <w:style w:type="character" w:customStyle="1" w:styleId="62">
    <w:name w:val="Основной текст (6)_"/>
    <w:basedOn w:val="a1"/>
    <w:link w:val="63"/>
    <w:rsid w:val="0088309F"/>
    <w:rPr>
      <w:rFonts w:ascii="Calibri" w:eastAsia="Calibri" w:hAnsi="Calibri" w:cs="Calibri"/>
      <w:i/>
      <w:iCs/>
      <w:sz w:val="17"/>
      <w:szCs w:val="17"/>
      <w:shd w:val="clear" w:color="auto" w:fill="FFFFFF"/>
    </w:rPr>
  </w:style>
  <w:style w:type="paragraph" w:customStyle="1" w:styleId="52">
    <w:name w:val="Основной текст (5)"/>
    <w:basedOn w:val="a0"/>
    <w:link w:val="51"/>
    <w:rsid w:val="0088309F"/>
    <w:pPr>
      <w:widowControl w:val="0"/>
      <w:shd w:val="clear" w:color="auto" w:fill="FFFFFF"/>
      <w:spacing w:before="0" w:line="0" w:lineRule="atLeast"/>
      <w:jc w:val="both"/>
    </w:pPr>
    <w:rPr>
      <w:rFonts w:ascii="Calibri" w:eastAsia="Calibri" w:hAnsi="Calibri" w:cs="Calibri"/>
      <w:b/>
      <w:bCs/>
      <w:sz w:val="18"/>
      <w:szCs w:val="18"/>
      <w:lang w:val="en-US"/>
    </w:rPr>
  </w:style>
  <w:style w:type="paragraph" w:customStyle="1" w:styleId="63">
    <w:name w:val="Основной текст (6)"/>
    <w:basedOn w:val="a0"/>
    <w:link w:val="62"/>
    <w:rsid w:val="0088309F"/>
    <w:pPr>
      <w:widowControl w:val="0"/>
      <w:shd w:val="clear" w:color="auto" w:fill="FFFFFF"/>
      <w:spacing w:before="0" w:line="221" w:lineRule="exact"/>
      <w:jc w:val="both"/>
    </w:pPr>
    <w:rPr>
      <w:rFonts w:ascii="Calibri" w:eastAsia="Calibri" w:hAnsi="Calibri" w:cs="Calibri"/>
      <w:i/>
      <w:iCs/>
      <w:sz w:val="17"/>
      <w:szCs w:val="17"/>
      <w:lang w:val="en-US"/>
    </w:rPr>
  </w:style>
  <w:style w:type="character" w:customStyle="1" w:styleId="22">
    <w:name w:val="Основной текст (2)_"/>
    <w:basedOn w:val="a1"/>
    <w:link w:val="23"/>
    <w:rsid w:val="00057ADF"/>
    <w:rPr>
      <w:rFonts w:ascii="Calibri" w:eastAsia="Calibri" w:hAnsi="Calibri" w:cs="Calibri"/>
      <w:b/>
      <w:bCs/>
      <w:sz w:val="29"/>
      <w:szCs w:val="29"/>
      <w:shd w:val="clear" w:color="auto" w:fill="FFFFFF"/>
    </w:rPr>
  </w:style>
  <w:style w:type="character" w:customStyle="1" w:styleId="24">
    <w:name w:val="Основной текст (2) + Не полужирный.Малые прописные"/>
    <w:basedOn w:val="22"/>
    <w:rsid w:val="00057ADF"/>
    <w:rPr>
      <w:rFonts w:ascii="Calibri" w:eastAsia="Calibri" w:hAnsi="Calibri" w:cs="Calibri"/>
      <w:b/>
      <w:bCs/>
      <w:smallCaps/>
      <w:color w:val="000000"/>
      <w:spacing w:val="0"/>
      <w:w w:val="100"/>
      <w:position w:val="0"/>
      <w:sz w:val="29"/>
      <w:szCs w:val="29"/>
      <w:shd w:val="clear" w:color="auto" w:fill="FFFFFF"/>
      <w:lang w:val="en-US"/>
    </w:rPr>
  </w:style>
  <w:style w:type="character" w:customStyle="1" w:styleId="25">
    <w:name w:val="Основной текст2"/>
    <w:basedOn w:val="aff"/>
    <w:rsid w:val="00057ADF"/>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n-US"/>
    </w:rPr>
  </w:style>
  <w:style w:type="paragraph" w:customStyle="1" w:styleId="23">
    <w:name w:val="Основной текст (2)"/>
    <w:basedOn w:val="a0"/>
    <w:link w:val="22"/>
    <w:rsid w:val="00057ADF"/>
    <w:pPr>
      <w:widowControl w:val="0"/>
      <w:shd w:val="clear" w:color="auto" w:fill="FFFFFF"/>
      <w:spacing w:before="0" w:line="0" w:lineRule="atLeast"/>
      <w:jc w:val="both"/>
    </w:pPr>
    <w:rPr>
      <w:rFonts w:ascii="Calibri" w:eastAsia="Calibri" w:hAnsi="Calibri" w:cs="Calibri"/>
      <w:b/>
      <w:bCs/>
      <w:sz w:val="29"/>
      <w:szCs w:val="29"/>
      <w:lang w:val="en-US"/>
    </w:rPr>
  </w:style>
  <w:style w:type="character" w:customStyle="1" w:styleId="aff0">
    <w:name w:val="Сноска_"/>
    <w:basedOn w:val="a1"/>
    <w:link w:val="aff1"/>
    <w:rsid w:val="00996DA8"/>
    <w:rPr>
      <w:rFonts w:ascii="Calibri" w:eastAsia="Calibri" w:hAnsi="Calibri" w:cs="Calibri"/>
      <w:sz w:val="18"/>
      <w:szCs w:val="18"/>
      <w:shd w:val="clear" w:color="auto" w:fill="FFFFFF"/>
    </w:rPr>
  </w:style>
  <w:style w:type="character" w:customStyle="1" w:styleId="Constantia8pt">
    <w:name w:val="Сноска + Constantia.8 pt"/>
    <w:basedOn w:val="aff0"/>
    <w:rsid w:val="00996DA8"/>
    <w:rPr>
      <w:rFonts w:ascii="Constantia" w:eastAsia="Constantia" w:hAnsi="Constantia" w:cs="Constantia"/>
      <w:color w:val="000000"/>
      <w:spacing w:val="0"/>
      <w:w w:val="100"/>
      <w:position w:val="0"/>
      <w:sz w:val="16"/>
      <w:szCs w:val="16"/>
      <w:shd w:val="clear" w:color="auto" w:fill="FFFFFF"/>
    </w:rPr>
  </w:style>
  <w:style w:type="character" w:customStyle="1" w:styleId="Constantia">
    <w:name w:val="Основной текст + Constantia"/>
    <w:basedOn w:val="aff"/>
    <w:rsid w:val="00996DA8"/>
    <w:rPr>
      <w:rFonts w:ascii="Constantia" w:eastAsia="Constantia" w:hAnsi="Constantia" w:cs="Constantia"/>
      <w:b w:val="0"/>
      <w:bCs w:val="0"/>
      <w:i w:val="0"/>
      <w:iCs w:val="0"/>
      <w:smallCaps w:val="0"/>
      <w:strike w:val="0"/>
      <w:color w:val="000000"/>
      <w:spacing w:val="0"/>
      <w:w w:val="100"/>
      <w:position w:val="0"/>
      <w:sz w:val="18"/>
      <w:szCs w:val="18"/>
      <w:u w:val="none"/>
      <w:shd w:val="clear" w:color="auto" w:fill="FFFFFF"/>
      <w:lang w:val="en-US"/>
    </w:rPr>
  </w:style>
  <w:style w:type="character" w:customStyle="1" w:styleId="81">
    <w:name w:val="Основной текст (8)_"/>
    <w:basedOn w:val="a1"/>
    <w:link w:val="82"/>
    <w:rsid w:val="00996DA8"/>
    <w:rPr>
      <w:rFonts w:ascii="Calibri" w:eastAsia="Calibri" w:hAnsi="Calibri" w:cs="Calibri"/>
      <w:sz w:val="19"/>
      <w:szCs w:val="19"/>
      <w:shd w:val="clear" w:color="auto" w:fill="FFFFFF"/>
    </w:rPr>
  </w:style>
  <w:style w:type="character" w:customStyle="1" w:styleId="810pt">
    <w:name w:val="Основной текст (8) + 10 pt"/>
    <w:basedOn w:val="81"/>
    <w:rsid w:val="00996DA8"/>
    <w:rPr>
      <w:rFonts w:ascii="Calibri" w:eastAsia="Calibri" w:hAnsi="Calibri" w:cs="Calibri"/>
      <w:color w:val="000000"/>
      <w:spacing w:val="0"/>
      <w:w w:val="100"/>
      <w:position w:val="0"/>
      <w:sz w:val="20"/>
      <w:szCs w:val="20"/>
      <w:shd w:val="clear" w:color="auto" w:fill="FFFFFF"/>
    </w:rPr>
  </w:style>
  <w:style w:type="character" w:customStyle="1" w:styleId="aff2">
    <w:name w:val="Основной текст + Курсив"/>
    <w:basedOn w:val="aff"/>
    <w:rsid w:val="00996DA8"/>
    <w:rPr>
      <w:rFonts w:ascii="Calibri" w:eastAsia="Calibri" w:hAnsi="Calibri" w:cs="Calibri"/>
      <w:b w:val="0"/>
      <w:bCs w:val="0"/>
      <w:i/>
      <w:iCs/>
      <w:smallCaps w:val="0"/>
      <w:strike w:val="0"/>
      <w:color w:val="000000"/>
      <w:spacing w:val="0"/>
      <w:w w:val="100"/>
      <w:position w:val="0"/>
      <w:sz w:val="18"/>
      <w:szCs w:val="18"/>
      <w:u w:val="none"/>
      <w:shd w:val="clear" w:color="auto" w:fill="FFFFFF"/>
      <w:lang w:val="en-US"/>
    </w:rPr>
  </w:style>
  <w:style w:type="character" w:customStyle="1" w:styleId="91">
    <w:name w:val="Основной текст (9)_"/>
    <w:basedOn w:val="a1"/>
    <w:rsid w:val="00996DA8"/>
    <w:rPr>
      <w:rFonts w:ascii="Calibri" w:eastAsia="Calibri" w:hAnsi="Calibri" w:cs="Calibri"/>
      <w:b w:val="0"/>
      <w:bCs w:val="0"/>
      <w:i w:val="0"/>
      <w:iCs w:val="0"/>
      <w:smallCaps w:val="0"/>
      <w:strike w:val="0"/>
      <w:sz w:val="18"/>
      <w:szCs w:val="18"/>
      <w:u w:val="none"/>
    </w:rPr>
  </w:style>
  <w:style w:type="character" w:customStyle="1" w:styleId="92">
    <w:name w:val="Основной текст (9)"/>
    <w:basedOn w:val="91"/>
    <w:rsid w:val="00996DA8"/>
    <w:rPr>
      <w:rFonts w:ascii="Calibri" w:eastAsia="Calibri" w:hAnsi="Calibri" w:cs="Calibri"/>
      <w:b w:val="0"/>
      <w:bCs w:val="0"/>
      <w:i w:val="0"/>
      <w:iCs w:val="0"/>
      <w:smallCaps w:val="0"/>
      <w:strike w:val="0"/>
      <w:color w:val="000000"/>
      <w:spacing w:val="0"/>
      <w:w w:val="100"/>
      <w:position w:val="0"/>
      <w:sz w:val="18"/>
      <w:szCs w:val="18"/>
      <w:u w:val="none"/>
    </w:rPr>
  </w:style>
  <w:style w:type="paragraph" w:customStyle="1" w:styleId="aff1">
    <w:name w:val="Сноска"/>
    <w:basedOn w:val="a0"/>
    <w:link w:val="aff0"/>
    <w:rsid w:val="00996DA8"/>
    <w:pPr>
      <w:widowControl w:val="0"/>
      <w:shd w:val="clear" w:color="auto" w:fill="FFFFFF"/>
      <w:spacing w:before="0" w:line="222" w:lineRule="exact"/>
      <w:jc w:val="both"/>
    </w:pPr>
    <w:rPr>
      <w:rFonts w:ascii="Calibri" w:eastAsia="Calibri" w:hAnsi="Calibri" w:cs="Calibri"/>
      <w:sz w:val="18"/>
      <w:szCs w:val="18"/>
      <w:lang w:val="en-US"/>
    </w:rPr>
  </w:style>
  <w:style w:type="paragraph" w:customStyle="1" w:styleId="82">
    <w:name w:val="Основной текст (8)"/>
    <w:basedOn w:val="a0"/>
    <w:link w:val="81"/>
    <w:rsid w:val="00996DA8"/>
    <w:pPr>
      <w:widowControl w:val="0"/>
      <w:shd w:val="clear" w:color="auto" w:fill="FFFFFF"/>
      <w:spacing w:before="0" w:line="0" w:lineRule="atLeast"/>
      <w:jc w:val="right"/>
    </w:pPr>
    <w:rPr>
      <w:rFonts w:ascii="Calibri" w:eastAsia="Calibri" w:hAnsi="Calibri" w:cs="Calibri"/>
      <w:sz w:val="19"/>
      <w:szCs w:val="19"/>
      <w:lang w:val="en-US"/>
    </w:rPr>
  </w:style>
  <w:style w:type="character" w:customStyle="1" w:styleId="32">
    <w:name w:val="Заголовок №3_"/>
    <w:basedOn w:val="a1"/>
    <w:link w:val="33"/>
    <w:rsid w:val="00CB76CB"/>
    <w:rPr>
      <w:rFonts w:ascii="Calibri" w:eastAsia="Calibri" w:hAnsi="Calibri" w:cs="Calibri"/>
      <w:b/>
      <w:bCs/>
      <w:sz w:val="26"/>
      <w:szCs w:val="26"/>
      <w:shd w:val="clear" w:color="auto" w:fill="FFFFFF"/>
    </w:rPr>
  </w:style>
  <w:style w:type="paragraph" w:customStyle="1" w:styleId="33">
    <w:name w:val="Заголовок №3"/>
    <w:basedOn w:val="a0"/>
    <w:link w:val="32"/>
    <w:rsid w:val="00CB76CB"/>
    <w:pPr>
      <w:widowControl w:val="0"/>
      <w:shd w:val="clear" w:color="auto" w:fill="FFFFFF"/>
      <w:spacing w:before="0" w:line="0" w:lineRule="atLeast"/>
      <w:jc w:val="both"/>
      <w:outlineLvl w:val="2"/>
    </w:pPr>
    <w:rPr>
      <w:rFonts w:ascii="Calibri" w:eastAsia="Calibri" w:hAnsi="Calibri" w:cs="Calibri"/>
      <w:b/>
      <w:bCs/>
      <w:sz w:val="26"/>
      <w:szCs w:val="26"/>
      <w:lang w:val="en-US"/>
    </w:rPr>
  </w:style>
  <w:style w:type="character" w:customStyle="1" w:styleId="Constantia8pt0">
    <w:name w:val="Основной текст + Constantia.8 pt"/>
    <w:basedOn w:val="aff"/>
    <w:rsid w:val="006F4EE0"/>
    <w:rPr>
      <w:rFonts w:ascii="Constantia" w:eastAsia="Constantia" w:hAnsi="Constantia" w:cs="Constantia"/>
      <w:b w:val="0"/>
      <w:bCs w:val="0"/>
      <w:i w:val="0"/>
      <w:iCs w:val="0"/>
      <w:smallCaps w:val="0"/>
      <w:strike w:val="0"/>
      <w:color w:val="000000"/>
      <w:spacing w:val="0"/>
      <w:w w:val="100"/>
      <w:position w:val="0"/>
      <w:sz w:val="16"/>
      <w:szCs w:val="16"/>
      <w:u w:val="none"/>
      <w:shd w:val="clear" w:color="auto" w:fill="FFFFFF"/>
    </w:rPr>
  </w:style>
  <w:style w:type="character" w:customStyle="1" w:styleId="aff3">
    <w:name w:val="Подпись к таблице_"/>
    <w:basedOn w:val="a1"/>
    <w:link w:val="aff4"/>
    <w:rsid w:val="006F4EE0"/>
    <w:rPr>
      <w:rFonts w:ascii="Calibri" w:eastAsia="Calibri" w:hAnsi="Calibri" w:cs="Calibri"/>
      <w:i/>
      <w:iCs/>
      <w:sz w:val="17"/>
      <w:szCs w:val="17"/>
      <w:shd w:val="clear" w:color="auto" w:fill="FFFFFF"/>
    </w:rPr>
  </w:style>
  <w:style w:type="paragraph" w:customStyle="1" w:styleId="aff4">
    <w:name w:val="Подпись к таблице"/>
    <w:basedOn w:val="a0"/>
    <w:link w:val="aff3"/>
    <w:rsid w:val="006F4EE0"/>
    <w:pPr>
      <w:widowControl w:val="0"/>
      <w:shd w:val="clear" w:color="auto" w:fill="FFFFFF"/>
      <w:spacing w:before="0" w:line="0" w:lineRule="atLeast"/>
    </w:pPr>
    <w:rPr>
      <w:rFonts w:ascii="Calibri" w:eastAsia="Calibri" w:hAnsi="Calibri" w:cs="Calibri"/>
      <w:i/>
      <w:iCs/>
      <w:sz w:val="17"/>
      <w:szCs w:val="17"/>
      <w:lang w:val="en-US"/>
    </w:rPr>
  </w:style>
  <w:style w:type="character" w:customStyle="1" w:styleId="aff5">
    <w:name w:val="Основной текст + Полужирный"/>
    <w:basedOn w:val="aff"/>
    <w:rsid w:val="00CD17AD"/>
    <w:rPr>
      <w:rFonts w:ascii="Calibri" w:eastAsia="Calibri" w:hAnsi="Calibri" w:cs="Calibri"/>
      <w:b/>
      <w:bCs/>
      <w:i w:val="0"/>
      <w:iCs w:val="0"/>
      <w:smallCaps w:val="0"/>
      <w:strike w:val="0"/>
      <w:color w:val="000000"/>
      <w:spacing w:val="0"/>
      <w:w w:val="100"/>
      <w:position w:val="0"/>
      <w:sz w:val="18"/>
      <w:szCs w:val="18"/>
      <w:u w:val="none"/>
      <w:shd w:val="clear" w:color="auto" w:fill="FFFFFF"/>
      <w:lang w:val="en-US"/>
    </w:rPr>
  </w:style>
  <w:style w:type="character" w:customStyle="1" w:styleId="34">
    <w:name w:val="Основной текст3"/>
    <w:basedOn w:val="aff"/>
    <w:rsid w:val="00CD17AD"/>
    <w:rPr>
      <w:rFonts w:ascii="Calibri" w:eastAsia="Calibri" w:hAnsi="Calibri" w:cs="Calibri"/>
      <w:b w:val="0"/>
      <w:bCs w:val="0"/>
      <w:i w:val="0"/>
      <w:iCs w:val="0"/>
      <w:smallCaps w:val="0"/>
      <w:strike/>
      <w:color w:val="000000"/>
      <w:spacing w:val="0"/>
      <w:w w:val="100"/>
      <w:position w:val="0"/>
      <w:sz w:val="18"/>
      <w:szCs w:val="18"/>
      <w:u w:val="none"/>
      <w:shd w:val="clear" w:color="auto" w:fill="FFFFFF"/>
      <w:lang w:val="en-US"/>
    </w:rPr>
  </w:style>
  <w:style w:type="character" w:customStyle="1" w:styleId="42">
    <w:name w:val="Основной текст4"/>
    <w:basedOn w:val="aff"/>
    <w:rsid w:val="00CD17AD"/>
    <w:rPr>
      <w:rFonts w:ascii="Calibri" w:eastAsia="Calibri" w:hAnsi="Calibri" w:cs="Calibri"/>
      <w:b w:val="0"/>
      <w:bCs w:val="0"/>
      <w:i w:val="0"/>
      <w:iCs w:val="0"/>
      <w:smallCaps w:val="0"/>
      <w:strike w:val="0"/>
      <w:color w:val="000000"/>
      <w:spacing w:val="0"/>
      <w:w w:val="100"/>
      <w:position w:val="0"/>
      <w:sz w:val="18"/>
      <w:szCs w:val="18"/>
      <w:u w:val="single"/>
      <w:shd w:val="clear" w:color="auto" w:fill="FFFFFF"/>
      <w:lang w:val="en-US"/>
    </w:rPr>
  </w:style>
  <w:style w:type="character" w:customStyle="1" w:styleId="53">
    <w:name w:val="Основной текст5"/>
    <w:basedOn w:val="aff"/>
    <w:rsid w:val="00CD17AD"/>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n-US"/>
    </w:rPr>
  </w:style>
  <w:style w:type="character" w:customStyle="1" w:styleId="26">
    <w:name w:val="Подпись к таблице (2)_"/>
    <w:basedOn w:val="a1"/>
    <w:link w:val="27"/>
    <w:rsid w:val="00E96C47"/>
    <w:rPr>
      <w:rFonts w:ascii="Calibri" w:eastAsia="Calibri" w:hAnsi="Calibri" w:cs="Calibri"/>
      <w:b/>
      <w:bCs/>
      <w:sz w:val="18"/>
      <w:szCs w:val="18"/>
      <w:shd w:val="clear" w:color="auto" w:fill="FFFFFF"/>
    </w:rPr>
  </w:style>
  <w:style w:type="character" w:customStyle="1" w:styleId="85pt">
    <w:name w:val="Основной текст + 8.5 pt.Полужирный"/>
    <w:basedOn w:val="aff"/>
    <w:rsid w:val="00E96C47"/>
    <w:rPr>
      <w:rFonts w:ascii="Calibri" w:eastAsia="Calibri" w:hAnsi="Calibri" w:cs="Calibri"/>
      <w:b/>
      <w:bCs/>
      <w:i w:val="0"/>
      <w:iCs w:val="0"/>
      <w:smallCaps w:val="0"/>
      <w:strike w:val="0"/>
      <w:color w:val="000000"/>
      <w:spacing w:val="0"/>
      <w:w w:val="100"/>
      <w:position w:val="0"/>
      <w:sz w:val="17"/>
      <w:szCs w:val="17"/>
      <w:u w:val="none"/>
      <w:shd w:val="clear" w:color="auto" w:fill="FFFFFF"/>
      <w:lang w:val="en-US"/>
    </w:rPr>
  </w:style>
  <w:style w:type="paragraph" w:customStyle="1" w:styleId="27">
    <w:name w:val="Подпись к таблице (2)"/>
    <w:basedOn w:val="a0"/>
    <w:link w:val="26"/>
    <w:rsid w:val="00E96C47"/>
    <w:pPr>
      <w:widowControl w:val="0"/>
      <w:shd w:val="clear" w:color="auto" w:fill="FFFFFF"/>
      <w:spacing w:before="0" w:line="247" w:lineRule="exact"/>
      <w:jc w:val="both"/>
    </w:pPr>
    <w:rPr>
      <w:rFonts w:ascii="Calibri" w:eastAsia="Calibri" w:hAnsi="Calibri" w:cs="Calibri"/>
      <w:b/>
      <w:bCs/>
      <w:sz w:val="18"/>
      <w:szCs w:val="18"/>
      <w:lang w:val="en-US"/>
    </w:rPr>
  </w:style>
  <w:style w:type="character" w:customStyle="1" w:styleId="6-1pt">
    <w:name w:val="Основной текст (6) + Интервал -1 pt"/>
    <w:basedOn w:val="62"/>
    <w:rsid w:val="00A65168"/>
    <w:rPr>
      <w:rFonts w:ascii="Calibri" w:eastAsia="Calibri" w:hAnsi="Calibri" w:cs="Calibri"/>
      <w:b w:val="0"/>
      <w:bCs w:val="0"/>
      <w:i/>
      <w:iCs/>
      <w:smallCaps w:val="0"/>
      <w:strike w:val="0"/>
      <w:color w:val="000000"/>
      <w:spacing w:val="-30"/>
      <w:w w:val="100"/>
      <w:position w:val="0"/>
      <w:sz w:val="17"/>
      <w:szCs w:val="17"/>
      <w:u w:val="none"/>
      <w:shd w:val="clear" w:color="auto" w:fill="FFFFFF"/>
      <w:lang w:val="en-US"/>
    </w:rPr>
  </w:style>
  <w:style w:type="character" w:customStyle="1" w:styleId="-1pt">
    <w:name w:val="Основной текст + Курсив.Интервал -1 pt"/>
    <w:basedOn w:val="aff"/>
    <w:rsid w:val="00341367"/>
    <w:rPr>
      <w:rFonts w:ascii="Calibri" w:eastAsia="Calibri" w:hAnsi="Calibri" w:cs="Calibri"/>
      <w:b w:val="0"/>
      <w:bCs w:val="0"/>
      <w:i/>
      <w:iCs/>
      <w:smallCaps w:val="0"/>
      <w:strike w:val="0"/>
      <w:color w:val="000000"/>
      <w:spacing w:val="-20"/>
      <w:w w:val="100"/>
      <w:position w:val="0"/>
      <w:sz w:val="18"/>
      <w:szCs w:val="18"/>
      <w:u w:val="none"/>
      <w:shd w:val="clear" w:color="auto" w:fill="FFFFFF"/>
      <w:lang w:val="en-US"/>
    </w:rPr>
  </w:style>
  <w:style w:type="character" w:customStyle="1" w:styleId="6Constantia">
    <w:name w:val="Основной текст (6) + Constantia"/>
    <w:basedOn w:val="62"/>
    <w:rsid w:val="00341367"/>
    <w:rPr>
      <w:rFonts w:ascii="Constantia" w:eastAsia="Constantia" w:hAnsi="Constantia" w:cs="Constantia"/>
      <w:b w:val="0"/>
      <w:bCs w:val="0"/>
      <w:i/>
      <w:iCs/>
      <w:smallCaps w:val="0"/>
      <w:strike w:val="0"/>
      <w:color w:val="000000"/>
      <w:spacing w:val="0"/>
      <w:w w:val="100"/>
      <w:position w:val="0"/>
      <w:sz w:val="17"/>
      <w:szCs w:val="17"/>
      <w:u w:val="none"/>
      <w:shd w:val="clear" w:color="auto" w:fill="FFFFFF"/>
    </w:rPr>
  </w:style>
  <w:style w:type="paragraph" w:customStyle="1" w:styleId="Default">
    <w:name w:val="Default"/>
    <w:rsid w:val="007805E1"/>
    <w:pPr>
      <w:autoSpaceDE w:val="0"/>
      <w:autoSpaceDN w:val="0"/>
      <w:adjustRightInd w:val="0"/>
      <w:spacing w:after="0" w:line="240" w:lineRule="auto"/>
    </w:pPr>
    <w:rPr>
      <w:rFonts w:ascii="Code" w:hAnsi="Code" w:cs="Code"/>
      <w:color w:val="000000"/>
      <w:sz w:val="24"/>
      <w:szCs w:val="24"/>
    </w:rPr>
  </w:style>
  <w:style w:type="paragraph" w:customStyle="1" w:styleId="Pa0">
    <w:name w:val="Pa0"/>
    <w:basedOn w:val="Default"/>
    <w:next w:val="Default"/>
    <w:uiPriority w:val="99"/>
    <w:rsid w:val="007E5011"/>
    <w:pPr>
      <w:spacing w:line="241" w:lineRule="atLeast"/>
    </w:pPr>
    <w:rPr>
      <w:rFonts w:ascii="Myriad Pro" w:hAnsi="Myriad Pro" w:cstheme="minorBidi"/>
      <w:color w:val="auto"/>
    </w:rPr>
  </w:style>
  <w:style w:type="character" w:customStyle="1" w:styleId="A10">
    <w:name w:val="A1"/>
    <w:uiPriority w:val="99"/>
    <w:rsid w:val="007E5011"/>
    <w:rPr>
      <w:rFonts w:cs="Myriad Pro"/>
      <w:b/>
      <w:bCs/>
      <w:color w:val="FFFFFF"/>
      <w:sz w:val="36"/>
      <w:szCs w:val="36"/>
    </w:rPr>
  </w:style>
  <w:style w:type="character" w:customStyle="1" w:styleId="A40">
    <w:name w:val="A4"/>
    <w:uiPriority w:val="99"/>
    <w:rsid w:val="007E5011"/>
    <w:rPr>
      <w:rFonts w:cs="Myriad Pro"/>
      <w:color w:val="1C1C1B"/>
      <w:sz w:val="20"/>
      <w:szCs w:val="20"/>
    </w:rPr>
  </w:style>
  <w:style w:type="character" w:customStyle="1" w:styleId="UnresolvedMention2">
    <w:name w:val="Unresolved Mention2"/>
    <w:basedOn w:val="a1"/>
    <w:uiPriority w:val="99"/>
    <w:semiHidden/>
    <w:unhideWhenUsed/>
    <w:rsid w:val="003B45FC"/>
    <w:rPr>
      <w:color w:val="808080"/>
      <w:shd w:val="clear" w:color="auto" w:fill="E6E6E6"/>
    </w:rPr>
  </w:style>
  <w:style w:type="character" w:customStyle="1" w:styleId="nlmstring-name">
    <w:name w:val="nlm_string-name"/>
    <w:basedOn w:val="a1"/>
    <w:rsid w:val="008C3AD9"/>
  </w:style>
  <w:style w:type="character" w:customStyle="1" w:styleId="journalname">
    <w:name w:val="journalname"/>
    <w:basedOn w:val="a1"/>
    <w:rsid w:val="008C3AD9"/>
  </w:style>
  <w:style w:type="character" w:customStyle="1" w:styleId="year">
    <w:name w:val="year"/>
    <w:basedOn w:val="a1"/>
    <w:rsid w:val="008C3AD9"/>
  </w:style>
  <w:style w:type="character" w:customStyle="1" w:styleId="volume">
    <w:name w:val="volume"/>
    <w:basedOn w:val="a1"/>
    <w:rsid w:val="008C3AD9"/>
  </w:style>
  <w:style w:type="character" w:customStyle="1" w:styleId="issue">
    <w:name w:val="issue"/>
    <w:basedOn w:val="a1"/>
    <w:rsid w:val="008C3AD9"/>
  </w:style>
  <w:style w:type="character" w:customStyle="1" w:styleId="page">
    <w:name w:val="page"/>
    <w:basedOn w:val="a1"/>
    <w:rsid w:val="008C3AD9"/>
  </w:style>
  <w:style w:type="character" w:styleId="aff6">
    <w:name w:val="Strong"/>
    <w:basedOn w:val="a1"/>
    <w:uiPriority w:val="22"/>
    <w:qFormat/>
    <w:rsid w:val="0040303F"/>
    <w:rPr>
      <w:b/>
      <w:bCs/>
    </w:rPr>
  </w:style>
  <w:style w:type="character" w:styleId="aff7">
    <w:name w:val="Emphasis"/>
    <w:basedOn w:val="a1"/>
    <w:uiPriority w:val="20"/>
    <w:qFormat/>
    <w:rsid w:val="00300677"/>
    <w:rPr>
      <w:i/>
      <w:iCs/>
    </w:rPr>
  </w:style>
  <w:style w:type="character" w:customStyle="1" w:styleId="UnresolvedMention3">
    <w:name w:val="Unresolved Mention3"/>
    <w:basedOn w:val="a1"/>
    <w:uiPriority w:val="99"/>
    <w:semiHidden/>
    <w:unhideWhenUsed/>
    <w:rsid w:val="00CE569A"/>
    <w:rPr>
      <w:color w:val="808080"/>
      <w:shd w:val="clear" w:color="auto" w:fill="E6E6E6"/>
    </w:rPr>
  </w:style>
  <w:style w:type="character" w:customStyle="1" w:styleId="em">
    <w:name w:val="em"/>
    <w:basedOn w:val="a1"/>
    <w:rsid w:val="00F8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
      <w:bodyDiv w:val="1"/>
      <w:marLeft w:val="0"/>
      <w:marRight w:val="0"/>
      <w:marTop w:val="0"/>
      <w:marBottom w:val="0"/>
      <w:divBdr>
        <w:top w:val="none" w:sz="0" w:space="0" w:color="auto"/>
        <w:left w:val="none" w:sz="0" w:space="0" w:color="auto"/>
        <w:bottom w:val="none" w:sz="0" w:space="0" w:color="auto"/>
        <w:right w:val="none" w:sz="0" w:space="0" w:color="auto"/>
      </w:divBdr>
    </w:div>
    <w:div w:id="22413364">
      <w:bodyDiv w:val="1"/>
      <w:marLeft w:val="0"/>
      <w:marRight w:val="0"/>
      <w:marTop w:val="0"/>
      <w:marBottom w:val="0"/>
      <w:divBdr>
        <w:top w:val="none" w:sz="0" w:space="0" w:color="auto"/>
        <w:left w:val="none" w:sz="0" w:space="0" w:color="auto"/>
        <w:bottom w:val="none" w:sz="0" w:space="0" w:color="auto"/>
        <w:right w:val="none" w:sz="0" w:space="0" w:color="auto"/>
      </w:divBdr>
    </w:div>
    <w:div w:id="39018621">
      <w:bodyDiv w:val="1"/>
      <w:marLeft w:val="0"/>
      <w:marRight w:val="0"/>
      <w:marTop w:val="0"/>
      <w:marBottom w:val="0"/>
      <w:divBdr>
        <w:top w:val="none" w:sz="0" w:space="0" w:color="auto"/>
        <w:left w:val="none" w:sz="0" w:space="0" w:color="auto"/>
        <w:bottom w:val="none" w:sz="0" w:space="0" w:color="auto"/>
        <w:right w:val="none" w:sz="0" w:space="0" w:color="auto"/>
      </w:divBdr>
    </w:div>
    <w:div w:id="50429573">
      <w:bodyDiv w:val="1"/>
      <w:marLeft w:val="0"/>
      <w:marRight w:val="0"/>
      <w:marTop w:val="0"/>
      <w:marBottom w:val="0"/>
      <w:divBdr>
        <w:top w:val="none" w:sz="0" w:space="0" w:color="auto"/>
        <w:left w:val="none" w:sz="0" w:space="0" w:color="auto"/>
        <w:bottom w:val="none" w:sz="0" w:space="0" w:color="auto"/>
        <w:right w:val="none" w:sz="0" w:space="0" w:color="auto"/>
      </w:divBdr>
    </w:div>
    <w:div w:id="149953571">
      <w:bodyDiv w:val="1"/>
      <w:marLeft w:val="0"/>
      <w:marRight w:val="0"/>
      <w:marTop w:val="0"/>
      <w:marBottom w:val="0"/>
      <w:divBdr>
        <w:top w:val="none" w:sz="0" w:space="0" w:color="auto"/>
        <w:left w:val="none" w:sz="0" w:space="0" w:color="auto"/>
        <w:bottom w:val="none" w:sz="0" w:space="0" w:color="auto"/>
        <w:right w:val="none" w:sz="0" w:space="0" w:color="auto"/>
      </w:divBdr>
    </w:div>
    <w:div w:id="207492133">
      <w:bodyDiv w:val="1"/>
      <w:marLeft w:val="0"/>
      <w:marRight w:val="0"/>
      <w:marTop w:val="0"/>
      <w:marBottom w:val="0"/>
      <w:divBdr>
        <w:top w:val="none" w:sz="0" w:space="0" w:color="auto"/>
        <w:left w:val="none" w:sz="0" w:space="0" w:color="auto"/>
        <w:bottom w:val="none" w:sz="0" w:space="0" w:color="auto"/>
        <w:right w:val="none" w:sz="0" w:space="0" w:color="auto"/>
      </w:divBdr>
    </w:div>
    <w:div w:id="250818108">
      <w:bodyDiv w:val="1"/>
      <w:marLeft w:val="0"/>
      <w:marRight w:val="0"/>
      <w:marTop w:val="0"/>
      <w:marBottom w:val="0"/>
      <w:divBdr>
        <w:top w:val="none" w:sz="0" w:space="0" w:color="auto"/>
        <w:left w:val="none" w:sz="0" w:space="0" w:color="auto"/>
        <w:bottom w:val="none" w:sz="0" w:space="0" w:color="auto"/>
        <w:right w:val="none" w:sz="0" w:space="0" w:color="auto"/>
      </w:divBdr>
    </w:div>
    <w:div w:id="279189096">
      <w:bodyDiv w:val="1"/>
      <w:marLeft w:val="0"/>
      <w:marRight w:val="0"/>
      <w:marTop w:val="0"/>
      <w:marBottom w:val="0"/>
      <w:divBdr>
        <w:top w:val="none" w:sz="0" w:space="0" w:color="auto"/>
        <w:left w:val="none" w:sz="0" w:space="0" w:color="auto"/>
        <w:bottom w:val="none" w:sz="0" w:space="0" w:color="auto"/>
        <w:right w:val="none" w:sz="0" w:space="0" w:color="auto"/>
      </w:divBdr>
    </w:div>
    <w:div w:id="330526800">
      <w:bodyDiv w:val="1"/>
      <w:marLeft w:val="0"/>
      <w:marRight w:val="0"/>
      <w:marTop w:val="0"/>
      <w:marBottom w:val="0"/>
      <w:divBdr>
        <w:top w:val="none" w:sz="0" w:space="0" w:color="auto"/>
        <w:left w:val="none" w:sz="0" w:space="0" w:color="auto"/>
        <w:bottom w:val="none" w:sz="0" w:space="0" w:color="auto"/>
        <w:right w:val="none" w:sz="0" w:space="0" w:color="auto"/>
      </w:divBdr>
    </w:div>
    <w:div w:id="357005925">
      <w:bodyDiv w:val="1"/>
      <w:marLeft w:val="0"/>
      <w:marRight w:val="0"/>
      <w:marTop w:val="0"/>
      <w:marBottom w:val="0"/>
      <w:divBdr>
        <w:top w:val="none" w:sz="0" w:space="0" w:color="auto"/>
        <w:left w:val="none" w:sz="0" w:space="0" w:color="auto"/>
        <w:bottom w:val="none" w:sz="0" w:space="0" w:color="auto"/>
        <w:right w:val="none" w:sz="0" w:space="0" w:color="auto"/>
      </w:divBdr>
    </w:div>
    <w:div w:id="362286558">
      <w:bodyDiv w:val="1"/>
      <w:marLeft w:val="0"/>
      <w:marRight w:val="0"/>
      <w:marTop w:val="0"/>
      <w:marBottom w:val="0"/>
      <w:divBdr>
        <w:top w:val="none" w:sz="0" w:space="0" w:color="auto"/>
        <w:left w:val="none" w:sz="0" w:space="0" w:color="auto"/>
        <w:bottom w:val="none" w:sz="0" w:space="0" w:color="auto"/>
        <w:right w:val="none" w:sz="0" w:space="0" w:color="auto"/>
      </w:divBdr>
    </w:div>
    <w:div w:id="416438386">
      <w:bodyDiv w:val="1"/>
      <w:marLeft w:val="0"/>
      <w:marRight w:val="0"/>
      <w:marTop w:val="0"/>
      <w:marBottom w:val="0"/>
      <w:divBdr>
        <w:top w:val="none" w:sz="0" w:space="0" w:color="auto"/>
        <w:left w:val="none" w:sz="0" w:space="0" w:color="auto"/>
        <w:bottom w:val="none" w:sz="0" w:space="0" w:color="auto"/>
        <w:right w:val="none" w:sz="0" w:space="0" w:color="auto"/>
      </w:divBdr>
    </w:div>
    <w:div w:id="430201876">
      <w:bodyDiv w:val="1"/>
      <w:marLeft w:val="0"/>
      <w:marRight w:val="0"/>
      <w:marTop w:val="0"/>
      <w:marBottom w:val="0"/>
      <w:divBdr>
        <w:top w:val="none" w:sz="0" w:space="0" w:color="auto"/>
        <w:left w:val="none" w:sz="0" w:space="0" w:color="auto"/>
        <w:bottom w:val="none" w:sz="0" w:space="0" w:color="auto"/>
        <w:right w:val="none" w:sz="0" w:space="0" w:color="auto"/>
      </w:divBdr>
    </w:div>
    <w:div w:id="458494920">
      <w:bodyDiv w:val="1"/>
      <w:marLeft w:val="0"/>
      <w:marRight w:val="0"/>
      <w:marTop w:val="0"/>
      <w:marBottom w:val="0"/>
      <w:divBdr>
        <w:top w:val="none" w:sz="0" w:space="0" w:color="auto"/>
        <w:left w:val="none" w:sz="0" w:space="0" w:color="auto"/>
        <w:bottom w:val="none" w:sz="0" w:space="0" w:color="auto"/>
        <w:right w:val="none" w:sz="0" w:space="0" w:color="auto"/>
      </w:divBdr>
    </w:div>
    <w:div w:id="480464381">
      <w:bodyDiv w:val="1"/>
      <w:marLeft w:val="0"/>
      <w:marRight w:val="0"/>
      <w:marTop w:val="0"/>
      <w:marBottom w:val="0"/>
      <w:divBdr>
        <w:top w:val="none" w:sz="0" w:space="0" w:color="auto"/>
        <w:left w:val="none" w:sz="0" w:space="0" w:color="auto"/>
        <w:bottom w:val="none" w:sz="0" w:space="0" w:color="auto"/>
        <w:right w:val="none" w:sz="0" w:space="0" w:color="auto"/>
      </w:divBdr>
    </w:div>
    <w:div w:id="637105812">
      <w:bodyDiv w:val="1"/>
      <w:marLeft w:val="0"/>
      <w:marRight w:val="0"/>
      <w:marTop w:val="0"/>
      <w:marBottom w:val="0"/>
      <w:divBdr>
        <w:top w:val="none" w:sz="0" w:space="0" w:color="auto"/>
        <w:left w:val="none" w:sz="0" w:space="0" w:color="auto"/>
        <w:bottom w:val="none" w:sz="0" w:space="0" w:color="auto"/>
        <w:right w:val="none" w:sz="0" w:space="0" w:color="auto"/>
      </w:divBdr>
    </w:div>
    <w:div w:id="697630908">
      <w:bodyDiv w:val="1"/>
      <w:marLeft w:val="0"/>
      <w:marRight w:val="0"/>
      <w:marTop w:val="0"/>
      <w:marBottom w:val="0"/>
      <w:divBdr>
        <w:top w:val="none" w:sz="0" w:space="0" w:color="auto"/>
        <w:left w:val="none" w:sz="0" w:space="0" w:color="auto"/>
        <w:bottom w:val="none" w:sz="0" w:space="0" w:color="auto"/>
        <w:right w:val="none" w:sz="0" w:space="0" w:color="auto"/>
      </w:divBdr>
    </w:div>
    <w:div w:id="734470625">
      <w:bodyDiv w:val="1"/>
      <w:marLeft w:val="0"/>
      <w:marRight w:val="0"/>
      <w:marTop w:val="0"/>
      <w:marBottom w:val="0"/>
      <w:divBdr>
        <w:top w:val="none" w:sz="0" w:space="0" w:color="auto"/>
        <w:left w:val="none" w:sz="0" w:space="0" w:color="auto"/>
        <w:bottom w:val="none" w:sz="0" w:space="0" w:color="auto"/>
        <w:right w:val="none" w:sz="0" w:space="0" w:color="auto"/>
      </w:divBdr>
      <w:divsChild>
        <w:div w:id="117603775">
          <w:marLeft w:val="1080"/>
          <w:marRight w:val="0"/>
          <w:marTop w:val="100"/>
          <w:marBottom w:val="0"/>
          <w:divBdr>
            <w:top w:val="none" w:sz="0" w:space="0" w:color="auto"/>
            <w:left w:val="none" w:sz="0" w:space="0" w:color="auto"/>
            <w:bottom w:val="none" w:sz="0" w:space="0" w:color="auto"/>
            <w:right w:val="none" w:sz="0" w:space="0" w:color="auto"/>
          </w:divBdr>
        </w:div>
        <w:div w:id="298078351">
          <w:marLeft w:val="1080"/>
          <w:marRight w:val="0"/>
          <w:marTop w:val="100"/>
          <w:marBottom w:val="0"/>
          <w:divBdr>
            <w:top w:val="none" w:sz="0" w:space="0" w:color="auto"/>
            <w:left w:val="none" w:sz="0" w:space="0" w:color="auto"/>
            <w:bottom w:val="none" w:sz="0" w:space="0" w:color="auto"/>
            <w:right w:val="none" w:sz="0" w:space="0" w:color="auto"/>
          </w:divBdr>
        </w:div>
        <w:div w:id="466240714">
          <w:marLeft w:val="1080"/>
          <w:marRight w:val="0"/>
          <w:marTop w:val="100"/>
          <w:marBottom w:val="0"/>
          <w:divBdr>
            <w:top w:val="none" w:sz="0" w:space="0" w:color="auto"/>
            <w:left w:val="none" w:sz="0" w:space="0" w:color="auto"/>
            <w:bottom w:val="none" w:sz="0" w:space="0" w:color="auto"/>
            <w:right w:val="none" w:sz="0" w:space="0" w:color="auto"/>
          </w:divBdr>
        </w:div>
        <w:div w:id="634869569">
          <w:marLeft w:val="360"/>
          <w:marRight w:val="0"/>
          <w:marTop w:val="200"/>
          <w:marBottom w:val="0"/>
          <w:divBdr>
            <w:top w:val="none" w:sz="0" w:space="0" w:color="auto"/>
            <w:left w:val="none" w:sz="0" w:space="0" w:color="auto"/>
            <w:bottom w:val="none" w:sz="0" w:space="0" w:color="auto"/>
            <w:right w:val="none" w:sz="0" w:space="0" w:color="auto"/>
          </w:divBdr>
        </w:div>
        <w:div w:id="1183088552">
          <w:marLeft w:val="1080"/>
          <w:marRight w:val="0"/>
          <w:marTop w:val="100"/>
          <w:marBottom w:val="0"/>
          <w:divBdr>
            <w:top w:val="none" w:sz="0" w:space="0" w:color="auto"/>
            <w:left w:val="none" w:sz="0" w:space="0" w:color="auto"/>
            <w:bottom w:val="none" w:sz="0" w:space="0" w:color="auto"/>
            <w:right w:val="none" w:sz="0" w:space="0" w:color="auto"/>
          </w:divBdr>
        </w:div>
        <w:div w:id="1238788069">
          <w:marLeft w:val="360"/>
          <w:marRight w:val="0"/>
          <w:marTop w:val="200"/>
          <w:marBottom w:val="0"/>
          <w:divBdr>
            <w:top w:val="none" w:sz="0" w:space="0" w:color="auto"/>
            <w:left w:val="none" w:sz="0" w:space="0" w:color="auto"/>
            <w:bottom w:val="none" w:sz="0" w:space="0" w:color="auto"/>
            <w:right w:val="none" w:sz="0" w:space="0" w:color="auto"/>
          </w:divBdr>
        </w:div>
        <w:div w:id="1747800841">
          <w:marLeft w:val="360"/>
          <w:marRight w:val="0"/>
          <w:marTop w:val="200"/>
          <w:marBottom w:val="0"/>
          <w:divBdr>
            <w:top w:val="none" w:sz="0" w:space="0" w:color="auto"/>
            <w:left w:val="none" w:sz="0" w:space="0" w:color="auto"/>
            <w:bottom w:val="none" w:sz="0" w:space="0" w:color="auto"/>
            <w:right w:val="none" w:sz="0" w:space="0" w:color="auto"/>
          </w:divBdr>
        </w:div>
        <w:div w:id="2059432375">
          <w:marLeft w:val="1080"/>
          <w:marRight w:val="0"/>
          <w:marTop w:val="100"/>
          <w:marBottom w:val="0"/>
          <w:divBdr>
            <w:top w:val="none" w:sz="0" w:space="0" w:color="auto"/>
            <w:left w:val="none" w:sz="0" w:space="0" w:color="auto"/>
            <w:bottom w:val="none" w:sz="0" w:space="0" w:color="auto"/>
            <w:right w:val="none" w:sz="0" w:space="0" w:color="auto"/>
          </w:divBdr>
        </w:div>
        <w:div w:id="2069113717">
          <w:marLeft w:val="360"/>
          <w:marRight w:val="0"/>
          <w:marTop w:val="200"/>
          <w:marBottom w:val="0"/>
          <w:divBdr>
            <w:top w:val="none" w:sz="0" w:space="0" w:color="auto"/>
            <w:left w:val="none" w:sz="0" w:space="0" w:color="auto"/>
            <w:bottom w:val="none" w:sz="0" w:space="0" w:color="auto"/>
            <w:right w:val="none" w:sz="0" w:space="0" w:color="auto"/>
          </w:divBdr>
        </w:div>
      </w:divsChild>
    </w:div>
    <w:div w:id="737096181">
      <w:bodyDiv w:val="1"/>
      <w:marLeft w:val="0"/>
      <w:marRight w:val="0"/>
      <w:marTop w:val="0"/>
      <w:marBottom w:val="0"/>
      <w:divBdr>
        <w:top w:val="none" w:sz="0" w:space="0" w:color="auto"/>
        <w:left w:val="none" w:sz="0" w:space="0" w:color="auto"/>
        <w:bottom w:val="none" w:sz="0" w:space="0" w:color="auto"/>
        <w:right w:val="none" w:sz="0" w:space="0" w:color="auto"/>
      </w:divBdr>
    </w:div>
    <w:div w:id="757017390">
      <w:bodyDiv w:val="1"/>
      <w:marLeft w:val="0"/>
      <w:marRight w:val="0"/>
      <w:marTop w:val="0"/>
      <w:marBottom w:val="0"/>
      <w:divBdr>
        <w:top w:val="none" w:sz="0" w:space="0" w:color="auto"/>
        <w:left w:val="none" w:sz="0" w:space="0" w:color="auto"/>
        <w:bottom w:val="none" w:sz="0" w:space="0" w:color="auto"/>
        <w:right w:val="none" w:sz="0" w:space="0" w:color="auto"/>
      </w:divBdr>
    </w:div>
    <w:div w:id="783770121">
      <w:bodyDiv w:val="1"/>
      <w:marLeft w:val="0"/>
      <w:marRight w:val="0"/>
      <w:marTop w:val="0"/>
      <w:marBottom w:val="0"/>
      <w:divBdr>
        <w:top w:val="none" w:sz="0" w:space="0" w:color="auto"/>
        <w:left w:val="none" w:sz="0" w:space="0" w:color="auto"/>
        <w:bottom w:val="none" w:sz="0" w:space="0" w:color="auto"/>
        <w:right w:val="none" w:sz="0" w:space="0" w:color="auto"/>
      </w:divBdr>
    </w:div>
    <w:div w:id="884827697">
      <w:bodyDiv w:val="1"/>
      <w:marLeft w:val="0"/>
      <w:marRight w:val="0"/>
      <w:marTop w:val="0"/>
      <w:marBottom w:val="0"/>
      <w:divBdr>
        <w:top w:val="none" w:sz="0" w:space="0" w:color="auto"/>
        <w:left w:val="none" w:sz="0" w:space="0" w:color="auto"/>
        <w:bottom w:val="none" w:sz="0" w:space="0" w:color="auto"/>
        <w:right w:val="none" w:sz="0" w:space="0" w:color="auto"/>
      </w:divBdr>
    </w:div>
    <w:div w:id="889416222">
      <w:bodyDiv w:val="1"/>
      <w:marLeft w:val="0"/>
      <w:marRight w:val="0"/>
      <w:marTop w:val="0"/>
      <w:marBottom w:val="0"/>
      <w:divBdr>
        <w:top w:val="none" w:sz="0" w:space="0" w:color="auto"/>
        <w:left w:val="none" w:sz="0" w:space="0" w:color="auto"/>
        <w:bottom w:val="none" w:sz="0" w:space="0" w:color="auto"/>
        <w:right w:val="none" w:sz="0" w:space="0" w:color="auto"/>
      </w:divBdr>
    </w:div>
    <w:div w:id="902956700">
      <w:bodyDiv w:val="1"/>
      <w:marLeft w:val="0"/>
      <w:marRight w:val="0"/>
      <w:marTop w:val="0"/>
      <w:marBottom w:val="0"/>
      <w:divBdr>
        <w:top w:val="none" w:sz="0" w:space="0" w:color="auto"/>
        <w:left w:val="none" w:sz="0" w:space="0" w:color="auto"/>
        <w:bottom w:val="none" w:sz="0" w:space="0" w:color="auto"/>
        <w:right w:val="none" w:sz="0" w:space="0" w:color="auto"/>
      </w:divBdr>
    </w:div>
    <w:div w:id="976447977">
      <w:bodyDiv w:val="1"/>
      <w:marLeft w:val="0"/>
      <w:marRight w:val="0"/>
      <w:marTop w:val="0"/>
      <w:marBottom w:val="0"/>
      <w:divBdr>
        <w:top w:val="none" w:sz="0" w:space="0" w:color="auto"/>
        <w:left w:val="none" w:sz="0" w:space="0" w:color="auto"/>
        <w:bottom w:val="none" w:sz="0" w:space="0" w:color="auto"/>
        <w:right w:val="none" w:sz="0" w:space="0" w:color="auto"/>
      </w:divBdr>
    </w:div>
    <w:div w:id="982126252">
      <w:bodyDiv w:val="1"/>
      <w:marLeft w:val="0"/>
      <w:marRight w:val="0"/>
      <w:marTop w:val="0"/>
      <w:marBottom w:val="0"/>
      <w:divBdr>
        <w:top w:val="none" w:sz="0" w:space="0" w:color="auto"/>
        <w:left w:val="none" w:sz="0" w:space="0" w:color="auto"/>
        <w:bottom w:val="none" w:sz="0" w:space="0" w:color="auto"/>
        <w:right w:val="none" w:sz="0" w:space="0" w:color="auto"/>
      </w:divBdr>
    </w:div>
    <w:div w:id="1000042970">
      <w:bodyDiv w:val="1"/>
      <w:marLeft w:val="0"/>
      <w:marRight w:val="0"/>
      <w:marTop w:val="0"/>
      <w:marBottom w:val="0"/>
      <w:divBdr>
        <w:top w:val="none" w:sz="0" w:space="0" w:color="auto"/>
        <w:left w:val="none" w:sz="0" w:space="0" w:color="auto"/>
        <w:bottom w:val="none" w:sz="0" w:space="0" w:color="auto"/>
        <w:right w:val="none" w:sz="0" w:space="0" w:color="auto"/>
      </w:divBdr>
    </w:div>
    <w:div w:id="1019543679">
      <w:bodyDiv w:val="1"/>
      <w:marLeft w:val="0"/>
      <w:marRight w:val="0"/>
      <w:marTop w:val="0"/>
      <w:marBottom w:val="0"/>
      <w:divBdr>
        <w:top w:val="none" w:sz="0" w:space="0" w:color="auto"/>
        <w:left w:val="none" w:sz="0" w:space="0" w:color="auto"/>
        <w:bottom w:val="none" w:sz="0" w:space="0" w:color="auto"/>
        <w:right w:val="none" w:sz="0" w:space="0" w:color="auto"/>
      </w:divBdr>
    </w:div>
    <w:div w:id="1021395573">
      <w:bodyDiv w:val="1"/>
      <w:marLeft w:val="0"/>
      <w:marRight w:val="0"/>
      <w:marTop w:val="0"/>
      <w:marBottom w:val="0"/>
      <w:divBdr>
        <w:top w:val="none" w:sz="0" w:space="0" w:color="auto"/>
        <w:left w:val="none" w:sz="0" w:space="0" w:color="auto"/>
        <w:bottom w:val="none" w:sz="0" w:space="0" w:color="auto"/>
        <w:right w:val="none" w:sz="0" w:space="0" w:color="auto"/>
      </w:divBdr>
    </w:div>
    <w:div w:id="1042636933">
      <w:bodyDiv w:val="1"/>
      <w:marLeft w:val="0"/>
      <w:marRight w:val="0"/>
      <w:marTop w:val="0"/>
      <w:marBottom w:val="0"/>
      <w:divBdr>
        <w:top w:val="none" w:sz="0" w:space="0" w:color="auto"/>
        <w:left w:val="none" w:sz="0" w:space="0" w:color="auto"/>
        <w:bottom w:val="none" w:sz="0" w:space="0" w:color="auto"/>
        <w:right w:val="none" w:sz="0" w:space="0" w:color="auto"/>
      </w:divBdr>
      <w:divsChild>
        <w:div w:id="291248245">
          <w:marLeft w:val="0"/>
          <w:marRight w:val="0"/>
          <w:marTop w:val="0"/>
          <w:marBottom w:val="0"/>
          <w:divBdr>
            <w:top w:val="none" w:sz="0" w:space="0" w:color="auto"/>
            <w:left w:val="none" w:sz="0" w:space="0" w:color="auto"/>
            <w:bottom w:val="none" w:sz="0" w:space="0" w:color="auto"/>
            <w:right w:val="none" w:sz="0" w:space="0" w:color="auto"/>
          </w:divBdr>
        </w:div>
        <w:div w:id="1535539612">
          <w:marLeft w:val="0"/>
          <w:marRight w:val="0"/>
          <w:marTop w:val="0"/>
          <w:marBottom w:val="0"/>
          <w:divBdr>
            <w:top w:val="none" w:sz="0" w:space="0" w:color="auto"/>
            <w:left w:val="none" w:sz="0" w:space="0" w:color="auto"/>
            <w:bottom w:val="none" w:sz="0" w:space="0" w:color="auto"/>
            <w:right w:val="none" w:sz="0" w:space="0" w:color="auto"/>
          </w:divBdr>
        </w:div>
      </w:divsChild>
    </w:div>
    <w:div w:id="1050499015">
      <w:bodyDiv w:val="1"/>
      <w:marLeft w:val="0"/>
      <w:marRight w:val="0"/>
      <w:marTop w:val="0"/>
      <w:marBottom w:val="0"/>
      <w:divBdr>
        <w:top w:val="none" w:sz="0" w:space="0" w:color="auto"/>
        <w:left w:val="none" w:sz="0" w:space="0" w:color="auto"/>
        <w:bottom w:val="none" w:sz="0" w:space="0" w:color="auto"/>
        <w:right w:val="none" w:sz="0" w:space="0" w:color="auto"/>
      </w:divBdr>
    </w:div>
    <w:div w:id="1053314478">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149590717">
      <w:bodyDiv w:val="1"/>
      <w:marLeft w:val="0"/>
      <w:marRight w:val="0"/>
      <w:marTop w:val="0"/>
      <w:marBottom w:val="0"/>
      <w:divBdr>
        <w:top w:val="none" w:sz="0" w:space="0" w:color="auto"/>
        <w:left w:val="none" w:sz="0" w:space="0" w:color="auto"/>
        <w:bottom w:val="none" w:sz="0" w:space="0" w:color="auto"/>
        <w:right w:val="none" w:sz="0" w:space="0" w:color="auto"/>
      </w:divBdr>
      <w:divsChild>
        <w:div w:id="106389678">
          <w:marLeft w:val="1080"/>
          <w:marRight w:val="0"/>
          <w:marTop w:val="100"/>
          <w:marBottom w:val="0"/>
          <w:divBdr>
            <w:top w:val="none" w:sz="0" w:space="0" w:color="auto"/>
            <w:left w:val="none" w:sz="0" w:space="0" w:color="auto"/>
            <w:bottom w:val="none" w:sz="0" w:space="0" w:color="auto"/>
            <w:right w:val="none" w:sz="0" w:space="0" w:color="auto"/>
          </w:divBdr>
        </w:div>
        <w:div w:id="179399011">
          <w:marLeft w:val="1080"/>
          <w:marRight w:val="0"/>
          <w:marTop w:val="100"/>
          <w:marBottom w:val="0"/>
          <w:divBdr>
            <w:top w:val="none" w:sz="0" w:space="0" w:color="auto"/>
            <w:left w:val="none" w:sz="0" w:space="0" w:color="auto"/>
            <w:bottom w:val="none" w:sz="0" w:space="0" w:color="auto"/>
            <w:right w:val="none" w:sz="0" w:space="0" w:color="auto"/>
          </w:divBdr>
        </w:div>
        <w:div w:id="182594331">
          <w:marLeft w:val="1080"/>
          <w:marRight w:val="0"/>
          <w:marTop w:val="100"/>
          <w:marBottom w:val="0"/>
          <w:divBdr>
            <w:top w:val="none" w:sz="0" w:space="0" w:color="auto"/>
            <w:left w:val="none" w:sz="0" w:space="0" w:color="auto"/>
            <w:bottom w:val="none" w:sz="0" w:space="0" w:color="auto"/>
            <w:right w:val="none" w:sz="0" w:space="0" w:color="auto"/>
          </w:divBdr>
        </w:div>
        <w:div w:id="349338434">
          <w:marLeft w:val="360"/>
          <w:marRight w:val="0"/>
          <w:marTop w:val="200"/>
          <w:marBottom w:val="0"/>
          <w:divBdr>
            <w:top w:val="none" w:sz="0" w:space="0" w:color="auto"/>
            <w:left w:val="none" w:sz="0" w:space="0" w:color="auto"/>
            <w:bottom w:val="none" w:sz="0" w:space="0" w:color="auto"/>
            <w:right w:val="none" w:sz="0" w:space="0" w:color="auto"/>
          </w:divBdr>
        </w:div>
        <w:div w:id="359357099">
          <w:marLeft w:val="360"/>
          <w:marRight w:val="0"/>
          <w:marTop w:val="200"/>
          <w:marBottom w:val="0"/>
          <w:divBdr>
            <w:top w:val="none" w:sz="0" w:space="0" w:color="auto"/>
            <w:left w:val="none" w:sz="0" w:space="0" w:color="auto"/>
            <w:bottom w:val="none" w:sz="0" w:space="0" w:color="auto"/>
            <w:right w:val="none" w:sz="0" w:space="0" w:color="auto"/>
          </w:divBdr>
        </w:div>
        <w:div w:id="446853547">
          <w:marLeft w:val="1080"/>
          <w:marRight w:val="0"/>
          <w:marTop w:val="100"/>
          <w:marBottom w:val="0"/>
          <w:divBdr>
            <w:top w:val="none" w:sz="0" w:space="0" w:color="auto"/>
            <w:left w:val="none" w:sz="0" w:space="0" w:color="auto"/>
            <w:bottom w:val="none" w:sz="0" w:space="0" w:color="auto"/>
            <w:right w:val="none" w:sz="0" w:space="0" w:color="auto"/>
          </w:divBdr>
        </w:div>
        <w:div w:id="995643084">
          <w:marLeft w:val="1080"/>
          <w:marRight w:val="0"/>
          <w:marTop w:val="100"/>
          <w:marBottom w:val="0"/>
          <w:divBdr>
            <w:top w:val="none" w:sz="0" w:space="0" w:color="auto"/>
            <w:left w:val="none" w:sz="0" w:space="0" w:color="auto"/>
            <w:bottom w:val="none" w:sz="0" w:space="0" w:color="auto"/>
            <w:right w:val="none" w:sz="0" w:space="0" w:color="auto"/>
          </w:divBdr>
        </w:div>
      </w:divsChild>
    </w:div>
    <w:div w:id="1150442478">
      <w:bodyDiv w:val="1"/>
      <w:marLeft w:val="0"/>
      <w:marRight w:val="0"/>
      <w:marTop w:val="0"/>
      <w:marBottom w:val="0"/>
      <w:divBdr>
        <w:top w:val="none" w:sz="0" w:space="0" w:color="auto"/>
        <w:left w:val="none" w:sz="0" w:space="0" w:color="auto"/>
        <w:bottom w:val="none" w:sz="0" w:space="0" w:color="auto"/>
        <w:right w:val="none" w:sz="0" w:space="0" w:color="auto"/>
      </w:divBdr>
    </w:div>
    <w:div w:id="1173447099">
      <w:bodyDiv w:val="1"/>
      <w:marLeft w:val="0"/>
      <w:marRight w:val="0"/>
      <w:marTop w:val="0"/>
      <w:marBottom w:val="0"/>
      <w:divBdr>
        <w:top w:val="none" w:sz="0" w:space="0" w:color="auto"/>
        <w:left w:val="none" w:sz="0" w:space="0" w:color="auto"/>
        <w:bottom w:val="none" w:sz="0" w:space="0" w:color="auto"/>
        <w:right w:val="none" w:sz="0" w:space="0" w:color="auto"/>
      </w:divBdr>
    </w:div>
    <w:div w:id="1202478744">
      <w:bodyDiv w:val="1"/>
      <w:marLeft w:val="0"/>
      <w:marRight w:val="0"/>
      <w:marTop w:val="0"/>
      <w:marBottom w:val="0"/>
      <w:divBdr>
        <w:top w:val="none" w:sz="0" w:space="0" w:color="auto"/>
        <w:left w:val="none" w:sz="0" w:space="0" w:color="auto"/>
        <w:bottom w:val="none" w:sz="0" w:space="0" w:color="auto"/>
        <w:right w:val="none" w:sz="0" w:space="0" w:color="auto"/>
      </w:divBdr>
      <w:divsChild>
        <w:div w:id="7608465">
          <w:marLeft w:val="360"/>
          <w:marRight w:val="0"/>
          <w:marTop w:val="200"/>
          <w:marBottom w:val="0"/>
          <w:divBdr>
            <w:top w:val="none" w:sz="0" w:space="0" w:color="auto"/>
            <w:left w:val="none" w:sz="0" w:space="0" w:color="auto"/>
            <w:bottom w:val="none" w:sz="0" w:space="0" w:color="auto"/>
            <w:right w:val="none" w:sz="0" w:space="0" w:color="auto"/>
          </w:divBdr>
        </w:div>
        <w:div w:id="45959297">
          <w:marLeft w:val="360"/>
          <w:marRight w:val="0"/>
          <w:marTop w:val="200"/>
          <w:marBottom w:val="0"/>
          <w:divBdr>
            <w:top w:val="none" w:sz="0" w:space="0" w:color="auto"/>
            <w:left w:val="none" w:sz="0" w:space="0" w:color="auto"/>
            <w:bottom w:val="none" w:sz="0" w:space="0" w:color="auto"/>
            <w:right w:val="none" w:sz="0" w:space="0" w:color="auto"/>
          </w:divBdr>
        </w:div>
        <w:div w:id="53507641">
          <w:marLeft w:val="360"/>
          <w:marRight w:val="0"/>
          <w:marTop w:val="200"/>
          <w:marBottom w:val="0"/>
          <w:divBdr>
            <w:top w:val="none" w:sz="0" w:space="0" w:color="auto"/>
            <w:left w:val="none" w:sz="0" w:space="0" w:color="auto"/>
            <w:bottom w:val="none" w:sz="0" w:space="0" w:color="auto"/>
            <w:right w:val="none" w:sz="0" w:space="0" w:color="auto"/>
          </w:divBdr>
        </w:div>
        <w:div w:id="61828442">
          <w:marLeft w:val="1080"/>
          <w:marRight w:val="0"/>
          <w:marTop w:val="100"/>
          <w:marBottom w:val="0"/>
          <w:divBdr>
            <w:top w:val="none" w:sz="0" w:space="0" w:color="auto"/>
            <w:left w:val="none" w:sz="0" w:space="0" w:color="auto"/>
            <w:bottom w:val="none" w:sz="0" w:space="0" w:color="auto"/>
            <w:right w:val="none" w:sz="0" w:space="0" w:color="auto"/>
          </w:divBdr>
        </w:div>
        <w:div w:id="65542814">
          <w:marLeft w:val="360"/>
          <w:marRight w:val="0"/>
          <w:marTop w:val="200"/>
          <w:marBottom w:val="0"/>
          <w:divBdr>
            <w:top w:val="none" w:sz="0" w:space="0" w:color="auto"/>
            <w:left w:val="none" w:sz="0" w:space="0" w:color="auto"/>
            <w:bottom w:val="none" w:sz="0" w:space="0" w:color="auto"/>
            <w:right w:val="none" w:sz="0" w:space="0" w:color="auto"/>
          </w:divBdr>
        </w:div>
        <w:div w:id="98915847">
          <w:marLeft w:val="1080"/>
          <w:marRight w:val="0"/>
          <w:marTop w:val="100"/>
          <w:marBottom w:val="0"/>
          <w:divBdr>
            <w:top w:val="none" w:sz="0" w:space="0" w:color="auto"/>
            <w:left w:val="none" w:sz="0" w:space="0" w:color="auto"/>
            <w:bottom w:val="none" w:sz="0" w:space="0" w:color="auto"/>
            <w:right w:val="none" w:sz="0" w:space="0" w:color="auto"/>
          </w:divBdr>
        </w:div>
        <w:div w:id="107050424">
          <w:marLeft w:val="1080"/>
          <w:marRight w:val="0"/>
          <w:marTop w:val="100"/>
          <w:marBottom w:val="0"/>
          <w:divBdr>
            <w:top w:val="none" w:sz="0" w:space="0" w:color="auto"/>
            <w:left w:val="none" w:sz="0" w:space="0" w:color="auto"/>
            <w:bottom w:val="none" w:sz="0" w:space="0" w:color="auto"/>
            <w:right w:val="none" w:sz="0" w:space="0" w:color="auto"/>
          </w:divBdr>
        </w:div>
        <w:div w:id="116608319">
          <w:marLeft w:val="1080"/>
          <w:marRight w:val="0"/>
          <w:marTop w:val="100"/>
          <w:marBottom w:val="0"/>
          <w:divBdr>
            <w:top w:val="none" w:sz="0" w:space="0" w:color="auto"/>
            <w:left w:val="none" w:sz="0" w:space="0" w:color="auto"/>
            <w:bottom w:val="none" w:sz="0" w:space="0" w:color="auto"/>
            <w:right w:val="none" w:sz="0" w:space="0" w:color="auto"/>
          </w:divBdr>
        </w:div>
        <w:div w:id="116880543">
          <w:marLeft w:val="1080"/>
          <w:marRight w:val="0"/>
          <w:marTop w:val="100"/>
          <w:marBottom w:val="0"/>
          <w:divBdr>
            <w:top w:val="none" w:sz="0" w:space="0" w:color="auto"/>
            <w:left w:val="none" w:sz="0" w:space="0" w:color="auto"/>
            <w:bottom w:val="none" w:sz="0" w:space="0" w:color="auto"/>
            <w:right w:val="none" w:sz="0" w:space="0" w:color="auto"/>
          </w:divBdr>
        </w:div>
        <w:div w:id="118304366">
          <w:marLeft w:val="360"/>
          <w:marRight w:val="0"/>
          <w:marTop w:val="200"/>
          <w:marBottom w:val="0"/>
          <w:divBdr>
            <w:top w:val="none" w:sz="0" w:space="0" w:color="auto"/>
            <w:left w:val="none" w:sz="0" w:space="0" w:color="auto"/>
            <w:bottom w:val="none" w:sz="0" w:space="0" w:color="auto"/>
            <w:right w:val="none" w:sz="0" w:space="0" w:color="auto"/>
          </w:divBdr>
        </w:div>
        <w:div w:id="141847716">
          <w:marLeft w:val="1080"/>
          <w:marRight w:val="0"/>
          <w:marTop w:val="100"/>
          <w:marBottom w:val="0"/>
          <w:divBdr>
            <w:top w:val="none" w:sz="0" w:space="0" w:color="auto"/>
            <w:left w:val="none" w:sz="0" w:space="0" w:color="auto"/>
            <w:bottom w:val="none" w:sz="0" w:space="0" w:color="auto"/>
            <w:right w:val="none" w:sz="0" w:space="0" w:color="auto"/>
          </w:divBdr>
        </w:div>
        <w:div w:id="153450417">
          <w:marLeft w:val="360"/>
          <w:marRight w:val="0"/>
          <w:marTop w:val="200"/>
          <w:marBottom w:val="0"/>
          <w:divBdr>
            <w:top w:val="none" w:sz="0" w:space="0" w:color="auto"/>
            <w:left w:val="none" w:sz="0" w:space="0" w:color="auto"/>
            <w:bottom w:val="none" w:sz="0" w:space="0" w:color="auto"/>
            <w:right w:val="none" w:sz="0" w:space="0" w:color="auto"/>
          </w:divBdr>
        </w:div>
        <w:div w:id="171723590">
          <w:marLeft w:val="1080"/>
          <w:marRight w:val="0"/>
          <w:marTop w:val="100"/>
          <w:marBottom w:val="0"/>
          <w:divBdr>
            <w:top w:val="none" w:sz="0" w:space="0" w:color="auto"/>
            <w:left w:val="none" w:sz="0" w:space="0" w:color="auto"/>
            <w:bottom w:val="none" w:sz="0" w:space="0" w:color="auto"/>
            <w:right w:val="none" w:sz="0" w:space="0" w:color="auto"/>
          </w:divBdr>
        </w:div>
        <w:div w:id="176314472">
          <w:marLeft w:val="360"/>
          <w:marRight w:val="0"/>
          <w:marTop w:val="200"/>
          <w:marBottom w:val="0"/>
          <w:divBdr>
            <w:top w:val="none" w:sz="0" w:space="0" w:color="auto"/>
            <w:left w:val="none" w:sz="0" w:space="0" w:color="auto"/>
            <w:bottom w:val="none" w:sz="0" w:space="0" w:color="auto"/>
            <w:right w:val="none" w:sz="0" w:space="0" w:color="auto"/>
          </w:divBdr>
        </w:div>
        <w:div w:id="196090970">
          <w:marLeft w:val="1080"/>
          <w:marRight w:val="0"/>
          <w:marTop w:val="100"/>
          <w:marBottom w:val="0"/>
          <w:divBdr>
            <w:top w:val="none" w:sz="0" w:space="0" w:color="auto"/>
            <w:left w:val="none" w:sz="0" w:space="0" w:color="auto"/>
            <w:bottom w:val="none" w:sz="0" w:space="0" w:color="auto"/>
            <w:right w:val="none" w:sz="0" w:space="0" w:color="auto"/>
          </w:divBdr>
        </w:div>
        <w:div w:id="217742631">
          <w:marLeft w:val="360"/>
          <w:marRight w:val="0"/>
          <w:marTop w:val="200"/>
          <w:marBottom w:val="0"/>
          <w:divBdr>
            <w:top w:val="none" w:sz="0" w:space="0" w:color="auto"/>
            <w:left w:val="none" w:sz="0" w:space="0" w:color="auto"/>
            <w:bottom w:val="none" w:sz="0" w:space="0" w:color="auto"/>
            <w:right w:val="none" w:sz="0" w:space="0" w:color="auto"/>
          </w:divBdr>
        </w:div>
        <w:div w:id="242493098">
          <w:marLeft w:val="360"/>
          <w:marRight w:val="0"/>
          <w:marTop w:val="200"/>
          <w:marBottom w:val="0"/>
          <w:divBdr>
            <w:top w:val="none" w:sz="0" w:space="0" w:color="auto"/>
            <w:left w:val="none" w:sz="0" w:space="0" w:color="auto"/>
            <w:bottom w:val="none" w:sz="0" w:space="0" w:color="auto"/>
            <w:right w:val="none" w:sz="0" w:space="0" w:color="auto"/>
          </w:divBdr>
        </w:div>
        <w:div w:id="277105210">
          <w:marLeft w:val="360"/>
          <w:marRight w:val="0"/>
          <w:marTop w:val="200"/>
          <w:marBottom w:val="0"/>
          <w:divBdr>
            <w:top w:val="none" w:sz="0" w:space="0" w:color="auto"/>
            <w:left w:val="none" w:sz="0" w:space="0" w:color="auto"/>
            <w:bottom w:val="none" w:sz="0" w:space="0" w:color="auto"/>
            <w:right w:val="none" w:sz="0" w:space="0" w:color="auto"/>
          </w:divBdr>
        </w:div>
        <w:div w:id="279537201">
          <w:marLeft w:val="1080"/>
          <w:marRight w:val="0"/>
          <w:marTop w:val="100"/>
          <w:marBottom w:val="0"/>
          <w:divBdr>
            <w:top w:val="none" w:sz="0" w:space="0" w:color="auto"/>
            <w:left w:val="none" w:sz="0" w:space="0" w:color="auto"/>
            <w:bottom w:val="none" w:sz="0" w:space="0" w:color="auto"/>
            <w:right w:val="none" w:sz="0" w:space="0" w:color="auto"/>
          </w:divBdr>
        </w:div>
        <w:div w:id="283082002">
          <w:marLeft w:val="1080"/>
          <w:marRight w:val="0"/>
          <w:marTop w:val="100"/>
          <w:marBottom w:val="0"/>
          <w:divBdr>
            <w:top w:val="none" w:sz="0" w:space="0" w:color="auto"/>
            <w:left w:val="none" w:sz="0" w:space="0" w:color="auto"/>
            <w:bottom w:val="none" w:sz="0" w:space="0" w:color="auto"/>
            <w:right w:val="none" w:sz="0" w:space="0" w:color="auto"/>
          </w:divBdr>
        </w:div>
        <w:div w:id="285545662">
          <w:marLeft w:val="1080"/>
          <w:marRight w:val="0"/>
          <w:marTop w:val="100"/>
          <w:marBottom w:val="0"/>
          <w:divBdr>
            <w:top w:val="none" w:sz="0" w:space="0" w:color="auto"/>
            <w:left w:val="none" w:sz="0" w:space="0" w:color="auto"/>
            <w:bottom w:val="none" w:sz="0" w:space="0" w:color="auto"/>
            <w:right w:val="none" w:sz="0" w:space="0" w:color="auto"/>
          </w:divBdr>
        </w:div>
        <w:div w:id="292298455">
          <w:marLeft w:val="1080"/>
          <w:marRight w:val="0"/>
          <w:marTop w:val="100"/>
          <w:marBottom w:val="0"/>
          <w:divBdr>
            <w:top w:val="none" w:sz="0" w:space="0" w:color="auto"/>
            <w:left w:val="none" w:sz="0" w:space="0" w:color="auto"/>
            <w:bottom w:val="none" w:sz="0" w:space="0" w:color="auto"/>
            <w:right w:val="none" w:sz="0" w:space="0" w:color="auto"/>
          </w:divBdr>
        </w:div>
        <w:div w:id="294145068">
          <w:marLeft w:val="360"/>
          <w:marRight w:val="0"/>
          <w:marTop w:val="200"/>
          <w:marBottom w:val="0"/>
          <w:divBdr>
            <w:top w:val="none" w:sz="0" w:space="0" w:color="auto"/>
            <w:left w:val="none" w:sz="0" w:space="0" w:color="auto"/>
            <w:bottom w:val="none" w:sz="0" w:space="0" w:color="auto"/>
            <w:right w:val="none" w:sz="0" w:space="0" w:color="auto"/>
          </w:divBdr>
        </w:div>
        <w:div w:id="296380394">
          <w:marLeft w:val="360"/>
          <w:marRight w:val="0"/>
          <w:marTop w:val="200"/>
          <w:marBottom w:val="0"/>
          <w:divBdr>
            <w:top w:val="none" w:sz="0" w:space="0" w:color="auto"/>
            <w:left w:val="none" w:sz="0" w:space="0" w:color="auto"/>
            <w:bottom w:val="none" w:sz="0" w:space="0" w:color="auto"/>
            <w:right w:val="none" w:sz="0" w:space="0" w:color="auto"/>
          </w:divBdr>
        </w:div>
        <w:div w:id="298876014">
          <w:marLeft w:val="360"/>
          <w:marRight w:val="0"/>
          <w:marTop w:val="200"/>
          <w:marBottom w:val="0"/>
          <w:divBdr>
            <w:top w:val="none" w:sz="0" w:space="0" w:color="auto"/>
            <w:left w:val="none" w:sz="0" w:space="0" w:color="auto"/>
            <w:bottom w:val="none" w:sz="0" w:space="0" w:color="auto"/>
            <w:right w:val="none" w:sz="0" w:space="0" w:color="auto"/>
          </w:divBdr>
        </w:div>
        <w:div w:id="334770235">
          <w:marLeft w:val="360"/>
          <w:marRight w:val="0"/>
          <w:marTop w:val="200"/>
          <w:marBottom w:val="0"/>
          <w:divBdr>
            <w:top w:val="none" w:sz="0" w:space="0" w:color="auto"/>
            <w:left w:val="none" w:sz="0" w:space="0" w:color="auto"/>
            <w:bottom w:val="none" w:sz="0" w:space="0" w:color="auto"/>
            <w:right w:val="none" w:sz="0" w:space="0" w:color="auto"/>
          </w:divBdr>
        </w:div>
        <w:div w:id="341976171">
          <w:marLeft w:val="360"/>
          <w:marRight w:val="0"/>
          <w:marTop w:val="200"/>
          <w:marBottom w:val="0"/>
          <w:divBdr>
            <w:top w:val="none" w:sz="0" w:space="0" w:color="auto"/>
            <w:left w:val="none" w:sz="0" w:space="0" w:color="auto"/>
            <w:bottom w:val="none" w:sz="0" w:space="0" w:color="auto"/>
            <w:right w:val="none" w:sz="0" w:space="0" w:color="auto"/>
          </w:divBdr>
        </w:div>
        <w:div w:id="342903674">
          <w:marLeft w:val="1080"/>
          <w:marRight w:val="0"/>
          <w:marTop w:val="100"/>
          <w:marBottom w:val="0"/>
          <w:divBdr>
            <w:top w:val="none" w:sz="0" w:space="0" w:color="auto"/>
            <w:left w:val="none" w:sz="0" w:space="0" w:color="auto"/>
            <w:bottom w:val="none" w:sz="0" w:space="0" w:color="auto"/>
            <w:right w:val="none" w:sz="0" w:space="0" w:color="auto"/>
          </w:divBdr>
        </w:div>
        <w:div w:id="360127481">
          <w:marLeft w:val="1800"/>
          <w:marRight w:val="0"/>
          <w:marTop w:val="100"/>
          <w:marBottom w:val="0"/>
          <w:divBdr>
            <w:top w:val="none" w:sz="0" w:space="0" w:color="auto"/>
            <w:left w:val="none" w:sz="0" w:space="0" w:color="auto"/>
            <w:bottom w:val="none" w:sz="0" w:space="0" w:color="auto"/>
            <w:right w:val="none" w:sz="0" w:space="0" w:color="auto"/>
          </w:divBdr>
        </w:div>
        <w:div w:id="363596800">
          <w:marLeft w:val="360"/>
          <w:marRight w:val="0"/>
          <w:marTop w:val="200"/>
          <w:marBottom w:val="0"/>
          <w:divBdr>
            <w:top w:val="none" w:sz="0" w:space="0" w:color="auto"/>
            <w:left w:val="none" w:sz="0" w:space="0" w:color="auto"/>
            <w:bottom w:val="none" w:sz="0" w:space="0" w:color="auto"/>
            <w:right w:val="none" w:sz="0" w:space="0" w:color="auto"/>
          </w:divBdr>
        </w:div>
        <w:div w:id="368183363">
          <w:marLeft w:val="360"/>
          <w:marRight w:val="0"/>
          <w:marTop w:val="200"/>
          <w:marBottom w:val="0"/>
          <w:divBdr>
            <w:top w:val="none" w:sz="0" w:space="0" w:color="auto"/>
            <w:left w:val="none" w:sz="0" w:space="0" w:color="auto"/>
            <w:bottom w:val="none" w:sz="0" w:space="0" w:color="auto"/>
            <w:right w:val="none" w:sz="0" w:space="0" w:color="auto"/>
          </w:divBdr>
        </w:div>
        <w:div w:id="370302712">
          <w:marLeft w:val="360"/>
          <w:marRight w:val="0"/>
          <w:marTop w:val="200"/>
          <w:marBottom w:val="0"/>
          <w:divBdr>
            <w:top w:val="none" w:sz="0" w:space="0" w:color="auto"/>
            <w:left w:val="none" w:sz="0" w:space="0" w:color="auto"/>
            <w:bottom w:val="none" w:sz="0" w:space="0" w:color="auto"/>
            <w:right w:val="none" w:sz="0" w:space="0" w:color="auto"/>
          </w:divBdr>
        </w:div>
        <w:div w:id="371345961">
          <w:marLeft w:val="360"/>
          <w:marRight w:val="0"/>
          <w:marTop w:val="200"/>
          <w:marBottom w:val="0"/>
          <w:divBdr>
            <w:top w:val="none" w:sz="0" w:space="0" w:color="auto"/>
            <w:left w:val="none" w:sz="0" w:space="0" w:color="auto"/>
            <w:bottom w:val="none" w:sz="0" w:space="0" w:color="auto"/>
            <w:right w:val="none" w:sz="0" w:space="0" w:color="auto"/>
          </w:divBdr>
        </w:div>
        <w:div w:id="371685683">
          <w:marLeft w:val="360"/>
          <w:marRight w:val="0"/>
          <w:marTop w:val="200"/>
          <w:marBottom w:val="0"/>
          <w:divBdr>
            <w:top w:val="none" w:sz="0" w:space="0" w:color="auto"/>
            <w:left w:val="none" w:sz="0" w:space="0" w:color="auto"/>
            <w:bottom w:val="none" w:sz="0" w:space="0" w:color="auto"/>
            <w:right w:val="none" w:sz="0" w:space="0" w:color="auto"/>
          </w:divBdr>
        </w:div>
        <w:div w:id="372735969">
          <w:marLeft w:val="360"/>
          <w:marRight w:val="0"/>
          <w:marTop w:val="200"/>
          <w:marBottom w:val="0"/>
          <w:divBdr>
            <w:top w:val="none" w:sz="0" w:space="0" w:color="auto"/>
            <w:left w:val="none" w:sz="0" w:space="0" w:color="auto"/>
            <w:bottom w:val="none" w:sz="0" w:space="0" w:color="auto"/>
            <w:right w:val="none" w:sz="0" w:space="0" w:color="auto"/>
          </w:divBdr>
        </w:div>
        <w:div w:id="382800604">
          <w:marLeft w:val="1080"/>
          <w:marRight w:val="0"/>
          <w:marTop w:val="100"/>
          <w:marBottom w:val="0"/>
          <w:divBdr>
            <w:top w:val="none" w:sz="0" w:space="0" w:color="auto"/>
            <w:left w:val="none" w:sz="0" w:space="0" w:color="auto"/>
            <w:bottom w:val="none" w:sz="0" w:space="0" w:color="auto"/>
            <w:right w:val="none" w:sz="0" w:space="0" w:color="auto"/>
          </w:divBdr>
        </w:div>
        <w:div w:id="402410769">
          <w:marLeft w:val="360"/>
          <w:marRight w:val="0"/>
          <w:marTop w:val="200"/>
          <w:marBottom w:val="0"/>
          <w:divBdr>
            <w:top w:val="none" w:sz="0" w:space="0" w:color="auto"/>
            <w:left w:val="none" w:sz="0" w:space="0" w:color="auto"/>
            <w:bottom w:val="none" w:sz="0" w:space="0" w:color="auto"/>
            <w:right w:val="none" w:sz="0" w:space="0" w:color="auto"/>
          </w:divBdr>
        </w:div>
        <w:div w:id="409734605">
          <w:marLeft w:val="1080"/>
          <w:marRight w:val="0"/>
          <w:marTop w:val="100"/>
          <w:marBottom w:val="0"/>
          <w:divBdr>
            <w:top w:val="none" w:sz="0" w:space="0" w:color="auto"/>
            <w:left w:val="none" w:sz="0" w:space="0" w:color="auto"/>
            <w:bottom w:val="none" w:sz="0" w:space="0" w:color="auto"/>
            <w:right w:val="none" w:sz="0" w:space="0" w:color="auto"/>
          </w:divBdr>
        </w:div>
        <w:div w:id="424376987">
          <w:marLeft w:val="360"/>
          <w:marRight w:val="0"/>
          <w:marTop w:val="200"/>
          <w:marBottom w:val="0"/>
          <w:divBdr>
            <w:top w:val="none" w:sz="0" w:space="0" w:color="auto"/>
            <w:left w:val="none" w:sz="0" w:space="0" w:color="auto"/>
            <w:bottom w:val="none" w:sz="0" w:space="0" w:color="auto"/>
            <w:right w:val="none" w:sz="0" w:space="0" w:color="auto"/>
          </w:divBdr>
        </w:div>
        <w:div w:id="428737632">
          <w:marLeft w:val="360"/>
          <w:marRight w:val="0"/>
          <w:marTop w:val="200"/>
          <w:marBottom w:val="0"/>
          <w:divBdr>
            <w:top w:val="none" w:sz="0" w:space="0" w:color="auto"/>
            <w:left w:val="none" w:sz="0" w:space="0" w:color="auto"/>
            <w:bottom w:val="none" w:sz="0" w:space="0" w:color="auto"/>
            <w:right w:val="none" w:sz="0" w:space="0" w:color="auto"/>
          </w:divBdr>
        </w:div>
        <w:div w:id="464660062">
          <w:marLeft w:val="360"/>
          <w:marRight w:val="0"/>
          <w:marTop w:val="200"/>
          <w:marBottom w:val="0"/>
          <w:divBdr>
            <w:top w:val="none" w:sz="0" w:space="0" w:color="auto"/>
            <w:left w:val="none" w:sz="0" w:space="0" w:color="auto"/>
            <w:bottom w:val="none" w:sz="0" w:space="0" w:color="auto"/>
            <w:right w:val="none" w:sz="0" w:space="0" w:color="auto"/>
          </w:divBdr>
        </w:div>
        <w:div w:id="499738632">
          <w:marLeft w:val="1080"/>
          <w:marRight w:val="0"/>
          <w:marTop w:val="100"/>
          <w:marBottom w:val="0"/>
          <w:divBdr>
            <w:top w:val="none" w:sz="0" w:space="0" w:color="auto"/>
            <w:left w:val="none" w:sz="0" w:space="0" w:color="auto"/>
            <w:bottom w:val="none" w:sz="0" w:space="0" w:color="auto"/>
            <w:right w:val="none" w:sz="0" w:space="0" w:color="auto"/>
          </w:divBdr>
        </w:div>
        <w:div w:id="509102786">
          <w:marLeft w:val="360"/>
          <w:marRight w:val="0"/>
          <w:marTop w:val="200"/>
          <w:marBottom w:val="0"/>
          <w:divBdr>
            <w:top w:val="none" w:sz="0" w:space="0" w:color="auto"/>
            <w:left w:val="none" w:sz="0" w:space="0" w:color="auto"/>
            <w:bottom w:val="none" w:sz="0" w:space="0" w:color="auto"/>
            <w:right w:val="none" w:sz="0" w:space="0" w:color="auto"/>
          </w:divBdr>
        </w:div>
        <w:div w:id="542063146">
          <w:marLeft w:val="360"/>
          <w:marRight w:val="0"/>
          <w:marTop w:val="200"/>
          <w:marBottom w:val="0"/>
          <w:divBdr>
            <w:top w:val="none" w:sz="0" w:space="0" w:color="auto"/>
            <w:left w:val="none" w:sz="0" w:space="0" w:color="auto"/>
            <w:bottom w:val="none" w:sz="0" w:space="0" w:color="auto"/>
            <w:right w:val="none" w:sz="0" w:space="0" w:color="auto"/>
          </w:divBdr>
        </w:div>
        <w:div w:id="547957088">
          <w:marLeft w:val="1080"/>
          <w:marRight w:val="0"/>
          <w:marTop w:val="100"/>
          <w:marBottom w:val="0"/>
          <w:divBdr>
            <w:top w:val="none" w:sz="0" w:space="0" w:color="auto"/>
            <w:left w:val="none" w:sz="0" w:space="0" w:color="auto"/>
            <w:bottom w:val="none" w:sz="0" w:space="0" w:color="auto"/>
            <w:right w:val="none" w:sz="0" w:space="0" w:color="auto"/>
          </w:divBdr>
        </w:div>
        <w:div w:id="574633779">
          <w:marLeft w:val="360"/>
          <w:marRight w:val="0"/>
          <w:marTop w:val="200"/>
          <w:marBottom w:val="0"/>
          <w:divBdr>
            <w:top w:val="none" w:sz="0" w:space="0" w:color="auto"/>
            <w:left w:val="none" w:sz="0" w:space="0" w:color="auto"/>
            <w:bottom w:val="none" w:sz="0" w:space="0" w:color="auto"/>
            <w:right w:val="none" w:sz="0" w:space="0" w:color="auto"/>
          </w:divBdr>
        </w:div>
        <w:div w:id="581525826">
          <w:marLeft w:val="360"/>
          <w:marRight w:val="0"/>
          <w:marTop w:val="200"/>
          <w:marBottom w:val="0"/>
          <w:divBdr>
            <w:top w:val="none" w:sz="0" w:space="0" w:color="auto"/>
            <w:left w:val="none" w:sz="0" w:space="0" w:color="auto"/>
            <w:bottom w:val="none" w:sz="0" w:space="0" w:color="auto"/>
            <w:right w:val="none" w:sz="0" w:space="0" w:color="auto"/>
          </w:divBdr>
        </w:div>
        <w:div w:id="594286578">
          <w:marLeft w:val="360"/>
          <w:marRight w:val="0"/>
          <w:marTop w:val="200"/>
          <w:marBottom w:val="0"/>
          <w:divBdr>
            <w:top w:val="none" w:sz="0" w:space="0" w:color="auto"/>
            <w:left w:val="none" w:sz="0" w:space="0" w:color="auto"/>
            <w:bottom w:val="none" w:sz="0" w:space="0" w:color="auto"/>
            <w:right w:val="none" w:sz="0" w:space="0" w:color="auto"/>
          </w:divBdr>
        </w:div>
        <w:div w:id="596787332">
          <w:marLeft w:val="1080"/>
          <w:marRight w:val="0"/>
          <w:marTop w:val="100"/>
          <w:marBottom w:val="0"/>
          <w:divBdr>
            <w:top w:val="none" w:sz="0" w:space="0" w:color="auto"/>
            <w:left w:val="none" w:sz="0" w:space="0" w:color="auto"/>
            <w:bottom w:val="none" w:sz="0" w:space="0" w:color="auto"/>
            <w:right w:val="none" w:sz="0" w:space="0" w:color="auto"/>
          </w:divBdr>
        </w:div>
        <w:div w:id="598411076">
          <w:marLeft w:val="360"/>
          <w:marRight w:val="0"/>
          <w:marTop w:val="200"/>
          <w:marBottom w:val="0"/>
          <w:divBdr>
            <w:top w:val="none" w:sz="0" w:space="0" w:color="auto"/>
            <w:left w:val="none" w:sz="0" w:space="0" w:color="auto"/>
            <w:bottom w:val="none" w:sz="0" w:space="0" w:color="auto"/>
            <w:right w:val="none" w:sz="0" w:space="0" w:color="auto"/>
          </w:divBdr>
        </w:div>
        <w:div w:id="603998597">
          <w:marLeft w:val="1080"/>
          <w:marRight w:val="0"/>
          <w:marTop w:val="100"/>
          <w:marBottom w:val="0"/>
          <w:divBdr>
            <w:top w:val="none" w:sz="0" w:space="0" w:color="auto"/>
            <w:left w:val="none" w:sz="0" w:space="0" w:color="auto"/>
            <w:bottom w:val="none" w:sz="0" w:space="0" w:color="auto"/>
            <w:right w:val="none" w:sz="0" w:space="0" w:color="auto"/>
          </w:divBdr>
        </w:div>
        <w:div w:id="622730123">
          <w:marLeft w:val="360"/>
          <w:marRight w:val="0"/>
          <w:marTop w:val="200"/>
          <w:marBottom w:val="0"/>
          <w:divBdr>
            <w:top w:val="none" w:sz="0" w:space="0" w:color="auto"/>
            <w:left w:val="none" w:sz="0" w:space="0" w:color="auto"/>
            <w:bottom w:val="none" w:sz="0" w:space="0" w:color="auto"/>
            <w:right w:val="none" w:sz="0" w:space="0" w:color="auto"/>
          </w:divBdr>
        </w:div>
        <w:div w:id="630131444">
          <w:marLeft w:val="360"/>
          <w:marRight w:val="0"/>
          <w:marTop w:val="200"/>
          <w:marBottom w:val="0"/>
          <w:divBdr>
            <w:top w:val="none" w:sz="0" w:space="0" w:color="auto"/>
            <w:left w:val="none" w:sz="0" w:space="0" w:color="auto"/>
            <w:bottom w:val="none" w:sz="0" w:space="0" w:color="auto"/>
            <w:right w:val="none" w:sz="0" w:space="0" w:color="auto"/>
          </w:divBdr>
        </w:div>
        <w:div w:id="631987601">
          <w:marLeft w:val="1080"/>
          <w:marRight w:val="0"/>
          <w:marTop w:val="100"/>
          <w:marBottom w:val="0"/>
          <w:divBdr>
            <w:top w:val="none" w:sz="0" w:space="0" w:color="auto"/>
            <w:left w:val="none" w:sz="0" w:space="0" w:color="auto"/>
            <w:bottom w:val="none" w:sz="0" w:space="0" w:color="auto"/>
            <w:right w:val="none" w:sz="0" w:space="0" w:color="auto"/>
          </w:divBdr>
        </w:div>
        <w:div w:id="634214393">
          <w:marLeft w:val="1080"/>
          <w:marRight w:val="0"/>
          <w:marTop w:val="100"/>
          <w:marBottom w:val="0"/>
          <w:divBdr>
            <w:top w:val="none" w:sz="0" w:space="0" w:color="auto"/>
            <w:left w:val="none" w:sz="0" w:space="0" w:color="auto"/>
            <w:bottom w:val="none" w:sz="0" w:space="0" w:color="auto"/>
            <w:right w:val="none" w:sz="0" w:space="0" w:color="auto"/>
          </w:divBdr>
        </w:div>
        <w:div w:id="635725012">
          <w:marLeft w:val="1080"/>
          <w:marRight w:val="0"/>
          <w:marTop w:val="100"/>
          <w:marBottom w:val="0"/>
          <w:divBdr>
            <w:top w:val="none" w:sz="0" w:space="0" w:color="auto"/>
            <w:left w:val="none" w:sz="0" w:space="0" w:color="auto"/>
            <w:bottom w:val="none" w:sz="0" w:space="0" w:color="auto"/>
            <w:right w:val="none" w:sz="0" w:space="0" w:color="auto"/>
          </w:divBdr>
        </w:div>
        <w:div w:id="651100294">
          <w:marLeft w:val="360"/>
          <w:marRight w:val="0"/>
          <w:marTop w:val="200"/>
          <w:marBottom w:val="0"/>
          <w:divBdr>
            <w:top w:val="none" w:sz="0" w:space="0" w:color="auto"/>
            <w:left w:val="none" w:sz="0" w:space="0" w:color="auto"/>
            <w:bottom w:val="none" w:sz="0" w:space="0" w:color="auto"/>
            <w:right w:val="none" w:sz="0" w:space="0" w:color="auto"/>
          </w:divBdr>
        </w:div>
        <w:div w:id="669606245">
          <w:marLeft w:val="1080"/>
          <w:marRight w:val="0"/>
          <w:marTop w:val="100"/>
          <w:marBottom w:val="0"/>
          <w:divBdr>
            <w:top w:val="none" w:sz="0" w:space="0" w:color="auto"/>
            <w:left w:val="none" w:sz="0" w:space="0" w:color="auto"/>
            <w:bottom w:val="none" w:sz="0" w:space="0" w:color="auto"/>
            <w:right w:val="none" w:sz="0" w:space="0" w:color="auto"/>
          </w:divBdr>
        </w:div>
        <w:div w:id="677121803">
          <w:marLeft w:val="1080"/>
          <w:marRight w:val="0"/>
          <w:marTop w:val="100"/>
          <w:marBottom w:val="0"/>
          <w:divBdr>
            <w:top w:val="none" w:sz="0" w:space="0" w:color="auto"/>
            <w:left w:val="none" w:sz="0" w:space="0" w:color="auto"/>
            <w:bottom w:val="none" w:sz="0" w:space="0" w:color="auto"/>
            <w:right w:val="none" w:sz="0" w:space="0" w:color="auto"/>
          </w:divBdr>
        </w:div>
        <w:div w:id="681779036">
          <w:marLeft w:val="360"/>
          <w:marRight w:val="0"/>
          <w:marTop w:val="200"/>
          <w:marBottom w:val="0"/>
          <w:divBdr>
            <w:top w:val="none" w:sz="0" w:space="0" w:color="auto"/>
            <w:left w:val="none" w:sz="0" w:space="0" w:color="auto"/>
            <w:bottom w:val="none" w:sz="0" w:space="0" w:color="auto"/>
            <w:right w:val="none" w:sz="0" w:space="0" w:color="auto"/>
          </w:divBdr>
        </w:div>
        <w:div w:id="687677688">
          <w:marLeft w:val="360"/>
          <w:marRight w:val="0"/>
          <w:marTop w:val="200"/>
          <w:marBottom w:val="0"/>
          <w:divBdr>
            <w:top w:val="none" w:sz="0" w:space="0" w:color="auto"/>
            <w:left w:val="none" w:sz="0" w:space="0" w:color="auto"/>
            <w:bottom w:val="none" w:sz="0" w:space="0" w:color="auto"/>
            <w:right w:val="none" w:sz="0" w:space="0" w:color="auto"/>
          </w:divBdr>
        </w:div>
        <w:div w:id="697387919">
          <w:marLeft w:val="1080"/>
          <w:marRight w:val="0"/>
          <w:marTop w:val="100"/>
          <w:marBottom w:val="0"/>
          <w:divBdr>
            <w:top w:val="none" w:sz="0" w:space="0" w:color="auto"/>
            <w:left w:val="none" w:sz="0" w:space="0" w:color="auto"/>
            <w:bottom w:val="none" w:sz="0" w:space="0" w:color="auto"/>
            <w:right w:val="none" w:sz="0" w:space="0" w:color="auto"/>
          </w:divBdr>
        </w:div>
        <w:div w:id="712195720">
          <w:marLeft w:val="1080"/>
          <w:marRight w:val="0"/>
          <w:marTop w:val="100"/>
          <w:marBottom w:val="0"/>
          <w:divBdr>
            <w:top w:val="none" w:sz="0" w:space="0" w:color="auto"/>
            <w:left w:val="none" w:sz="0" w:space="0" w:color="auto"/>
            <w:bottom w:val="none" w:sz="0" w:space="0" w:color="auto"/>
            <w:right w:val="none" w:sz="0" w:space="0" w:color="auto"/>
          </w:divBdr>
        </w:div>
        <w:div w:id="739981343">
          <w:marLeft w:val="360"/>
          <w:marRight w:val="0"/>
          <w:marTop w:val="200"/>
          <w:marBottom w:val="0"/>
          <w:divBdr>
            <w:top w:val="none" w:sz="0" w:space="0" w:color="auto"/>
            <w:left w:val="none" w:sz="0" w:space="0" w:color="auto"/>
            <w:bottom w:val="none" w:sz="0" w:space="0" w:color="auto"/>
            <w:right w:val="none" w:sz="0" w:space="0" w:color="auto"/>
          </w:divBdr>
        </w:div>
        <w:div w:id="746459022">
          <w:marLeft w:val="360"/>
          <w:marRight w:val="0"/>
          <w:marTop w:val="200"/>
          <w:marBottom w:val="0"/>
          <w:divBdr>
            <w:top w:val="none" w:sz="0" w:space="0" w:color="auto"/>
            <w:left w:val="none" w:sz="0" w:space="0" w:color="auto"/>
            <w:bottom w:val="none" w:sz="0" w:space="0" w:color="auto"/>
            <w:right w:val="none" w:sz="0" w:space="0" w:color="auto"/>
          </w:divBdr>
        </w:div>
        <w:div w:id="748574355">
          <w:marLeft w:val="360"/>
          <w:marRight w:val="0"/>
          <w:marTop w:val="200"/>
          <w:marBottom w:val="0"/>
          <w:divBdr>
            <w:top w:val="none" w:sz="0" w:space="0" w:color="auto"/>
            <w:left w:val="none" w:sz="0" w:space="0" w:color="auto"/>
            <w:bottom w:val="none" w:sz="0" w:space="0" w:color="auto"/>
            <w:right w:val="none" w:sz="0" w:space="0" w:color="auto"/>
          </w:divBdr>
        </w:div>
        <w:div w:id="750468854">
          <w:marLeft w:val="360"/>
          <w:marRight w:val="0"/>
          <w:marTop w:val="200"/>
          <w:marBottom w:val="0"/>
          <w:divBdr>
            <w:top w:val="none" w:sz="0" w:space="0" w:color="auto"/>
            <w:left w:val="none" w:sz="0" w:space="0" w:color="auto"/>
            <w:bottom w:val="none" w:sz="0" w:space="0" w:color="auto"/>
            <w:right w:val="none" w:sz="0" w:space="0" w:color="auto"/>
          </w:divBdr>
        </w:div>
        <w:div w:id="788209577">
          <w:marLeft w:val="360"/>
          <w:marRight w:val="0"/>
          <w:marTop w:val="200"/>
          <w:marBottom w:val="0"/>
          <w:divBdr>
            <w:top w:val="none" w:sz="0" w:space="0" w:color="auto"/>
            <w:left w:val="none" w:sz="0" w:space="0" w:color="auto"/>
            <w:bottom w:val="none" w:sz="0" w:space="0" w:color="auto"/>
            <w:right w:val="none" w:sz="0" w:space="0" w:color="auto"/>
          </w:divBdr>
        </w:div>
        <w:div w:id="791292545">
          <w:marLeft w:val="1080"/>
          <w:marRight w:val="0"/>
          <w:marTop w:val="100"/>
          <w:marBottom w:val="0"/>
          <w:divBdr>
            <w:top w:val="none" w:sz="0" w:space="0" w:color="auto"/>
            <w:left w:val="none" w:sz="0" w:space="0" w:color="auto"/>
            <w:bottom w:val="none" w:sz="0" w:space="0" w:color="auto"/>
            <w:right w:val="none" w:sz="0" w:space="0" w:color="auto"/>
          </w:divBdr>
        </w:div>
        <w:div w:id="797718814">
          <w:marLeft w:val="360"/>
          <w:marRight w:val="0"/>
          <w:marTop w:val="200"/>
          <w:marBottom w:val="0"/>
          <w:divBdr>
            <w:top w:val="none" w:sz="0" w:space="0" w:color="auto"/>
            <w:left w:val="none" w:sz="0" w:space="0" w:color="auto"/>
            <w:bottom w:val="none" w:sz="0" w:space="0" w:color="auto"/>
            <w:right w:val="none" w:sz="0" w:space="0" w:color="auto"/>
          </w:divBdr>
        </w:div>
        <w:div w:id="808935033">
          <w:marLeft w:val="1080"/>
          <w:marRight w:val="0"/>
          <w:marTop w:val="100"/>
          <w:marBottom w:val="0"/>
          <w:divBdr>
            <w:top w:val="none" w:sz="0" w:space="0" w:color="auto"/>
            <w:left w:val="none" w:sz="0" w:space="0" w:color="auto"/>
            <w:bottom w:val="none" w:sz="0" w:space="0" w:color="auto"/>
            <w:right w:val="none" w:sz="0" w:space="0" w:color="auto"/>
          </w:divBdr>
        </w:div>
        <w:div w:id="809519050">
          <w:marLeft w:val="360"/>
          <w:marRight w:val="0"/>
          <w:marTop w:val="200"/>
          <w:marBottom w:val="0"/>
          <w:divBdr>
            <w:top w:val="none" w:sz="0" w:space="0" w:color="auto"/>
            <w:left w:val="none" w:sz="0" w:space="0" w:color="auto"/>
            <w:bottom w:val="none" w:sz="0" w:space="0" w:color="auto"/>
            <w:right w:val="none" w:sz="0" w:space="0" w:color="auto"/>
          </w:divBdr>
        </w:div>
        <w:div w:id="809709077">
          <w:marLeft w:val="360"/>
          <w:marRight w:val="0"/>
          <w:marTop w:val="200"/>
          <w:marBottom w:val="0"/>
          <w:divBdr>
            <w:top w:val="none" w:sz="0" w:space="0" w:color="auto"/>
            <w:left w:val="none" w:sz="0" w:space="0" w:color="auto"/>
            <w:bottom w:val="none" w:sz="0" w:space="0" w:color="auto"/>
            <w:right w:val="none" w:sz="0" w:space="0" w:color="auto"/>
          </w:divBdr>
        </w:div>
        <w:div w:id="831599901">
          <w:marLeft w:val="360"/>
          <w:marRight w:val="0"/>
          <w:marTop w:val="200"/>
          <w:marBottom w:val="0"/>
          <w:divBdr>
            <w:top w:val="none" w:sz="0" w:space="0" w:color="auto"/>
            <w:left w:val="none" w:sz="0" w:space="0" w:color="auto"/>
            <w:bottom w:val="none" w:sz="0" w:space="0" w:color="auto"/>
            <w:right w:val="none" w:sz="0" w:space="0" w:color="auto"/>
          </w:divBdr>
        </w:div>
        <w:div w:id="831606576">
          <w:marLeft w:val="1800"/>
          <w:marRight w:val="0"/>
          <w:marTop w:val="100"/>
          <w:marBottom w:val="0"/>
          <w:divBdr>
            <w:top w:val="none" w:sz="0" w:space="0" w:color="auto"/>
            <w:left w:val="none" w:sz="0" w:space="0" w:color="auto"/>
            <w:bottom w:val="none" w:sz="0" w:space="0" w:color="auto"/>
            <w:right w:val="none" w:sz="0" w:space="0" w:color="auto"/>
          </w:divBdr>
        </w:div>
        <w:div w:id="832647007">
          <w:marLeft w:val="360"/>
          <w:marRight w:val="0"/>
          <w:marTop w:val="200"/>
          <w:marBottom w:val="0"/>
          <w:divBdr>
            <w:top w:val="none" w:sz="0" w:space="0" w:color="auto"/>
            <w:left w:val="none" w:sz="0" w:space="0" w:color="auto"/>
            <w:bottom w:val="none" w:sz="0" w:space="0" w:color="auto"/>
            <w:right w:val="none" w:sz="0" w:space="0" w:color="auto"/>
          </w:divBdr>
        </w:div>
        <w:div w:id="854197625">
          <w:marLeft w:val="1080"/>
          <w:marRight w:val="0"/>
          <w:marTop w:val="100"/>
          <w:marBottom w:val="0"/>
          <w:divBdr>
            <w:top w:val="none" w:sz="0" w:space="0" w:color="auto"/>
            <w:left w:val="none" w:sz="0" w:space="0" w:color="auto"/>
            <w:bottom w:val="none" w:sz="0" w:space="0" w:color="auto"/>
            <w:right w:val="none" w:sz="0" w:space="0" w:color="auto"/>
          </w:divBdr>
        </w:div>
        <w:div w:id="872306466">
          <w:marLeft w:val="360"/>
          <w:marRight w:val="0"/>
          <w:marTop w:val="200"/>
          <w:marBottom w:val="0"/>
          <w:divBdr>
            <w:top w:val="none" w:sz="0" w:space="0" w:color="auto"/>
            <w:left w:val="none" w:sz="0" w:space="0" w:color="auto"/>
            <w:bottom w:val="none" w:sz="0" w:space="0" w:color="auto"/>
            <w:right w:val="none" w:sz="0" w:space="0" w:color="auto"/>
          </w:divBdr>
        </w:div>
        <w:div w:id="878708658">
          <w:marLeft w:val="360"/>
          <w:marRight w:val="0"/>
          <w:marTop w:val="200"/>
          <w:marBottom w:val="0"/>
          <w:divBdr>
            <w:top w:val="none" w:sz="0" w:space="0" w:color="auto"/>
            <w:left w:val="none" w:sz="0" w:space="0" w:color="auto"/>
            <w:bottom w:val="none" w:sz="0" w:space="0" w:color="auto"/>
            <w:right w:val="none" w:sz="0" w:space="0" w:color="auto"/>
          </w:divBdr>
        </w:div>
        <w:div w:id="889996288">
          <w:marLeft w:val="360"/>
          <w:marRight w:val="0"/>
          <w:marTop w:val="200"/>
          <w:marBottom w:val="0"/>
          <w:divBdr>
            <w:top w:val="none" w:sz="0" w:space="0" w:color="auto"/>
            <w:left w:val="none" w:sz="0" w:space="0" w:color="auto"/>
            <w:bottom w:val="none" w:sz="0" w:space="0" w:color="auto"/>
            <w:right w:val="none" w:sz="0" w:space="0" w:color="auto"/>
          </w:divBdr>
        </w:div>
        <w:div w:id="900143359">
          <w:marLeft w:val="360"/>
          <w:marRight w:val="0"/>
          <w:marTop w:val="200"/>
          <w:marBottom w:val="0"/>
          <w:divBdr>
            <w:top w:val="none" w:sz="0" w:space="0" w:color="auto"/>
            <w:left w:val="none" w:sz="0" w:space="0" w:color="auto"/>
            <w:bottom w:val="none" w:sz="0" w:space="0" w:color="auto"/>
            <w:right w:val="none" w:sz="0" w:space="0" w:color="auto"/>
          </w:divBdr>
        </w:div>
        <w:div w:id="903877094">
          <w:marLeft w:val="1080"/>
          <w:marRight w:val="0"/>
          <w:marTop w:val="100"/>
          <w:marBottom w:val="0"/>
          <w:divBdr>
            <w:top w:val="none" w:sz="0" w:space="0" w:color="auto"/>
            <w:left w:val="none" w:sz="0" w:space="0" w:color="auto"/>
            <w:bottom w:val="none" w:sz="0" w:space="0" w:color="auto"/>
            <w:right w:val="none" w:sz="0" w:space="0" w:color="auto"/>
          </w:divBdr>
        </w:div>
        <w:div w:id="909849845">
          <w:marLeft w:val="1080"/>
          <w:marRight w:val="0"/>
          <w:marTop w:val="100"/>
          <w:marBottom w:val="0"/>
          <w:divBdr>
            <w:top w:val="none" w:sz="0" w:space="0" w:color="auto"/>
            <w:left w:val="none" w:sz="0" w:space="0" w:color="auto"/>
            <w:bottom w:val="none" w:sz="0" w:space="0" w:color="auto"/>
            <w:right w:val="none" w:sz="0" w:space="0" w:color="auto"/>
          </w:divBdr>
        </w:div>
        <w:div w:id="910504715">
          <w:marLeft w:val="1080"/>
          <w:marRight w:val="0"/>
          <w:marTop w:val="100"/>
          <w:marBottom w:val="0"/>
          <w:divBdr>
            <w:top w:val="none" w:sz="0" w:space="0" w:color="auto"/>
            <w:left w:val="none" w:sz="0" w:space="0" w:color="auto"/>
            <w:bottom w:val="none" w:sz="0" w:space="0" w:color="auto"/>
            <w:right w:val="none" w:sz="0" w:space="0" w:color="auto"/>
          </w:divBdr>
        </w:div>
        <w:div w:id="912816544">
          <w:marLeft w:val="360"/>
          <w:marRight w:val="0"/>
          <w:marTop w:val="200"/>
          <w:marBottom w:val="0"/>
          <w:divBdr>
            <w:top w:val="none" w:sz="0" w:space="0" w:color="auto"/>
            <w:left w:val="none" w:sz="0" w:space="0" w:color="auto"/>
            <w:bottom w:val="none" w:sz="0" w:space="0" w:color="auto"/>
            <w:right w:val="none" w:sz="0" w:space="0" w:color="auto"/>
          </w:divBdr>
        </w:div>
        <w:div w:id="923957179">
          <w:marLeft w:val="360"/>
          <w:marRight w:val="0"/>
          <w:marTop w:val="200"/>
          <w:marBottom w:val="0"/>
          <w:divBdr>
            <w:top w:val="none" w:sz="0" w:space="0" w:color="auto"/>
            <w:left w:val="none" w:sz="0" w:space="0" w:color="auto"/>
            <w:bottom w:val="none" w:sz="0" w:space="0" w:color="auto"/>
            <w:right w:val="none" w:sz="0" w:space="0" w:color="auto"/>
          </w:divBdr>
        </w:div>
        <w:div w:id="929509956">
          <w:marLeft w:val="360"/>
          <w:marRight w:val="0"/>
          <w:marTop w:val="200"/>
          <w:marBottom w:val="0"/>
          <w:divBdr>
            <w:top w:val="none" w:sz="0" w:space="0" w:color="auto"/>
            <w:left w:val="none" w:sz="0" w:space="0" w:color="auto"/>
            <w:bottom w:val="none" w:sz="0" w:space="0" w:color="auto"/>
            <w:right w:val="none" w:sz="0" w:space="0" w:color="auto"/>
          </w:divBdr>
        </w:div>
        <w:div w:id="946884405">
          <w:marLeft w:val="360"/>
          <w:marRight w:val="0"/>
          <w:marTop w:val="200"/>
          <w:marBottom w:val="0"/>
          <w:divBdr>
            <w:top w:val="none" w:sz="0" w:space="0" w:color="auto"/>
            <w:left w:val="none" w:sz="0" w:space="0" w:color="auto"/>
            <w:bottom w:val="none" w:sz="0" w:space="0" w:color="auto"/>
            <w:right w:val="none" w:sz="0" w:space="0" w:color="auto"/>
          </w:divBdr>
        </w:div>
        <w:div w:id="956106945">
          <w:marLeft w:val="1800"/>
          <w:marRight w:val="0"/>
          <w:marTop w:val="100"/>
          <w:marBottom w:val="0"/>
          <w:divBdr>
            <w:top w:val="none" w:sz="0" w:space="0" w:color="auto"/>
            <w:left w:val="none" w:sz="0" w:space="0" w:color="auto"/>
            <w:bottom w:val="none" w:sz="0" w:space="0" w:color="auto"/>
            <w:right w:val="none" w:sz="0" w:space="0" w:color="auto"/>
          </w:divBdr>
        </w:div>
        <w:div w:id="1001735852">
          <w:marLeft w:val="360"/>
          <w:marRight w:val="0"/>
          <w:marTop w:val="200"/>
          <w:marBottom w:val="0"/>
          <w:divBdr>
            <w:top w:val="none" w:sz="0" w:space="0" w:color="auto"/>
            <w:left w:val="none" w:sz="0" w:space="0" w:color="auto"/>
            <w:bottom w:val="none" w:sz="0" w:space="0" w:color="auto"/>
            <w:right w:val="none" w:sz="0" w:space="0" w:color="auto"/>
          </w:divBdr>
        </w:div>
        <w:div w:id="1005278848">
          <w:marLeft w:val="1080"/>
          <w:marRight w:val="0"/>
          <w:marTop w:val="100"/>
          <w:marBottom w:val="0"/>
          <w:divBdr>
            <w:top w:val="none" w:sz="0" w:space="0" w:color="auto"/>
            <w:left w:val="none" w:sz="0" w:space="0" w:color="auto"/>
            <w:bottom w:val="none" w:sz="0" w:space="0" w:color="auto"/>
            <w:right w:val="none" w:sz="0" w:space="0" w:color="auto"/>
          </w:divBdr>
        </w:div>
        <w:div w:id="1007253186">
          <w:marLeft w:val="360"/>
          <w:marRight w:val="0"/>
          <w:marTop w:val="200"/>
          <w:marBottom w:val="0"/>
          <w:divBdr>
            <w:top w:val="none" w:sz="0" w:space="0" w:color="auto"/>
            <w:left w:val="none" w:sz="0" w:space="0" w:color="auto"/>
            <w:bottom w:val="none" w:sz="0" w:space="0" w:color="auto"/>
            <w:right w:val="none" w:sz="0" w:space="0" w:color="auto"/>
          </w:divBdr>
        </w:div>
        <w:div w:id="1008337793">
          <w:marLeft w:val="1080"/>
          <w:marRight w:val="0"/>
          <w:marTop w:val="100"/>
          <w:marBottom w:val="0"/>
          <w:divBdr>
            <w:top w:val="none" w:sz="0" w:space="0" w:color="auto"/>
            <w:left w:val="none" w:sz="0" w:space="0" w:color="auto"/>
            <w:bottom w:val="none" w:sz="0" w:space="0" w:color="auto"/>
            <w:right w:val="none" w:sz="0" w:space="0" w:color="auto"/>
          </w:divBdr>
        </w:div>
        <w:div w:id="1038774244">
          <w:marLeft w:val="1080"/>
          <w:marRight w:val="0"/>
          <w:marTop w:val="100"/>
          <w:marBottom w:val="0"/>
          <w:divBdr>
            <w:top w:val="none" w:sz="0" w:space="0" w:color="auto"/>
            <w:left w:val="none" w:sz="0" w:space="0" w:color="auto"/>
            <w:bottom w:val="none" w:sz="0" w:space="0" w:color="auto"/>
            <w:right w:val="none" w:sz="0" w:space="0" w:color="auto"/>
          </w:divBdr>
        </w:div>
        <w:div w:id="1040587248">
          <w:marLeft w:val="1080"/>
          <w:marRight w:val="0"/>
          <w:marTop w:val="100"/>
          <w:marBottom w:val="0"/>
          <w:divBdr>
            <w:top w:val="none" w:sz="0" w:space="0" w:color="auto"/>
            <w:left w:val="none" w:sz="0" w:space="0" w:color="auto"/>
            <w:bottom w:val="none" w:sz="0" w:space="0" w:color="auto"/>
            <w:right w:val="none" w:sz="0" w:space="0" w:color="auto"/>
          </w:divBdr>
        </w:div>
        <w:div w:id="1049181196">
          <w:marLeft w:val="1080"/>
          <w:marRight w:val="0"/>
          <w:marTop w:val="100"/>
          <w:marBottom w:val="0"/>
          <w:divBdr>
            <w:top w:val="none" w:sz="0" w:space="0" w:color="auto"/>
            <w:left w:val="none" w:sz="0" w:space="0" w:color="auto"/>
            <w:bottom w:val="none" w:sz="0" w:space="0" w:color="auto"/>
            <w:right w:val="none" w:sz="0" w:space="0" w:color="auto"/>
          </w:divBdr>
        </w:div>
        <w:div w:id="1061096074">
          <w:marLeft w:val="360"/>
          <w:marRight w:val="0"/>
          <w:marTop w:val="200"/>
          <w:marBottom w:val="0"/>
          <w:divBdr>
            <w:top w:val="none" w:sz="0" w:space="0" w:color="auto"/>
            <w:left w:val="none" w:sz="0" w:space="0" w:color="auto"/>
            <w:bottom w:val="none" w:sz="0" w:space="0" w:color="auto"/>
            <w:right w:val="none" w:sz="0" w:space="0" w:color="auto"/>
          </w:divBdr>
        </w:div>
        <w:div w:id="1081215644">
          <w:marLeft w:val="1080"/>
          <w:marRight w:val="0"/>
          <w:marTop w:val="100"/>
          <w:marBottom w:val="0"/>
          <w:divBdr>
            <w:top w:val="none" w:sz="0" w:space="0" w:color="auto"/>
            <w:left w:val="none" w:sz="0" w:space="0" w:color="auto"/>
            <w:bottom w:val="none" w:sz="0" w:space="0" w:color="auto"/>
            <w:right w:val="none" w:sz="0" w:space="0" w:color="auto"/>
          </w:divBdr>
        </w:div>
        <w:div w:id="1083528445">
          <w:marLeft w:val="360"/>
          <w:marRight w:val="0"/>
          <w:marTop w:val="200"/>
          <w:marBottom w:val="0"/>
          <w:divBdr>
            <w:top w:val="none" w:sz="0" w:space="0" w:color="auto"/>
            <w:left w:val="none" w:sz="0" w:space="0" w:color="auto"/>
            <w:bottom w:val="none" w:sz="0" w:space="0" w:color="auto"/>
            <w:right w:val="none" w:sz="0" w:space="0" w:color="auto"/>
          </w:divBdr>
        </w:div>
        <w:div w:id="1112702756">
          <w:marLeft w:val="360"/>
          <w:marRight w:val="0"/>
          <w:marTop w:val="200"/>
          <w:marBottom w:val="0"/>
          <w:divBdr>
            <w:top w:val="none" w:sz="0" w:space="0" w:color="auto"/>
            <w:left w:val="none" w:sz="0" w:space="0" w:color="auto"/>
            <w:bottom w:val="none" w:sz="0" w:space="0" w:color="auto"/>
            <w:right w:val="none" w:sz="0" w:space="0" w:color="auto"/>
          </w:divBdr>
        </w:div>
        <w:div w:id="1121991362">
          <w:marLeft w:val="1800"/>
          <w:marRight w:val="0"/>
          <w:marTop w:val="100"/>
          <w:marBottom w:val="0"/>
          <w:divBdr>
            <w:top w:val="none" w:sz="0" w:space="0" w:color="auto"/>
            <w:left w:val="none" w:sz="0" w:space="0" w:color="auto"/>
            <w:bottom w:val="none" w:sz="0" w:space="0" w:color="auto"/>
            <w:right w:val="none" w:sz="0" w:space="0" w:color="auto"/>
          </w:divBdr>
        </w:div>
        <w:div w:id="1135484326">
          <w:marLeft w:val="360"/>
          <w:marRight w:val="0"/>
          <w:marTop w:val="200"/>
          <w:marBottom w:val="0"/>
          <w:divBdr>
            <w:top w:val="none" w:sz="0" w:space="0" w:color="auto"/>
            <w:left w:val="none" w:sz="0" w:space="0" w:color="auto"/>
            <w:bottom w:val="none" w:sz="0" w:space="0" w:color="auto"/>
            <w:right w:val="none" w:sz="0" w:space="0" w:color="auto"/>
          </w:divBdr>
        </w:div>
        <w:div w:id="1141385706">
          <w:marLeft w:val="1080"/>
          <w:marRight w:val="0"/>
          <w:marTop w:val="100"/>
          <w:marBottom w:val="0"/>
          <w:divBdr>
            <w:top w:val="none" w:sz="0" w:space="0" w:color="auto"/>
            <w:left w:val="none" w:sz="0" w:space="0" w:color="auto"/>
            <w:bottom w:val="none" w:sz="0" w:space="0" w:color="auto"/>
            <w:right w:val="none" w:sz="0" w:space="0" w:color="auto"/>
          </w:divBdr>
        </w:div>
        <w:div w:id="1163199730">
          <w:marLeft w:val="360"/>
          <w:marRight w:val="0"/>
          <w:marTop w:val="200"/>
          <w:marBottom w:val="0"/>
          <w:divBdr>
            <w:top w:val="none" w:sz="0" w:space="0" w:color="auto"/>
            <w:left w:val="none" w:sz="0" w:space="0" w:color="auto"/>
            <w:bottom w:val="none" w:sz="0" w:space="0" w:color="auto"/>
            <w:right w:val="none" w:sz="0" w:space="0" w:color="auto"/>
          </w:divBdr>
        </w:div>
        <w:div w:id="1164323483">
          <w:marLeft w:val="1080"/>
          <w:marRight w:val="0"/>
          <w:marTop w:val="100"/>
          <w:marBottom w:val="0"/>
          <w:divBdr>
            <w:top w:val="none" w:sz="0" w:space="0" w:color="auto"/>
            <w:left w:val="none" w:sz="0" w:space="0" w:color="auto"/>
            <w:bottom w:val="none" w:sz="0" w:space="0" w:color="auto"/>
            <w:right w:val="none" w:sz="0" w:space="0" w:color="auto"/>
          </w:divBdr>
        </w:div>
        <w:div w:id="1185287814">
          <w:marLeft w:val="360"/>
          <w:marRight w:val="0"/>
          <w:marTop w:val="200"/>
          <w:marBottom w:val="0"/>
          <w:divBdr>
            <w:top w:val="none" w:sz="0" w:space="0" w:color="auto"/>
            <w:left w:val="none" w:sz="0" w:space="0" w:color="auto"/>
            <w:bottom w:val="none" w:sz="0" w:space="0" w:color="auto"/>
            <w:right w:val="none" w:sz="0" w:space="0" w:color="auto"/>
          </w:divBdr>
        </w:div>
        <w:div w:id="1191649514">
          <w:marLeft w:val="360"/>
          <w:marRight w:val="0"/>
          <w:marTop w:val="200"/>
          <w:marBottom w:val="0"/>
          <w:divBdr>
            <w:top w:val="none" w:sz="0" w:space="0" w:color="auto"/>
            <w:left w:val="none" w:sz="0" w:space="0" w:color="auto"/>
            <w:bottom w:val="none" w:sz="0" w:space="0" w:color="auto"/>
            <w:right w:val="none" w:sz="0" w:space="0" w:color="auto"/>
          </w:divBdr>
        </w:div>
        <w:div w:id="1193222877">
          <w:marLeft w:val="360"/>
          <w:marRight w:val="0"/>
          <w:marTop w:val="200"/>
          <w:marBottom w:val="0"/>
          <w:divBdr>
            <w:top w:val="none" w:sz="0" w:space="0" w:color="auto"/>
            <w:left w:val="none" w:sz="0" w:space="0" w:color="auto"/>
            <w:bottom w:val="none" w:sz="0" w:space="0" w:color="auto"/>
            <w:right w:val="none" w:sz="0" w:space="0" w:color="auto"/>
          </w:divBdr>
        </w:div>
        <w:div w:id="1249656430">
          <w:marLeft w:val="1080"/>
          <w:marRight w:val="0"/>
          <w:marTop w:val="100"/>
          <w:marBottom w:val="0"/>
          <w:divBdr>
            <w:top w:val="none" w:sz="0" w:space="0" w:color="auto"/>
            <w:left w:val="none" w:sz="0" w:space="0" w:color="auto"/>
            <w:bottom w:val="none" w:sz="0" w:space="0" w:color="auto"/>
            <w:right w:val="none" w:sz="0" w:space="0" w:color="auto"/>
          </w:divBdr>
        </w:div>
        <w:div w:id="1257904465">
          <w:marLeft w:val="360"/>
          <w:marRight w:val="0"/>
          <w:marTop w:val="200"/>
          <w:marBottom w:val="0"/>
          <w:divBdr>
            <w:top w:val="none" w:sz="0" w:space="0" w:color="auto"/>
            <w:left w:val="none" w:sz="0" w:space="0" w:color="auto"/>
            <w:bottom w:val="none" w:sz="0" w:space="0" w:color="auto"/>
            <w:right w:val="none" w:sz="0" w:space="0" w:color="auto"/>
          </w:divBdr>
        </w:div>
        <w:div w:id="1268349155">
          <w:marLeft w:val="360"/>
          <w:marRight w:val="0"/>
          <w:marTop w:val="200"/>
          <w:marBottom w:val="0"/>
          <w:divBdr>
            <w:top w:val="none" w:sz="0" w:space="0" w:color="auto"/>
            <w:left w:val="none" w:sz="0" w:space="0" w:color="auto"/>
            <w:bottom w:val="none" w:sz="0" w:space="0" w:color="auto"/>
            <w:right w:val="none" w:sz="0" w:space="0" w:color="auto"/>
          </w:divBdr>
        </w:div>
        <w:div w:id="1289505463">
          <w:marLeft w:val="360"/>
          <w:marRight w:val="0"/>
          <w:marTop w:val="200"/>
          <w:marBottom w:val="0"/>
          <w:divBdr>
            <w:top w:val="none" w:sz="0" w:space="0" w:color="auto"/>
            <w:left w:val="none" w:sz="0" w:space="0" w:color="auto"/>
            <w:bottom w:val="none" w:sz="0" w:space="0" w:color="auto"/>
            <w:right w:val="none" w:sz="0" w:space="0" w:color="auto"/>
          </w:divBdr>
        </w:div>
        <w:div w:id="1367753150">
          <w:marLeft w:val="360"/>
          <w:marRight w:val="0"/>
          <w:marTop w:val="200"/>
          <w:marBottom w:val="0"/>
          <w:divBdr>
            <w:top w:val="none" w:sz="0" w:space="0" w:color="auto"/>
            <w:left w:val="none" w:sz="0" w:space="0" w:color="auto"/>
            <w:bottom w:val="none" w:sz="0" w:space="0" w:color="auto"/>
            <w:right w:val="none" w:sz="0" w:space="0" w:color="auto"/>
          </w:divBdr>
        </w:div>
        <w:div w:id="1370449127">
          <w:marLeft w:val="1080"/>
          <w:marRight w:val="0"/>
          <w:marTop w:val="100"/>
          <w:marBottom w:val="0"/>
          <w:divBdr>
            <w:top w:val="none" w:sz="0" w:space="0" w:color="auto"/>
            <w:left w:val="none" w:sz="0" w:space="0" w:color="auto"/>
            <w:bottom w:val="none" w:sz="0" w:space="0" w:color="auto"/>
            <w:right w:val="none" w:sz="0" w:space="0" w:color="auto"/>
          </w:divBdr>
        </w:div>
        <w:div w:id="1375501579">
          <w:marLeft w:val="360"/>
          <w:marRight w:val="0"/>
          <w:marTop w:val="200"/>
          <w:marBottom w:val="0"/>
          <w:divBdr>
            <w:top w:val="none" w:sz="0" w:space="0" w:color="auto"/>
            <w:left w:val="none" w:sz="0" w:space="0" w:color="auto"/>
            <w:bottom w:val="none" w:sz="0" w:space="0" w:color="auto"/>
            <w:right w:val="none" w:sz="0" w:space="0" w:color="auto"/>
          </w:divBdr>
        </w:div>
        <w:div w:id="1389257093">
          <w:marLeft w:val="360"/>
          <w:marRight w:val="0"/>
          <w:marTop w:val="200"/>
          <w:marBottom w:val="0"/>
          <w:divBdr>
            <w:top w:val="none" w:sz="0" w:space="0" w:color="auto"/>
            <w:left w:val="none" w:sz="0" w:space="0" w:color="auto"/>
            <w:bottom w:val="none" w:sz="0" w:space="0" w:color="auto"/>
            <w:right w:val="none" w:sz="0" w:space="0" w:color="auto"/>
          </w:divBdr>
        </w:div>
        <w:div w:id="1389302762">
          <w:marLeft w:val="360"/>
          <w:marRight w:val="0"/>
          <w:marTop w:val="200"/>
          <w:marBottom w:val="0"/>
          <w:divBdr>
            <w:top w:val="none" w:sz="0" w:space="0" w:color="auto"/>
            <w:left w:val="none" w:sz="0" w:space="0" w:color="auto"/>
            <w:bottom w:val="none" w:sz="0" w:space="0" w:color="auto"/>
            <w:right w:val="none" w:sz="0" w:space="0" w:color="auto"/>
          </w:divBdr>
        </w:div>
        <w:div w:id="1391533632">
          <w:marLeft w:val="360"/>
          <w:marRight w:val="0"/>
          <w:marTop w:val="200"/>
          <w:marBottom w:val="0"/>
          <w:divBdr>
            <w:top w:val="none" w:sz="0" w:space="0" w:color="auto"/>
            <w:left w:val="none" w:sz="0" w:space="0" w:color="auto"/>
            <w:bottom w:val="none" w:sz="0" w:space="0" w:color="auto"/>
            <w:right w:val="none" w:sz="0" w:space="0" w:color="auto"/>
          </w:divBdr>
        </w:div>
        <w:div w:id="1398750155">
          <w:marLeft w:val="1080"/>
          <w:marRight w:val="0"/>
          <w:marTop w:val="100"/>
          <w:marBottom w:val="0"/>
          <w:divBdr>
            <w:top w:val="none" w:sz="0" w:space="0" w:color="auto"/>
            <w:left w:val="none" w:sz="0" w:space="0" w:color="auto"/>
            <w:bottom w:val="none" w:sz="0" w:space="0" w:color="auto"/>
            <w:right w:val="none" w:sz="0" w:space="0" w:color="auto"/>
          </w:divBdr>
        </w:div>
        <w:div w:id="1399934203">
          <w:marLeft w:val="360"/>
          <w:marRight w:val="0"/>
          <w:marTop w:val="200"/>
          <w:marBottom w:val="0"/>
          <w:divBdr>
            <w:top w:val="none" w:sz="0" w:space="0" w:color="auto"/>
            <w:left w:val="none" w:sz="0" w:space="0" w:color="auto"/>
            <w:bottom w:val="none" w:sz="0" w:space="0" w:color="auto"/>
            <w:right w:val="none" w:sz="0" w:space="0" w:color="auto"/>
          </w:divBdr>
        </w:div>
        <w:div w:id="1408458486">
          <w:marLeft w:val="1080"/>
          <w:marRight w:val="0"/>
          <w:marTop w:val="100"/>
          <w:marBottom w:val="0"/>
          <w:divBdr>
            <w:top w:val="none" w:sz="0" w:space="0" w:color="auto"/>
            <w:left w:val="none" w:sz="0" w:space="0" w:color="auto"/>
            <w:bottom w:val="none" w:sz="0" w:space="0" w:color="auto"/>
            <w:right w:val="none" w:sz="0" w:space="0" w:color="auto"/>
          </w:divBdr>
        </w:div>
        <w:div w:id="1411929013">
          <w:marLeft w:val="360"/>
          <w:marRight w:val="0"/>
          <w:marTop w:val="200"/>
          <w:marBottom w:val="0"/>
          <w:divBdr>
            <w:top w:val="none" w:sz="0" w:space="0" w:color="auto"/>
            <w:left w:val="none" w:sz="0" w:space="0" w:color="auto"/>
            <w:bottom w:val="none" w:sz="0" w:space="0" w:color="auto"/>
            <w:right w:val="none" w:sz="0" w:space="0" w:color="auto"/>
          </w:divBdr>
        </w:div>
        <w:div w:id="1419448763">
          <w:marLeft w:val="1080"/>
          <w:marRight w:val="0"/>
          <w:marTop w:val="100"/>
          <w:marBottom w:val="0"/>
          <w:divBdr>
            <w:top w:val="none" w:sz="0" w:space="0" w:color="auto"/>
            <w:left w:val="none" w:sz="0" w:space="0" w:color="auto"/>
            <w:bottom w:val="none" w:sz="0" w:space="0" w:color="auto"/>
            <w:right w:val="none" w:sz="0" w:space="0" w:color="auto"/>
          </w:divBdr>
        </w:div>
        <w:div w:id="1450247444">
          <w:marLeft w:val="360"/>
          <w:marRight w:val="0"/>
          <w:marTop w:val="200"/>
          <w:marBottom w:val="0"/>
          <w:divBdr>
            <w:top w:val="none" w:sz="0" w:space="0" w:color="auto"/>
            <w:left w:val="none" w:sz="0" w:space="0" w:color="auto"/>
            <w:bottom w:val="none" w:sz="0" w:space="0" w:color="auto"/>
            <w:right w:val="none" w:sz="0" w:space="0" w:color="auto"/>
          </w:divBdr>
        </w:div>
        <w:div w:id="1469668386">
          <w:marLeft w:val="360"/>
          <w:marRight w:val="0"/>
          <w:marTop w:val="200"/>
          <w:marBottom w:val="0"/>
          <w:divBdr>
            <w:top w:val="none" w:sz="0" w:space="0" w:color="auto"/>
            <w:left w:val="none" w:sz="0" w:space="0" w:color="auto"/>
            <w:bottom w:val="none" w:sz="0" w:space="0" w:color="auto"/>
            <w:right w:val="none" w:sz="0" w:space="0" w:color="auto"/>
          </w:divBdr>
        </w:div>
        <w:div w:id="1473597000">
          <w:marLeft w:val="1080"/>
          <w:marRight w:val="0"/>
          <w:marTop w:val="100"/>
          <w:marBottom w:val="0"/>
          <w:divBdr>
            <w:top w:val="none" w:sz="0" w:space="0" w:color="auto"/>
            <w:left w:val="none" w:sz="0" w:space="0" w:color="auto"/>
            <w:bottom w:val="none" w:sz="0" w:space="0" w:color="auto"/>
            <w:right w:val="none" w:sz="0" w:space="0" w:color="auto"/>
          </w:divBdr>
        </w:div>
        <w:div w:id="1474560378">
          <w:marLeft w:val="1080"/>
          <w:marRight w:val="0"/>
          <w:marTop w:val="100"/>
          <w:marBottom w:val="0"/>
          <w:divBdr>
            <w:top w:val="none" w:sz="0" w:space="0" w:color="auto"/>
            <w:left w:val="none" w:sz="0" w:space="0" w:color="auto"/>
            <w:bottom w:val="none" w:sz="0" w:space="0" w:color="auto"/>
            <w:right w:val="none" w:sz="0" w:space="0" w:color="auto"/>
          </w:divBdr>
        </w:div>
        <w:div w:id="1477645667">
          <w:marLeft w:val="360"/>
          <w:marRight w:val="0"/>
          <w:marTop w:val="200"/>
          <w:marBottom w:val="0"/>
          <w:divBdr>
            <w:top w:val="none" w:sz="0" w:space="0" w:color="auto"/>
            <w:left w:val="none" w:sz="0" w:space="0" w:color="auto"/>
            <w:bottom w:val="none" w:sz="0" w:space="0" w:color="auto"/>
            <w:right w:val="none" w:sz="0" w:space="0" w:color="auto"/>
          </w:divBdr>
        </w:div>
        <w:div w:id="1480151168">
          <w:marLeft w:val="1080"/>
          <w:marRight w:val="0"/>
          <w:marTop w:val="100"/>
          <w:marBottom w:val="0"/>
          <w:divBdr>
            <w:top w:val="none" w:sz="0" w:space="0" w:color="auto"/>
            <w:left w:val="none" w:sz="0" w:space="0" w:color="auto"/>
            <w:bottom w:val="none" w:sz="0" w:space="0" w:color="auto"/>
            <w:right w:val="none" w:sz="0" w:space="0" w:color="auto"/>
          </w:divBdr>
        </w:div>
        <w:div w:id="1491629098">
          <w:marLeft w:val="1080"/>
          <w:marRight w:val="0"/>
          <w:marTop w:val="100"/>
          <w:marBottom w:val="0"/>
          <w:divBdr>
            <w:top w:val="none" w:sz="0" w:space="0" w:color="auto"/>
            <w:left w:val="none" w:sz="0" w:space="0" w:color="auto"/>
            <w:bottom w:val="none" w:sz="0" w:space="0" w:color="auto"/>
            <w:right w:val="none" w:sz="0" w:space="0" w:color="auto"/>
          </w:divBdr>
        </w:div>
        <w:div w:id="1503206931">
          <w:marLeft w:val="360"/>
          <w:marRight w:val="0"/>
          <w:marTop w:val="200"/>
          <w:marBottom w:val="0"/>
          <w:divBdr>
            <w:top w:val="none" w:sz="0" w:space="0" w:color="auto"/>
            <w:left w:val="none" w:sz="0" w:space="0" w:color="auto"/>
            <w:bottom w:val="none" w:sz="0" w:space="0" w:color="auto"/>
            <w:right w:val="none" w:sz="0" w:space="0" w:color="auto"/>
          </w:divBdr>
        </w:div>
        <w:div w:id="1506552320">
          <w:marLeft w:val="360"/>
          <w:marRight w:val="0"/>
          <w:marTop w:val="200"/>
          <w:marBottom w:val="0"/>
          <w:divBdr>
            <w:top w:val="none" w:sz="0" w:space="0" w:color="auto"/>
            <w:left w:val="none" w:sz="0" w:space="0" w:color="auto"/>
            <w:bottom w:val="none" w:sz="0" w:space="0" w:color="auto"/>
            <w:right w:val="none" w:sz="0" w:space="0" w:color="auto"/>
          </w:divBdr>
        </w:div>
        <w:div w:id="1515654637">
          <w:marLeft w:val="1080"/>
          <w:marRight w:val="0"/>
          <w:marTop w:val="100"/>
          <w:marBottom w:val="0"/>
          <w:divBdr>
            <w:top w:val="none" w:sz="0" w:space="0" w:color="auto"/>
            <w:left w:val="none" w:sz="0" w:space="0" w:color="auto"/>
            <w:bottom w:val="none" w:sz="0" w:space="0" w:color="auto"/>
            <w:right w:val="none" w:sz="0" w:space="0" w:color="auto"/>
          </w:divBdr>
        </w:div>
        <w:div w:id="1520579759">
          <w:marLeft w:val="360"/>
          <w:marRight w:val="0"/>
          <w:marTop w:val="200"/>
          <w:marBottom w:val="0"/>
          <w:divBdr>
            <w:top w:val="none" w:sz="0" w:space="0" w:color="auto"/>
            <w:left w:val="none" w:sz="0" w:space="0" w:color="auto"/>
            <w:bottom w:val="none" w:sz="0" w:space="0" w:color="auto"/>
            <w:right w:val="none" w:sz="0" w:space="0" w:color="auto"/>
          </w:divBdr>
        </w:div>
        <w:div w:id="1560282957">
          <w:marLeft w:val="360"/>
          <w:marRight w:val="0"/>
          <w:marTop w:val="200"/>
          <w:marBottom w:val="0"/>
          <w:divBdr>
            <w:top w:val="none" w:sz="0" w:space="0" w:color="auto"/>
            <w:left w:val="none" w:sz="0" w:space="0" w:color="auto"/>
            <w:bottom w:val="none" w:sz="0" w:space="0" w:color="auto"/>
            <w:right w:val="none" w:sz="0" w:space="0" w:color="auto"/>
          </w:divBdr>
        </w:div>
        <w:div w:id="1588223896">
          <w:marLeft w:val="1080"/>
          <w:marRight w:val="0"/>
          <w:marTop w:val="100"/>
          <w:marBottom w:val="0"/>
          <w:divBdr>
            <w:top w:val="none" w:sz="0" w:space="0" w:color="auto"/>
            <w:left w:val="none" w:sz="0" w:space="0" w:color="auto"/>
            <w:bottom w:val="none" w:sz="0" w:space="0" w:color="auto"/>
            <w:right w:val="none" w:sz="0" w:space="0" w:color="auto"/>
          </w:divBdr>
        </w:div>
        <w:div w:id="1589735277">
          <w:marLeft w:val="360"/>
          <w:marRight w:val="0"/>
          <w:marTop w:val="200"/>
          <w:marBottom w:val="0"/>
          <w:divBdr>
            <w:top w:val="none" w:sz="0" w:space="0" w:color="auto"/>
            <w:left w:val="none" w:sz="0" w:space="0" w:color="auto"/>
            <w:bottom w:val="none" w:sz="0" w:space="0" w:color="auto"/>
            <w:right w:val="none" w:sz="0" w:space="0" w:color="auto"/>
          </w:divBdr>
        </w:div>
        <w:div w:id="1591573697">
          <w:marLeft w:val="360"/>
          <w:marRight w:val="0"/>
          <w:marTop w:val="200"/>
          <w:marBottom w:val="0"/>
          <w:divBdr>
            <w:top w:val="none" w:sz="0" w:space="0" w:color="auto"/>
            <w:left w:val="none" w:sz="0" w:space="0" w:color="auto"/>
            <w:bottom w:val="none" w:sz="0" w:space="0" w:color="auto"/>
            <w:right w:val="none" w:sz="0" w:space="0" w:color="auto"/>
          </w:divBdr>
        </w:div>
        <w:div w:id="1594514524">
          <w:marLeft w:val="1080"/>
          <w:marRight w:val="0"/>
          <w:marTop w:val="100"/>
          <w:marBottom w:val="0"/>
          <w:divBdr>
            <w:top w:val="none" w:sz="0" w:space="0" w:color="auto"/>
            <w:left w:val="none" w:sz="0" w:space="0" w:color="auto"/>
            <w:bottom w:val="none" w:sz="0" w:space="0" w:color="auto"/>
            <w:right w:val="none" w:sz="0" w:space="0" w:color="auto"/>
          </w:divBdr>
        </w:div>
        <w:div w:id="1607811732">
          <w:marLeft w:val="1080"/>
          <w:marRight w:val="0"/>
          <w:marTop w:val="100"/>
          <w:marBottom w:val="0"/>
          <w:divBdr>
            <w:top w:val="none" w:sz="0" w:space="0" w:color="auto"/>
            <w:left w:val="none" w:sz="0" w:space="0" w:color="auto"/>
            <w:bottom w:val="none" w:sz="0" w:space="0" w:color="auto"/>
            <w:right w:val="none" w:sz="0" w:space="0" w:color="auto"/>
          </w:divBdr>
        </w:div>
        <w:div w:id="1614826535">
          <w:marLeft w:val="360"/>
          <w:marRight w:val="0"/>
          <w:marTop w:val="200"/>
          <w:marBottom w:val="0"/>
          <w:divBdr>
            <w:top w:val="none" w:sz="0" w:space="0" w:color="auto"/>
            <w:left w:val="none" w:sz="0" w:space="0" w:color="auto"/>
            <w:bottom w:val="none" w:sz="0" w:space="0" w:color="auto"/>
            <w:right w:val="none" w:sz="0" w:space="0" w:color="auto"/>
          </w:divBdr>
        </w:div>
        <w:div w:id="1653755206">
          <w:marLeft w:val="360"/>
          <w:marRight w:val="0"/>
          <w:marTop w:val="200"/>
          <w:marBottom w:val="0"/>
          <w:divBdr>
            <w:top w:val="none" w:sz="0" w:space="0" w:color="auto"/>
            <w:left w:val="none" w:sz="0" w:space="0" w:color="auto"/>
            <w:bottom w:val="none" w:sz="0" w:space="0" w:color="auto"/>
            <w:right w:val="none" w:sz="0" w:space="0" w:color="auto"/>
          </w:divBdr>
        </w:div>
        <w:div w:id="1656568400">
          <w:marLeft w:val="360"/>
          <w:marRight w:val="0"/>
          <w:marTop w:val="200"/>
          <w:marBottom w:val="0"/>
          <w:divBdr>
            <w:top w:val="none" w:sz="0" w:space="0" w:color="auto"/>
            <w:left w:val="none" w:sz="0" w:space="0" w:color="auto"/>
            <w:bottom w:val="none" w:sz="0" w:space="0" w:color="auto"/>
            <w:right w:val="none" w:sz="0" w:space="0" w:color="auto"/>
          </w:divBdr>
        </w:div>
        <w:div w:id="1675256197">
          <w:marLeft w:val="360"/>
          <w:marRight w:val="0"/>
          <w:marTop w:val="200"/>
          <w:marBottom w:val="0"/>
          <w:divBdr>
            <w:top w:val="none" w:sz="0" w:space="0" w:color="auto"/>
            <w:left w:val="none" w:sz="0" w:space="0" w:color="auto"/>
            <w:bottom w:val="none" w:sz="0" w:space="0" w:color="auto"/>
            <w:right w:val="none" w:sz="0" w:space="0" w:color="auto"/>
          </w:divBdr>
        </w:div>
        <w:div w:id="1675836644">
          <w:marLeft w:val="1080"/>
          <w:marRight w:val="0"/>
          <w:marTop w:val="100"/>
          <w:marBottom w:val="0"/>
          <w:divBdr>
            <w:top w:val="none" w:sz="0" w:space="0" w:color="auto"/>
            <w:left w:val="none" w:sz="0" w:space="0" w:color="auto"/>
            <w:bottom w:val="none" w:sz="0" w:space="0" w:color="auto"/>
            <w:right w:val="none" w:sz="0" w:space="0" w:color="auto"/>
          </w:divBdr>
        </w:div>
        <w:div w:id="1676766366">
          <w:marLeft w:val="1080"/>
          <w:marRight w:val="0"/>
          <w:marTop w:val="100"/>
          <w:marBottom w:val="0"/>
          <w:divBdr>
            <w:top w:val="none" w:sz="0" w:space="0" w:color="auto"/>
            <w:left w:val="none" w:sz="0" w:space="0" w:color="auto"/>
            <w:bottom w:val="none" w:sz="0" w:space="0" w:color="auto"/>
            <w:right w:val="none" w:sz="0" w:space="0" w:color="auto"/>
          </w:divBdr>
        </w:div>
        <w:div w:id="1677924676">
          <w:marLeft w:val="1080"/>
          <w:marRight w:val="0"/>
          <w:marTop w:val="100"/>
          <w:marBottom w:val="0"/>
          <w:divBdr>
            <w:top w:val="none" w:sz="0" w:space="0" w:color="auto"/>
            <w:left w:val="none" w:sz="0" w:space="0" w:color="auto"/>
            <w:bottom w:val="none" w:sz="0" w:space="0" w:color="auto"/>
            <w:right w:val="none" w:sz="0" w:space="0" w:color="auto"/>
          </w:divBdr>
        </w:div>
        <w:div w:id="1685664597">
          <w:marLeft w:val="1080"/>
          <w:marRight w:val="0"/>
          <w:marTop w:val="100"/>
          <w:marBottom w:val="0"/>
          <w:divBdr>
            <w:top w:val="none" w:sz="0" w:space="0" w:color="auto"/>
            <w:left w:val="none" w:sz="0" w:space="0" w:color="auto"/>
            <w:bottom w:val="none" w:sz="0" w:space="0" w:color="auto"/>
            <w:right w:val="none" w:sz="0" w:space="0" w:color="auto"/>
          </w:divBdr>
        </w:div>
        <w:div w:id="1703243295">
          <w:marLeft w:val="1080"/>
          <w:marRight w:val="0"/>
          <w:marTop w:val="100"/>
          <w:marBottom w:val="0"/>
          <w:divBdr>
            <w:top w:val="none" w:sz="0" w:space="0" w:color="auto"/>
            <w:left w:val="none" w:sz="0" w:space="0" w:color="auto"/>
            <w:bottom w:val="none" w:sz="0" w:space="0" w:color="auto"/>
            <w:right w:val="none" w:sz="0" w:space="0" w:color="auto"/>
          </w:divBdr>
        </w:div>
        <w:div w:id="1710372801">
          <w:marLeft w:val="360"/>
          <w:marRight w:val="0"/>
          <w:marTop w:val="200"/>
          <w:marBottom w:val="0"/>
          <w:divBdr>
            <w:top w:val="none" w:sz="0" w:space="0" w:color="auto"/>
            <w:left w:val="none" w:sz="0" w:space="0" w:color="auto"/>
            <w:bottom w:val="none" w:sz="0" w:space="0" w:color="auto"/>
            <w:right w:val="none" w:sz="0" w:space="0" w:color="auto"/>
          </w:divBdr>
        </w:div>
        <w:div w:id="1719738226">
          <w:marLeft w:val="360"/>
          <w:marRight w:val="0"/>
          <w:marTop w:val="200"/>
          <w:marBottom w:val="0"/>
          <w:divBdr>
            <w:top w:val="none" w:sz="0" w:space="0" w:color="auto"/>
            <w:left w:val="none" w:sz="0" w:space="0" w:color="auto"/>
            <w:bottom w:val="none" w:sz="0" w:space="0" w:color="auto"/>
            <w:right w:val="none" w:sz="0" w:space="0" w:color="auto"/>
          </w:divBdr>
        </w:div>
        <w:div w:id="1726223777">
          <w:marLeft w:val="1080"/>
          <w:marRight w:val="0"/>
          <w:marTop w:val="100"/>
          <w:marBottom w:val="0"/>
          <w:divBdr>
            <w:top w:val="none" w:sz="0" w:space="0" w:color="auto"/>
            <w:left w:val="none" w:sz="0" w:space="0" w:color="auto"/>
            <w:bottom w:val="none" w:sz="0" w:space="0" w:color="auto"/>
            <w:right w:val="none" w:sz="0" w:space="0" w:color="auto"/>
          </w:divBdr>
        </w:div>
        <w:div w:id="1727878846">
          <w:marLeft w:val="360"/>
          <w:marRight w:val="0"/>
          <w:marTop w:val="200"/>
          <w:marBottom w:val="0"/>
          <w:divBdr>
            <w:top w:val="none" w:sz="0" w:space="0" w:color="auto"/>
            <w:left w:val="none" w:sz="0" w:space="0" w:color="auto"/>
            <w:bottom w:val="none" w:sz="0" w:space="0" w:color="auto"/>
            <w:right w:val="none" w:sz="0" w:space="0" w:color="auto"/>
          </w:divBdr>
        </w:div>
        <w:div w:id="1733574041">
          <w:marLeft w:val="360"/>
          <w:marRight w:val="0"/>
          <w:marTop w:val="200"/>
          <w:marBottom w:val="0"/>
          <w:divBdr>
            <w:top w:val="none" w:sz="0" w:space="0" w:color="auto"/>
            <w:left w:val="none" w:sz="0" w:space="0" w:color="auto"/>
            <w:bottom w:val="none" w:sz="0" w:space="0" w:color="auto"/>
            <w:right w:val="none" w:sz="0" w:space="0" w:color="auto"/>
          </w:divBdr>
        </w:div>
        <w:div w:id="1743018107">
          <w:marLeft w:val="360"/>
          <w:marRight w:val="0"/>
          <w:marTop w:val="200"/>
          <w:marBottom w:val="0"/>
          <w:divBdr>
            <w:top w:val="none" w:sz="0" w:space="0" w:color="auto"/>
            <w:left w:val="none" w:sz="0" w:space="0" w:color="auto"/>
            <w:bottom w:val="none" w:sz="0" w:space="0" w:color="auto"/>
            <w:right w:val="none" w:sz="0" w:space="0" w:color="auto"/>
          </w:divBdr>
        </w:div>
        <w:div w:id="1743021871">
          <w:marLeft w:val="360"/>
          <w:marRight w:val="0"/>
          <w:marTop w:val="200"/>
          <w:marBottom w:val="0"/>
          <w:divBdr>
            <w:top w:val="none" w:sz="0" w:space="0" w:color="auto"/>
            <w:left w:val="none" w:sz="0" w:space="0" w:color="auto"/>
            <w:bottom w:val="none" w:sz="0" w:space="0" w:color="auto"/>
            <w:right w:val="none" w:sz="0" w:space="0" w:color="auto"/>
          </w:divBdr>
        </w:div>
        <w:div w:id="1745956890">
          <w:marLeft w:val="360"/>
          <w:marRight w:val="0"/>
          <w:marTop w:val="200"/>
          <w:marBottom w:val="0"/>
          <w:divBdr>
            <w:top w:val="none" w:sz="0" w:space="0" w:color="auto"/>
            <w:left w:val="none" w:sz="0" w:space="0" w:color="auto"/>
            <w:bottom w:val="none" w:sz="0" w:space="0" w:color="auto"/>
            <w:right w:val="none" w:sz="0" w:space="0" w:color="auto"/>
          </w:divBdr>
        </w:div>
        <w:div w:id="1748915024">
          <w:marLeft w:val="360"/>
          <w:marRight w:val="0"/>
          <w:marTop w:val="200"/>
          <w:marBottom w:val="0"/>
          <w:divBdr>
            <w:top w:val="none" w:sz="0" w:space="0" w:color="auto"/>
            <w:left w:val="none" w:sz="0" w:space="0" w:color="auto"/>
            <w:bottom w:val="none" w:sz="0" w:space="0" w:color="auto"/>
            <w:right w:val="none" w:sz="0" w:space="0" w:color="auto"/>
          </w:divBdr>
        </w:div>
        <w:div w:id="1776246511">
          <w:marLeft w:val="360"/>
          <w:marRight w:val="0"/>
          <w:marTop w:val="200"/>
          <w:marBottom w:val="0"/>
          <w:divBdr>
            <w:top w:val="none" w:sz="0" w:space="0" w:color="auto"/>
            <w:left w:val="none" w:sz="0" w:space="0" w:color="auto"/>
            <w:bottom w:val="none" w:sz="0" w:space="0" w:color="auto"/>
            <w:right w:val="none" w:sz="0" w:space="0" w:color="auto"/>
          </w:divBdr>
        </w:div>
        <w:div w:id="1779256765">
          <w:marLeft w:val="1080"/>
          <w:marRight w:val="0"/>
          <w:marTop w:val="100"/>
          <w:marBottom w:val="0"/>
          <w:divBdr>
            <w:top w:val="none" w:sz="0" w:space="0" w:color="auto"/>
            <w:left w:val="none" w:sz="0" w:space="0" w:color="auto"/>
            <w:bottom w:val="none" w:sz="0" w:space="0" w:color="auto"/>
            <w:right w:val="none" w:sz="0" w:space="0" w:color="auto"/>
          </w:divBdr>
        </w:div>
        <w:div w:id="1784380709">
          <w:marLeft w:val="1080"/>
          <w:marRight w:val="0"/>
          <w:marTop w:val="100"/>
          <w:marBottom w:val="0"/>
          <w:divBdr>
            <w:top w:val="none" w:sz="0" w:space="0" w:color="auto"/>
            <w:left w:val="none" w:sz="0" w:space="0" w:color="auto"/>
            <w:bottom w:val="none" w:sz="0" w:space="0" w:color="auto"/>
            <w:right w:val="none" w:sz="0" w:space="0" w:color="auto"/>
          </w:divBdr>
        </w:div>
        <w:div w:id="1813594105">
          <w:marLeft w:val="1080"/>
          <w:marRight w:val="0"/>
          <w:marTop w:val="100"/>
          <w:marBottom w:val="0"/>
          <w:divBdr>
            <w:top w:val="none" w:sz="0" w:space="0" w:color="auto"/>
            <w:left w:val="none" w:sz="0" w:space="0" w:color="auto"/>
            <w:bottom w:val="none" w:sz="0" w:space="0" w:color="auto"/>
            <w:right w:val="none" w:sz="0" w:space="0" w:color="auto"/>
          </w:divBdr>
        </w:div>
        <w:div w:id="1820149634">
          <w:marLeft w:val="360"/>
          <w:marRight w:val="0"/>
          <w:marTop w:val="200"/>
          <w:marBottom w:val="0"/>
          <w:divBdr>
            <w:top w:val="none" w:sz="0" w:space="0" w:color="auto"/>
            <w:left w:val="none" w:sz="0" w:space="0" w:color="auto"/>
            <w:bottom w:val="none" w:sz="0" w:space="0" w:color="auto"/>
            <w:right w:val="none" w:sz="0" w:space="0" w:color="auto"/>
          </w:divBdr>
        </w:div>
        <w:div w:id="1832133039">
          <w:marLeft w:val="360"/>
          <w:marRight w:val="0"/>
          <w:marTop w:val="200"/>
          <w:marBottom w:val="0"/>
          <w:divBdr>
            <w:top w:val="none" w:sz="0" w:space="0" w:color="auto"/>
            <w:left w:val="none" w:sz="0" w:space="0" w:color="auto"/>
            <w:bottom w:val="none" w:sz="0" w:space="0" w:color="auto"/>
            <w:right w:val="none" w:sz="0" w:space="0" w:color="auto"/>
          </w:divBdr>
        </w:div>
        <w:div w:id="1861629152">
          <w:marLeft w:val="1080"/>
          <w:marRight w:val="0"/>
          <w:marTop w:val="100"/>
          <w:marBottom w:val="0"/>
          <w:divBdr>
            <w:top w:val="none" w:sz="0" w:space="0" w:color="auto"/>
            <w:left w:val="none" w:sz="0" w:space="0" w:color="auto"/>
            <w:bottom w:val="none" w:sz="0" w:space="0" w:color="auto"/>
            <w:right w:val="none" w:sz="0" w:space="0" w:color="auto"/>
          </w:divBdr>
        </w:div>
        <w:div w:id="1869101836">
          <w:marLeft w:val="1080"/>
          <w:marRight w:val="0"/>
          <w:marTop w:val="200"/>
          <w:marBottom w:val="0"/>
          <w:divBdr>
            <w:top w:val="none" w:sz="0" w:space="0" w:color="auto"/>
            <w:left w:val="none" w:sz="0" w:space="0" w:color="auto"/>
            <w:bottom w:val="none" w:sz="0" w:space="0" w:color="auto"/>
            <w:right w:val="none" w:sz="0" w:space="0" w:color="auto"/>
          </w:divBdr>
        </w:div>
        <w:div w:id="1874808193">
          <w:marLeft w:val="1080"/>
          <w:marRight w:val="0"/>
          <w:marTop w:val="100"/>
          <w:marBottom w:val="0"/>
          <w:divBdr>
            <w:top w:val="none" w:sz="0" w:space="0" w:color="auto"/>
            <w:left w:val="none" w:sz="0" w:space="0" w:color="auto"/>
            <w:bottom w:val="none" w:sz="0" w:space="0" w:color="auto"/>
            <w:right w:val="none" w:sz="0" w:space="0" w:color="auto"/>
          </w:divBdr>
        </w:div>
        <w:div w:id="1886871306">
          <w:marLeft w:val="1080"/>
          <w:marRight w:val="0"/>
          <w:marTop w:val="100"/>
          <w:marBottom w:val="0"/>
          <w:divBdr>
            <w:top w:val="none" w:sz="0" w:space="0" w:color="auto"/>
            <w:left w:val="none" w:sz="0" w:space="0" w:color="auto"/>
            <w:bottom w:val="none" w:sz="0" w:space="0" w:color="auto"/>
            <w:right w:val="none" w:sz="0" w:space="0" w:color="auto"/>
          </w:divBdr>
        </w:div>
        <w:div w:id="1887181783">
          <w:marLeft w:val="360"/>
          <w:marRight w:val="0"/>
          <w:marTop w:val="200"/>
          <w:marBottom w:val="0"/>
          <w:divBdr>
            <w:top w:val="none" w:sz="0" w:space="0" w:color="auto"/>
            <w:left w:val="none" w:sz="0" w:space="0" w:color="auto"/>
            <w:bottom w:val="none" w:sz="0" w:space="0" w:color="auto"/>
            <w:right w:val="none" w:sz="0" w:space="0" w:color="auto"/>
          </w:divBdr>
        </w:div>
        <w:div w:id="1898928951">
          <w:marLeft w:val="1080"/>
          <w:marRight w:val="0"/>
          <w:marTop w:val="100"/>
          <w:marBottom w:val="0"/>
          <w:divBdr>
            <w:top w:val="none" w:sz="0" w:space="0" w:color="auto"/>
            <w:left w:val="none" w:sz="0" w:space="0" w:color="auto"/>
            <w:bottom w:val="none" w:sz="0" w:space="0" w:color="auto"/>
            <w:right w:val="none" w:sz="0" w:space="0" w:color="auto"/>
          </w:divBdr>
        </w:div>
        <w:div w:id="1899436071">
          <w:marLeft w:val="360"/>
          <w:marRight w:val="0"/>
          <w:marTop w:val="200"/>
          <w:marBottom w:val="0"/>
          <w:divBdr>
            <w:top w:val="none" w:sz="0" w:space="0" w:color="auto"/>
            <w:left w:val="none" w:sz="0" w:space="0" w:color="auto"/>
            <w:bottom w:val="none" w:sz="0" w:space="0" w:color="auto"/>
            <w:right w:val="none" w:sz="0" w:space="0" w:color="auto"/>
          </w:divBdr>
        </w:div>
        <w:div w:id="1911698538">
          <w:marLeft w:val="360"/>
          <w:marRight w:val="0"/>
          <w:marTop w:val="200"/>
          <w:marBottom w:val="0"/>
          <w:divBdr>
            <w:top w:val="none" w:sz="0" w:space="0" w:color="auto"/>
            <w:left w:val="none" w:sz="0" w:space="0" w:color="auto"/>
            <w:bottom w:val="none" w:sz="0" w:space="0" w:color="auto"/>
            <w:right w:val="none" w:sz="0" w:space="0" w:color="auto"/>
          </w:divBdr>
        </w:div>
        <w:div w:id="1914388683">
          <w:marLeft w:val="360"/>
          <w:marRight w:val="0"/>
          <w:marTop w:val="200"/>
          <w:marBottom w:val="0"/>
          <w:divBdr>
            <w:top w:val="none" w:sz="0" w:space="0" w:color="auto"/>
            <w:left w:val="none" w:sz="0" w:space="0" w:color="auto"/>
            <w:bottom w:val="none" w:sz="0" w:space="0" w:color="auto"/>
            <w:right w:val="none" w:sz="0" w:space="0" w:color="auto"/>
          </w:divBdr>
        </w:div>
        <w:div w:id="1924220467">
          <w:marLeft w:val="360"/>
          <w:marRight w:val="0"/>
          <w:marTop w:val="200"/>
          <w:marBottom w:val="0"/>
          <w:divBdr>
            <w:top w:val="none" w:sz="0" w:space="0" w:color="auto"/>
            <w:left w:val="none" w:sz="0" w:space="0" w:color="auto"/>
            <w:bottom w:val="none" w:sz="0" w:space="0" w:color="auto"/>
            <w:right w:val="none" w:sz="0" w:space="0" w:color="auto"/>
          </w:divBdr>
        </w:div>
        <w:div w:id="1931889800">
          <w:marLeft w:val="360"/>
          <w:marRight w:val="0"/>
          <w:marTop w:val="200"/>
          <w:marBottom w:val="0"/>
          <w:divBdr>
            <w:top w:val="none" w:sz="0" w:space="0" w:color="auto"/>
            <w:left w:val="none" w:sz="0" w:space="0" w:color="auto"/>
            <w:bottom w:val="none" w:sz="0" w:space="0" w:color="auto"/>
            <w:right w:val="none" w:sz="0" w:space="0" w:color="auto"/>
          </w:divBdr>
        </w:div>
        <w:div w:id="1941404319">
          <w:marLeft w:val="1080"/>
          <w:marRight w:val="0"/>
          <w:marTop w:val="100"/>
          <w:marBottom w:val="0"/>
          <w:divBdr>
            <w:top w:val="none" w:sz="0" w:space="0" w:color="auto"/>
            <w:left w:val="none" w:sz="0" w:space="0" w:color="auto"/>
            <w:bottom w:val="none" w:sz="0" w:space="0" w:color="auto"/>
            <w:right w:val="none" w:sz="0" w:space="0" w:color="auto"/>
          </w:divBdr>
        </w:div>
        <w:div w:id="1945723601">
          <w:marLeft w:val="360"/>
          <w:marRight w:val="0"/>
          <w:marTop w:val="200"/>
          <w:marBottom w:val="0"/>
          <w:divBdr>
            <w:top w:val="none" w:sz="0" w:space="0" w:color="auto"/>
            <w:left w:val="none" w:sz="0" w:space="0" w:color="auto"/>
            <w:bottom w:val="none" w:sz="0" w:space="0" w:color="auto"/>
            <w:right w:val="none" w:sz="0" w:space="0" w:color="auto"/>
          </w:divBdr>
        </w:div>
        <w:div w:id="2027096738">
          <w:marLeft w:val="360"/>
          <w:marRight w:val="0"/>
          <w:marTop w:val="200"/>
          <w:marBottom w:val="0"/>
          <w:divBdr>
            <w:top w:val="none" w:sz="0" w:space="0" w:color="auto"/>
            <w:left w:val="none" w:sz="0" w:space="0" w:color="auto"/>
            <w:bottom w:val="none" w:sz="0" w:space="0" w:color="auto"/>
            <w:right w:val="none" w:sz="0" w:space="0" w:color="auto"/>
          </w:divBdr>
        </w:div>
        <w:div w:id="2043939671">
          <w:marLeft w:val="1080"/>
          <w:marRight w:val="0"/>
          <w:marTop w:val="100"/>
          <w:marBottom w:val="0"/>
          <w:divBdr>
            <w:top w:val="none" w:sz="0" w:space="0" w:color="auto"/>
            <w:left w:val="none" w:sz="0" w:space="0" w:color="auto"/>
            <w:bottom w:val="none" w:sz="0" w:space="0" w:color="auto"/>
            <w:right w:val="none" w:sz="0" w:space="0" w:color="auto"/>
          </w:divBdr>
        </w:div>
        <w:div w:id="2054303570">
          <w:marLeft w:val="360"/>
          <w:marRight w:val="0"/>
          <w:marTop w:val="200"/>
          <w:marBottom w:val="0"/>
          <w:divBdr>
            <w:top w:val="none" w:sz="0" w:space="0" w:color="auto"/>
            <w:left w:val="none" w:sz="0" w:space="0" w:color="auto"/>
            <w:bottom w:val="none" w:sz="0" w:space="0" w:color="auto"/>
            <w:right w:val="none" w:sz="0" w:space="0" w:color="auto"/>
          </w:divBdr>
        </w:div>
        <w:div w:id="2070572815">
          <w:marLeft w:val="360"/>
          <w:marRight w:val="0"/>
          <w:marTop w:val="200"/>
          <w:marBottom w:val="0"/>
          <w:divBdr>
            <w:top w:val="none" w:sz="0" w:space="0" w:color="auto"/>
            <w:left w:val="none" w:sz="0" w:space="0" w:color="auto"/>
            <w:bottom w:val="none" w:sz="0" w:space="0" w:color="auto"/>
            <w:right w:val="none" w:sz="0" w:space="0" w:color="auto"/>
          </w:divBdr>
        </w:div>
        <w:div w:id="2074349923">
          <w:marLeft w:val="360"/>
          <w:marRight w:val="0"/>
          <w:marTop w:val="200"/>
          <w:marBottom w:val="0"/>
          <w:divBdr>
            <w:top w:val="none" w:sz="0" w:space="0" w:color="auto"/>
            <w:left w:val="none" w:sz="0" w:space="0" w:color="auto"/>
            <w:bottom w:val="none" w:sz="0" w:space="0" w:color="auto"/>
            <w:right w:val="none" w:sz="0" w:space="0" w:color="auto"/>
          </w:divBdr>
        </w:div>
        <w:div w:id="2077895533">
          <w:marLeft w:val="360"/>
          <w:marRight w:val="0"/>
          <w:marTop w:val="200"/>
          <w:marBottom w:val="0"/>
          <w:divBdr>
            <w:top w:val="none" w:sz="0" w:space="0" w:color="auto"/>
            <w:left w:val="none" w:sz="0" w:space="0" w:color="auto"/>
            <w:bottom w:val="none" w:sz="0" w:space="0" w:color="auto"/>
            <w:right w:val="none" w:sz="0" w:space="0" w:color="auto"/>
          </w:divBdr>
        </w:div>
        <w:div w:id="2094470282">
          <w:marLeft w:val="360"/>
          <w:marRight w:val="0"/>
          <w:marTop w:val="200"/>
          <w:marBottom w:val="0"/>
          <w:divBdr>
            <w:top w:val="none" w:sz="0" w:space="0" w:color="auto"/>
            <w:left w:val="none" w:sz="0" w:space="0" w:color="auto"/>
            <w:bottom w:val="none" w:sz="0" w:space="0" w:color="auto"/>
            <w:right w:val="none" w:sz="0" w:space="0" w:color="auto"/>
          </w:divBdr>
        </w:div>
        <w:div w:id="2105689372">
          <w:marLeft w:val="360"/>
          <w:marRight w:val="0"/>
          <w:marTop w:val="200"/>
          <w:marBottom w:val="0"/>
          <w:divBdr>
            <w:top w:val="none" w:sz="0" w:space="0" w:color="auto"/>
            <w:left w:val="none" w:sz="0" w:space="0" w:color="auto"/>
            <w:bottom w:val="none" w:sz="0" w:space="0" w:color="auto"/>
            <w:right w:val="none" w:sz="0" w:space="0" w:color="auto"/>
          </w:divBdr>
        </w:div>
        <w:div w:id="2111389370">
          <w:marLeft w:val="1080"/>
          <w:marRight w:val="0"/>
          <w:marTop w:val="100"/>
          <w:marBottom w:val="0"/>
          <w:divBdr>
            <w:top w:val="none" w:sz="0" w:space="0" w:color="auto"/>
            <w:left w:val="none" w:sz="0" w:space="0" w:color="auto"/>
            <w:bottom w:val="none" w:sz="0" w:space="0" w:color="auto"/>
            <w:right w:val="none" w:sz="0" w:space="0" w:color="auto"/>
          </w:divBdr>
        </w:div>
        <w:div w:id="2138254342">
          <w:marLeft w:val="360"/>
          <w:marRight w:val="0"/>
          <w:marTop w:val="200"/>
          <w:marBottom w:val="0"/>
          <w:divBdr>
            <w:top w:val="none" w:sz="0" w:space="0" w:color="auto"/>
            <w:left w:val="none" w:sz="0" w:space="0" w:color="auto"/>
            <w:bottom w:val="none" w:sz="0" w:space="0" w:color="auto"/>
            <w:right w:val="none" w:sz="0" w:space="0" w:color="auto"/>
          </w:divBdr>
        </w:div>
      </w:divsChild>
    </w:div>
    <w:div w:id="1215695567">
      <w:bodyDiv w:val="1"/>
      <w:marLeft w:val="0"/>
      <w:marRight w:val="0"/>
      <w:marTop w:val="0"/>
      <w:marBottom w:val="0"/>
      <w:divBdr>
        <w:top w:val="none" w:sz="0" w:space="0" w:color="auto"/>
        <w:left w:val="none" w:sz="0" w:space="0" w:color="auto"/>
        <w:bottom w:val="none" w:sz="0" w:space="0" w:color="auto"/>
        <w:right w:val="none" w:sz="0" w:space="0" w:color="auto"/>
      </w:divBdr>
    </w:div>
    <w:div w:id="1284459846">
      <w:bodyDiv w:val="1"/>
      <w:marLeft w:val="0"/>
      <w:marRight w:val="0"/>
      <w:marTop w:val="0"/>
      <w:marBottom w:val="0"/>
      <w:divBdr>
        <w:top w:val="none" w:sz="0" w:space="0" w:color="auto"/>
        <w:left w:val="none" w:sz="0" w:space="0" w:color="auto"/>
        <w:bottom w:val="none" w:sz="0" w:space="0" w:color="auto"/>
        <w:right w:val="none" w:sz="0" w:space="0" w:color="auto"/>
      </w:divBdr>
    </w:div>
    <w:div w:id="1299141516">
      <w:bodyDiv w:val="1"/>
      <w:marLeft w:val="0"/>
      <w:marRight w:val="0"/>
      <w:marTop w:val="0"/>
      <w:marBottom w:val="0"/>
      <w:divBdr>
        <w:top w:val="none" w:sz="0" w:space="0" w:color="auto"/>
        <w:left w:val="none" w:sz="0" w:space="0" w:color="auto"/>
        <w:bottom w:val="none" w:sz="0" w:space="0" w:color="auto"/>
        <w:right w:val="none" w:sz="0" w:space="0" w:color="auto"/>
      </w:divBdr>
    </w:div>
    <w:div w:id="1331062256">
      <w:bodyDiv w:val="1"/>
      <w:marLeft w:val="0"/>
      <w:marRight w:val="0"/>
      <w:marTop w:val="0"/>
      <w:marBottom w:val="0"/>
      <w:divBdr>
        <w:top w:val="none" w:sz="0" w:space="0" w:color="auto"/>
        <w:left w:val="none" w:sz="0" w:space="0" w:color="auto"/>
        <w:bottom w:val="none" w:sz="0" w:space="0" w:color="auto"/>
        <w:right w:val="none" w:sz="0" w:space="0" w:color="auto"/>
      </w:divBdr>
    </w:div>
    <w:div w:id="1360427771">
      <w:bodyDiv w:val="1"/>
      <w:marLeft w:val="0"/>
      <w:marRight w:val="0"/>
      <w:marTop w:val="0"/>
      <w:marBottom w:val="0"/>
      <w:divBdr>
        <w:top w:val="none" w:sz="0" w:space="0" w:color="auto"/>
        <w:left w:val="none" w:sz="0" w:space="0" w:color="auto"/>
        <w:bottom w:val="none" w:sz="0" w:space="0" w:color="auto"/>
        <w:right w:val="none" w:sz="0" w:space="0" w:color="auto"/>
      </w:divBdr>
    </w:div>
    <w:div w:id="1380129351">
      <w:bodyDiv w:val="1"/>
      <w:marLeft w:val="0"/>
      <w:marRight w:val="0"/>
      <w:marTop w:val="0"/>
      <w:marBottom w:val="0"/>
      <w:divBdr>
        <w:top w:val="none" w:sz="0" w:space="0" w:color="auto"/>
        <w:left w:val="none" w:sz="0" w:space="0" w:color="auto"/>
        <w:bottom w:val="none" w:sz="0" w:space="0" w:color="auto"/>
        <w:right w:val="none" w:sz="0" w:space="0" w:color="auto"/>
      </w:divBdr>
    </w:div>
    <w:div w:id="1386637110">
      <w:bodyDiv w:val="1"/>
      <w:marLeft w:val="0"/>
      <w:marRight w:val="0"/>
      <w:marTop w:val="0"/>
      <w:marBottom w:val="0"/>
      <w:divBdr>
        <w:top w:val="none" w:sz="0" w:space="0" w:color="auto"/>
        <w:left w:val="none" w:sz="0" w:space="0" w:color="auto"/>
        <w:bottom w:val="none" w:sz="0" w:space="0" w:color="auto"/>
        <w:right w:val="none" w:sz="0" w:space="0" w:color="auto"/>
      </w:divBdr>
    </w:div>
    <w:div w:id="1392846276">
      <w:bodyDiv w:val="1"/>
      <w:marLeft w:val="0"/>
      <w:marRight w:val="0"/>
      <w:marTop w:val="0"/>
      <w:marBottom w:val="0"/>
      <w:divBdr>
        <w:top w:val="none" w:sz="0" w:space="0" w:color="auto"/>
        <w:left w:val="none" w:sz="0" w:space="0" w:color="auto"/>
        <w:bottom w:val="none" w:sz="0" w:space="0" w:color="auto"/>
        <w:right w:val="none" w:sz="0" w:space="0" w:color="auto"/>
      </w:divBdr>
    </w:div>
    <w:div w:id="1396901686">
      <w:bodyDiv w:val="1"/>
      <w:marLeft w:val="0"/>
      <w:marRight w:val="0"/>
      <w:marTop w:val="0"/>
      <w:marBottom w:val="0"/>
      <w:divBdr>
        <w:top w:val="none" w:sz="0" w:space="0" w:color="auto"/>
        <w:left w:val="none" w:sz="0" w:space="0" w:color="auto"/>
        <w:bottom w:val="none" w:sz="0" w:space="0" w:color="auto"/>
        <w:right w:val="none" w:sz="0" w:space="0" w:color="auto"/>
      </w:divBdr>
    </w:div>
    <w:div w:id="1436948708">
      <w:bodyDiv w:val="1"/>
      <w:marLeft w:val="0"/>
      <w:marRight w:val="0"/>
      <w:marTop w:val="0"/>
      <w:marBottom w:val="0"/>
      <w:divBdr>
        <w:top w:val="none" w:sz="0" w:space="0" w:color="auto"/>
        <w:left w:val="none" w:sz="0" w:space="0" w:color="auto"/>
        <w:bottom w:val="none" w:sz="0" w:space="0" w:color="auto"/>
        <w:right w:val="none" w:sz="0" w:space="0" w:color="auto"/>
      </w:divBdr>
    </w:div>
    <w:div w:id="1452281245">
      <w:bodyDiv w:val="1"/>
      <w:marLeft w:val="0"/>
      <w:marRight w:val="0"/>
      <w:marTop w:val="0"/>
      <w:marBottom w:val="0"/>
      <w:divBdr>
        <w:top w:val="none" w:sz="0" w:space="0" w:color="auto"/>
        <w:left w:val="none" w:sz="0" w:space="0" w:color="auto"/>
        <w:bottom w:val="none" w:sz="0" w:space="0" w:color="auto"/>
        <w:right w:val="none" w:sz="0" w:space="0" w:color="auto"/>
      </w:divBdr>
    </w:div>
    <w:div w:id="1464540433">
      <w:bodyDiv w:val="1"/>
      <w:marLeft w:val="0"/>
      <w:marRight w:val="0"/>
      <w:marTop w:val="0"/>
      <w:marBottom w:val="0"/>
      <w:divBdr>
        <w:top w:val="none" w:sz="0" w:space="0" w:color="auto"/>
        <w:left w:val="none" w:sz="0" w:space="0" w:color="auto"/>
        <w:bottom w:val="none" w:sz="0" w:space="0" w:color="auto"/>
        <w:right w:val="none" w:sz="0" w:space="0" w:color="auto"/>
      </w:divBdr>
    </w:div>
    <w:div w:id="1466777363">
      <w:bodyDiv w:val="1"/>
      <w:marLeft w:val="0"/>
      <w:marRight w:val="0"/>
      <w:marTop w:val="0"/>
      <w:marBottom w:val="0"/>
      <w:divBdr>
        <w:top w:val="none" w:sz="0" w:space="0" w:color="auto"/>
        <w:left w:val="none" w:sz="0" w:space="0" w:color="auto"/>
        <w:bottom w:val="none" w:sz="0" w:space="0" w:color="auto"/>
        <w:right w:val="none" w:sz="0" w:space="0" w:color="auto"/>
      </w:divBdr>
    </w:div>
    <w:div w:id="1477214037">
      <w:bodyDiv w:val="1"/>
      <w:marLeft w:val="0"/>
      <w:marRight w:val="0"/>
      <w:marTop w:val="0"/>
      <w:marBottom w:val="0"/>
      <w:divBdr>
        <w:top w:val="none" w:sz="0" w:space="0" w:color="auto"/>
        <w:left w:val="none" w:sz="0" w:space="0" w:color="auto"/>
        <w:bottom w:val="none" w:sz="0" w:space="0" w:color="auto"/>
        <w:right w:val="none" w:sz="0" w:space="0" w:color="auto"/>
      </w:divBdr>
      <w:divsChild>
        <w:div w:id="144978963">
          <w:marLeft w:val="274"/>
          <w:marRight w:val="0"/>
          <w:marTop w:val="150"/>
          <w:marBottom w:val="0"/>
          <w:divBdr>
            <w:top w:val="none" w:sz="0" w:space="0" w:color="auto"/>
            <w:left w:val="none" w:sz="0" w:space="0" w:color="auto"/>
            <w:bottom w:val="none" w:sz="0" w:space="0" w:color="auto"/>
            <w:right w:val="none" w:sz="0" w:space="0" w:color="auto"/>
          </w:divBdr>
        </w:div>
        <w:div w:id="404642187">
          <w:marLeft w:val="274"/>
          <w:marRight w:val="0"/>
          <w:marTop w:val="150"/>
          <w:marBottom w:val="0"/>
          <w:divBdr>
            <w:top w:val="none" w:sz="0" w:space="0" w:color="auto"/>
            <w:left w:val="none" w:sz="0" w:space="0" w:color="auto"/>
            <w:bottom w:val="none" w:sz="0" w:space="0" w:color="auto"/>
            <w:right w:val="none" w:sz="0" w:space="0" w:color="auto"/>
          </w:divBdr>
        </w:div>
        <w:div w:id="601454216">
          <w:marLeft w:val="274"/>
          <w:marRight w:val="0"/>
          <w:marTop w:val="150"/>
          <w:marBottom w:val="0"/>
          <w:divBdr>
            <w:top w:val="none" w:sz="0" w:space="0" w:color="auto"/>
            <w:left w:val="none" w:sz="0" w:space="0" w:color="auto"/>
            <w:bottom w:val="none" w:sz="0" w:space="0" w:color="auto"/>
            <w:right w:val="none" w:sz="0" w:space="0" w:color="auto"/>
          </w:divBdr>
        </w:div>
        <w:div w:id="1049647643">
          <w:marLeft w:val="274"/>
          <w:marRight w:val="0"/>
          <w:marTop w:val="150"/>
          <w:marBottom w:val="0"/>
          <w:divBdr>
            <w:top w:val="none" w:sz="0" w:space="0" w:color="auto"/>
            <w:left w:val="none" w:sz="0" w:space="0" w:color="auto"/>
            <w:bottom w:val="none" w:sz="0" w:space="0" w:color="auto"/>
            <w:right w:val="none" w:sz="0" w:space="0" w:color="auto"/>
          </w:divBdr>
        </w:div>
        <w:div w:id="1576281623">
          <w:marLeft w:val="274"/>
          <w:marRight w:val="0"/>
          <w:marTop w:val="150"/>
          <w:marBottom w:val="0"/>
          <w:divBdr>
            <w:top w:val="none" w:sz="0" w:space="0" w:color="auto"/>
            <w:left w:val="none" w:sz="0" w:space="0" w:color="auto"/>
            <w:bottom w:val="none" w:sz="0" w:space="0" w:color="auto"/>
            <w:right w:val="none" w:sz="0" w:space="0" w:color="auto"/>
          </w:divBdr>
        </w:div>
      </w:divsChild>
    </w:div>
    <w:div w:id="1478568342">
      <w:bodyDiv w:val="1"/>
      <w:marLeft w:val="0"/>
      <w:marRight w:val="0"/>
      <w:marTop w:val="0"/>
      <w:marBottom w:val="0"/>
      <w:divBdr>
        <w:top w:val="none" w:sz="0" w:space="0" w:color="auto"/>
        <w:left w:val="none" w:sz="0" w:space="0" w:color="auto"/>
        <w:bottom w:val="none" w:sz="0" w:space="0" w:color="auto"/>
        <w:right w:val="none" w:sz="0" w:space="0" w:color="auto"/>
      </w:divBdr>
      <w:divsChild>
        <w:div w:id="836655216">
          <w:marLeft w:val="360"/>
          <w:marRight w:val="0"/>
          <w:marTop w:val="200"/>
          <w:marBottom w:val="0"/>
          <w:divBdr>
            <w:top w:val="none" w:sz="0" w:space="0" w:color="auto"/>
            <w:left w:val="none" w:sz="0" w:space="0" w:color="auto"/>
            <w:bottom w:val="none" w:sz="0" w:space="0" w:color="auto"/>
            <w:right w:val="none" w:sz="0" w:space="0" w:color="auto"/>
          </w:divBdr>
        </w:div>
        <w:div w:id="945504716">
          <w:marLeft w:val="1080"/>
          <w:marRight w:val="0"/>
          <w:marTop w:val="100"/>
          <w:marBottom w:val="0"/>
          <w:divBdr>
            <w:top w:val="none" w:sz="0" w:space="0" w:color="auto"/>
            <w:left w:val="none" w:sz="0" w:space="0" w:color="auto"/>
            <w:bottom w:val="none" w:sz="0" w:space="0" w:color="auto"/>
            <w:right w:val="none" w:sz="0" w:space="0" w:color="auto"/>
          </w:divBdr>
        </w:div>
        <w:div w:id="1013922897">
          <w:marLeft w:val="360"/>
          <w:marRight w:val="0"/>
          <w:marTop w:val="200"/>
          <w:marBottom w:val="0"/>
          <w:divBdr>
            <w:top w:val="none" w:sz="0" w:space="0" w:color="auto"/>
            <w:left w:val="none" w:sz="0" w:space="0" w:color="auto"/>
            <w:bottom w:val="none" w:sz="0" w:space="0" w:color="auto"/>
            <w:right w:val="none" w:sz="0" w:space="0" w:color="auto"/>
          </w:divBdr>
        </w:div>
        <w:div w:id="1267083269">
          <w:marLeft w:val="1080"/>
          <w:marRight w:val="0"/>
          <w:marTop w:val="100"/>
          <w:marBottom w:val="0"/>
          <w:divBdr>
            <w:top w:val="none" w:sz="0" w:space="0" w:color="auto"/>
            <w:left w:val="none" w:sz="0" w:space="0" w:color="auto"/>
            <w:bottom w:val="none" w:sz="0" w:space="0" w:color="auto"/>
            <w:right w:val="none" w:sz="0" w:space="0" w:color="auto"/>
          </w:divBdr>
        </w:div>
        <w:div w:id="1526938008">
          <w:marLeft w:val="1080"/>
          <w:marRight w:val="0"/>
          <w:marTop w:val="100"/>
          <w:marBottom w:val="0"/>
          <w:divBdr>
            <w:top w:val="none" w:sz="0" w:space="0" w:color="auto"/>
            <w:left w:val="none" w:sz="0" w:space="0" w:color="auto"/>
            <w:bottom w:val="none" w:sz="0" w:space="0" w:color="auto"/>
            <w:right w:val="none" w:sz="0" w:space="0" w:color="auto"/>
          </w:divBdr>
        </w:div>
        <w:div w:id="2141261063">
          <w:marLeft w:val="360"/>
          <w:marRight w:val="0"/>
          <w:marTop w:val="200"/>
          <w:marBottom w:val="0"/>
          <w:divBdr>
            <w:top w:val="none" w:sz="0" w:space="0" w:color="auto"/>
            <w:left w:val="none" w:sz="0" w:space="0" w:color="auto"/>
            <w:bottom w:val="none" w:sz="0" w:space="0" w:color="auto"/>
            <w:right w:val="none" w:sz="0" w:space="0" w:color="auto"/>
          </w:divBdr>
        </w:div>
      </w:divsChild>
    </w:div>
    <w:div w:id="1498808551">
      <w:bodyDiv w:val="1"/>
      <w:marLeft w:val="0"/>
      <w:marRight w:val="0"/>
      <w:marTop w:val="0"/>
      <w:marBottom w:val="0"/>
      <w:divBdr>
        <w:top w:val="none" w:sz="0" w:space="0" w:color="auto"/>
        <w:left w:val="none" w:sz="0" w:space="0" w:color="auto"/>
        <w:bottom w:val="none" w:sz="0" w:space="0" w:color="auto"/>
        <w:right w:val="none" w:sz="0" w:space="0" w:color="auto"/>
      </w:divBdr>
      <w:divsChild>
        <w:div w:id="56171567">
          <w:marLeft w:val="1080"/>
          <w:marRight w:val="0"/>
          <w:marTop w:val="100"/>
          <w:marBottom w:val="0"/>
          <w:divBdr>
            <w:top w:val="none" w:sz="0" w:space="0" w:color="auto"/>
            <w:left w:val="none" w:sz="0" w:space="0" w:color="auto"/>
            <w:bottom w:val="none" w:sz="0" w:space="0" w:color="auto"/>
            <w:right w:val="none" w:sz="0" w:space="0" w:color="auto"/>
          </w:divBdr>
        </w:div>
        <w:div w:id="62992066">
          <w:marLeft w:val="1080"/>
          <w:marRight w:val="0"/>
          <w:marTop w:val="100"/>
          <w:marBottom w:val="0"/>
          <w:divBdr>
            <w:top w:val="none" w:sz="0" w:space="0" w:color="auto"/>
            <w:left w:val="none" w:sz="0" w:space="0" w:color="auto"/>
            <w:bottom w:val="none" w:sz="0" w:space="0" w:color="auto"/>
            <w:right w:val="none" w:sz="0" w:space="0" w:color="auto"/>
          </w:divBdr>
        </w:div>
        <w:div w:id="1339040782">
          <w:marLeft w:val="360"/>
          <w:marRight w:val="0"/>
          <w:marTop w:val="200"/>
          <w:marBottom w:val="0"/>
          <w:divBdr>
            <w:top w:val="none" w:sz="0" w:space="0" w:color="auto"/>
            <w:left w:val="none" w:sz="0" w:space="0" w:color="auto"/>
            <w:bottom w:val="none" w:sz="0" w:space="0" w:color="auto"/>
            <w:right w:val="none" w:sz="0" w:space="0" w:color="auto"/>
          </w:divBdr>
        </w:div>
        <w:div w:id="1469594410">
          <w:marLeft w:val="1080"/>
          <w:marRight w:val="0"/>
          <w:marTop w:val="100"/>
          <w:marBottom w:val="0"/>
          <w:divBdr>
            <w:top w:val="none" w:sz="0" w:space="0" w:color="auto"/>
            <w:left w:val="none" w:sz="0" w:space="0" w:color="auto"/>
            <w:bottom w:val="none" w:sz="0" w:space="0" w:color="auto"/>
            <w:right w:val="none" w:sz="0" w:space="0" w:color="auto"/>
          </w:divBdr>
        </w:div>
        <w:div w:id="1555964687">
          <w:marLeft w:val="360"/>
          <w:marRight w:val="0"/>
          <w:marTop w:val="200"/>
          <w:marBottom w:val="0"/>
          <w:divBdr>
            <w:top w:val="none" w:sz="0" w:space="0" w:color="auto"/>
            <w:left w:val="none" w:sz="0" w:space="0" w:color="auto"/>
            <w:bottom w:val="none" w:sz="0" w:space="0" w:color="auto"/>
            <w:right w:val="none" w:sz="0" w:space="0" w:color="auto"/>
          </w:divBdr>
        </w:div>
        <w:div w:id="1725254183">
          <w:marLeft w:val="1080"/>
          <w:marRight w:val="0"/>
          <w:marTop w:val="100"/>
          <w:marBottom w:val="0"/>
          <w:divBdr>
            <w:top w:val="none" w:sz="0" w:space="0" w:color="auto"/>
            <w:left w:val="none" w:sz="0" w:space="0" w:color="auto"/>
            <w:bottom w:val="none" w:sz="0" w:space="0" w:color="auto"/>
            <w:right w:val="none" w:sz="0" w:space="0" w:color="auto"/>
          </w:divBdr>
        </w:div>
        <w:div w:id="2103404136">
          <w:marLeft w:val="1080"/>
          <w:marRight w:val="0"/>
          <w:marTop w:val="100"/>
          <w:marBottom w:val="0"/>
          <w:divBdr>
            <w:top w:val="none" w:sz="0" w:space="0" w:color="auto"/>
            <w:left w:val="none" w:sz="0" w:space="0" w:color="auto"/>
            <w:bottom w:val="none" w:sz="0" w:space="0" w:color="auto"/>
            <w:right w:val="none" w:sz="0" w:space="0" w:color="auto"/>
          </w:divBdr>
        </w:div>
      </w:divsChild>
    </w:div>
    <w:div w:id="1511068723">
      <w:bodyDiv w:val="1"/>
      <w:marLeft w:val="0"/>
      <w:marRight w:val="0"/>
      <w:marTop w:val="0"/>
      <w:marBottom w:val="0"/>
      <w:divBdr>
        <w:top w:val="none" w:sz="0" w:space="0" w:color="auto"/>
        <w:left w:val="none" w:sz="0" w:space="0" w:color="auto"/>
        <w:bottom w:val="none" w:sz="0" w:space="0" w:color="auto"/>
        <w:right w:val="none" w:sz="0" w:space="0" w:color="auto"/>
      </w:divBdr>
    </w:div>
    <w:div w:id="1517379386">
      <w:bodyDiv w:val="1"/>
      <w:marLeft w:val="0"/>
      <w:marRight w:val="0"/>
      <w:marTop w:val="0"/>
      <w:marBottom w:val="0"/>
      <w:divBdr>
        <w:top w:val="none" w:sz="0" w:space="0" w:color="auto"/>
        <w:left w:val="none" w:sz="0" w:space="0" w:color="auto"/>
        <w:bottom w:val="none" w:sz="0" w:space="0" w:color="auto"/>
        <w:right w:val="none" w:sz="0" w:space="0" w:color="auto"/>
      </w:divBdr>
    </w:div>
    <w:div w:id="1524368504">
      <w:bodyDiv w:val="1"/>
      <w:marLeft w:val="0"/>
      <w:marRight w:val="0"/>
      <w:marTop w:val="0"/>
      <w:marBottom w:val="0"/>
      <w:divBdr>
        <w:top w:val="none" w:sz="0" w:space="0" w:color="auto"/>
        <w:left w:val="none" w:sz="0" w:space="0" w:color="auto"/>
        <w:bottom w:val="none" w:sz="0" w:space="0" w:color="auto"/>
        <w:right w:val="none" w:sz="0" w:space="0" w:color="auto"/>
      </w:divBdr>
    </w:div>
    <w:div w:id="1549880077">
      <w:bodyDiv w:val="1"/>
      <w:marLeft w:val="0"/>
      <w:marRight w:val="0"/>
      <w:marTop w:val="0"/>
      <w:marBottom w:val="0"/>
      <w:divBdr>
        <w:top w:val="none" w:sz="0" w:space="0" w:color="auto"/>
        <w:left w:val="none" w:sz="0" w:space="0" w:color="auto"/>
        <w:bottom w:val="none" w:sz="0" w:space="0" w:color="auto"/>
        <w:right w:val="none" w:sz="0" w:space="0" w:color="auto"/>
      </w:divBdr>
    </w:div>
    <w:div w:id="1553272666">
      <w:bodyDiv w:val="1"/>
      <w:marLeft w:val="0"/>
      <w:marRight w:val="0"/>
      <w:marTop w:val="0"/>
      <w:marBottom w:val="0"/>
      <w:divBdr>
        <w:top w:val="none" w:sz="0" w:space="0" w:color="auto"/>
        <w:left w:val="none" w:sz="0" w:space="0" w:color="auto"/>
        <w:bottom w:val="none" w:sz="0" w:space="0" w:color="auto"/>
        <w:right w:val="none" w:sz="0" w:space="0" w:color="auto"/>
      </w:divBdr>
    </w:div>
    <w:div w:id="1594976799">
      <w:bodyDiv w:val="1"/>
      <w:marLeft w:val="0"/>
      <w:marRight w:val="0"/>
      <w:marTop w:val="0"/>
      <w:marBottom w:val="0"/>
      <w:divBdr>
        <w:top w:val="none" w:sz="0" w:space="0" w:color="auto"/>
        <w:left w:val="none" w:sz="0" w:space="0" w:color="auto"/>
        <w:bottom w:val="none" w:sz="0" w:space="0" w:color="auto"/>
        <w:right w:val="none" w:sz="0" w:space="0" w:color="auto"/>
      </w:divBdr>
    </w:div>
    <w:div w:id="1670330398">
      <w:bodyDiv w:val="1"/>
      <w:marLeft w:val="0"/>
      <w:marRight w:val="0"/>
      <w:marTop w:val="0"/>
      <w:marBottom w:val="0"/>
      <w:divBdr>
        <w:top w:val="none" w:sz="0" w:space="0" w:color="auto"/>
        <w:left w:val="none" w:sz="0" w:space="0" w:color="auto"/>
        <w:bottom w:val="none" w:sz="0" w:space="0" w:color="auto"/>
        <w:right w:val="none" w:sz="0" w:space="0" w:color="auto"/>
      </w:divBdr>
    </w:div>
    <w:div w:id="1672177009">
      <w:bodyDiv w:val="1"/>
      <w:marLeft w:val="0"/>
      <w:marRight w:val="0"/>
      <w:marTop w:val="0"/>
      <w:marBottom w:val="0"/>
      <w:divBdr>
        <w:top w:val="none" w:sz="0" w:space="0" w:color="auto"/>
        <w:left w:val="none" w:sz="0" w:space="0" w:color="auto"/>
        <w:bottom w:val="none" w:sz="0" w:space="0" w:color="auto"/>
        <w:right w:val="none" w:sz="0" w:space="0" w:color="auto"/>
      </w:divBdr>
    </w:div>
    <w:div w:id="1674071024">
      <w:bodyDiv w:val="1"/>
      <w:marLeft w:val="0"/>
      <w:marRight w:val="0"/>
      <w:marTop w:val="0"/>
      <w:marBottom w:val="0"/>
      <w:divBdr>
        <w:top w:val="none" w:sz="0" w:space="0" w:color="auto"/>
        <w:left w:val="none" w:sz="0" w:space="0" w:color="auto"/>
        <w:bottom w:val="none" w:sz="0" w:space="0" w:color="auto"/>
        <w:right w:val="none" w:sz="0" w:space="0" w:color="auto"/>
      </w:divBdr>
    </w:div>
    <w:div w:id="1680229079">
      <w:bodyDiv w:val="1"/>
      <w:marLeft w:val="0"/>
      <w:marRight w:val="0"/>
      <w:marTop w:val="0"/>
      <w:marBottom w:val="0"/>
      <w:divBdr>
        <w:top w:val="none" w:sz="0" w:space="0" w:color="auto"/>
        <w:left w:val="none" w:sz="0" w:space="0" w:color="auto"/>
        <w:bottom w:val="none" w:sz="0" w:space="0" w:color="auto"/>
        <w:right w:val="none" w:sz="0" w:space="0" w:color="auto"/>
      </w:divBdr>
    </w:div>
    <w:div w:id="1787851775">
      <w:bodyDiv w:val="1"/>
      <w:marLeft w:val="0"/>
      <w:marRight w:val="0"/>
      <w:marTop w:val="0"/>
      <w:marBottom w:val="0"/>
      <w:divBdr>
        <w:top w:val="none" w:sz="0" w:space="0" w:color="auto"/>
        <w:left w:val="none" w:sz="0" w:space="0" w:color="auto"/>
        <w:bottom w:val="none" w:sz="0" w:space="0" w:color="auto"/>
        <w:right w:val="none" w:sz="0" w:space="0" w:color="auto"/>
      </w:divBdr>
    </w:div>
    <w:div w:id="1847086256">
      <w:bodyDiv w:val="1"/>
      <w:marLeft w:val="0"/>
      <w:marRight w:val="0"/>
      <w:marTop w:val="0"/>
      <w:marBottom w:val="0"/>
      <w:divBdr>
        <w:top w:val="none" w:sz="0" w:space="0" w:color="auto"/>
        <w:left w:val="none" w:sz="0" w:space="0" w:color="auto"/>
        <w:bottom w:val="none" w:sz="0" w:space="0" w:color="auto"/>
        <w:right w:val="none" w:sz="0" w:space="0" w:color="auto"/>
      </w:divBdr>
    </w:div>
    <w:div w:id="1883976428">
      <w:bodyDiv w:val="1"/>
      <w:marLeft w:val="0"/>
      <w:marRight w:val="0"/>
      <w:marTop w:val="0"/>
      <w:marBottom w:val="0"/>
      <w:divBdr>
        <w:top w:val="none" w:sz="0" w:space="0" w:color="auto"/>
        <w:left w:val="none" w:sz="0" w:space="0" w:color="auto"/>
        <w:bottom w:val="none" w:sz="0" w:space="0" w:color="auto"/>
        <w:right w:val="none" w:sz="0" w:space="0" w:color="auto"/>
      </w:divBdr>
      <w:divsChild>
        <w:div w:id="119542003">
          <w:marLeft w:val="360"/>
          <w:marRight w:val="0"/>
          <w:marTop w:val="200"/>
          <w:marBottom w:val="0"/>
          <w:divBdr>
            <w:top w:val="none" w:sz="0" w:space="0" w:color="auto"/>
            <w:left w:val="none" w:sz="0" w:space="0" w:color="auto"/>
            <w:bottom w:val="none" w:sz="0" w:space="0" w:color="auto"/>
            <w:right w:val="none" w:sz="0" w:space="0" w:color="auto"/>
          </w:divBdr>
        </w:div>
        <w:div w:id="221795701">
          <w:marLeft w:val="1080"/>
          <w:marRight w:val="0"/>
          <w:marTop w:val="100"/>
          <w:marBottom w:val="0"/>
          <w:divBdr>
            <w:top w:val="none" w:sz="0" w:space="0" w:color="auto"/>
            <w:left w:val="none" w:sz="0" w:space="0" w:color="auto"/>
            <w:bottom w:val="none" w:sz="0" w:space="0" w:color="auto"/>
            <w:right w:val="none" w:sz="0" w:space="0" w:color="auto"/>
          </w:divBdr>
        </w:div>
        <w:div w:id="632251717">
          <w:marLeft w:val="1080"/>
          <w:marRight w:val="0"/>
          <w:marTop w:val="100"/>
          <w:marBottom w:val="0"/>
          <w:divBdr>
            <w:top w:val="none" w:sz="0" w:space="0" w:color="auto"/>
            <w:left w:val="none" w:sz="0" w:space="0" w:color="auto"/>
            <w:bottom w:val="none" w:sz="0" w:space="0" w:color="auto"/>
            <w:right w:val="none" w:sz="0" w:space="0" w:color="auto"/>
          </w:divBdr>
        </w:div>
        <w:div w:id="651829697">
          <w:marLeft w:val="1080"/>
          <w:marRight w:val="0"/>
          <w:marTop w:val="100"/>
          <w:marBottom w:val="0"/>
          <w:divBdr>
            <w:top w:val="none" w:sz="0" w:space="0" w:color="auto"/>
            <w:left w:val="none" w:sz="0" w:space="0" w:color="auto"/>
            <w:bottom w:val="none" w:sz="0" w:space="0" w:color="auto"/>
            <w:right w:val="none" w:sz="0" w:space="0" w:color="auto"/>
          </w:divBdr>
        </w:div>
        <w:div w:id="1095705190">
          <w:marLeft w:val="1080"/>
          <w:marRight w:val="0"/>
          <w:marTop w:val="100"/>
          <w:marBottom w:val="0"/>
          <w:divBdr>
            <w:top w:val="none" w:sz="0" w:space="0" w:color="auto"/>
            <w:left w:val="none" w:sz="0" w:space="0" w:color="auto"/>
            <w:bottom w:val="none" w:sz="0" w:space="0" w:color="auto"/>
            <w:right w:val="none" w:sz="0" w:space="0" w:color="auto"/>
          </w:divBdr>
        </w:div>
        <w:div w:id="1662005859">
          <w:marLeft w:val="360"/>
          <w:marRight w:val="0"/>
          <w:marTop w:val="200"/>
          <w:marBottom w:val="0"/>
          <w:divBdr>
            <w:top w:val="none" w:sz="0" w:space="0" w:color="auto"/>
            <w:left w:val="none" w:sz="0" w:space="0" w:color="auto"/>
            <w:bottom w:val="none" w:sz="0" w:space="0" w:color="auto"/>
            <w:right w:val="none" w:sz="0" w:space="0" w:color="auto"/>
          </w:divBdr>
        </w:div>
        <w:div w:id="1740515150">
          <w:marLeft w:val="1080"/>
          <w:marRight w:val="0"/>
          <w:marTop w:val="100"/>
          <w:marBottom w:val="0"/>
          <w:divBdr>
            <w:top w:val="none" w:sz="0" w:space="0" w:color="auto"/>
            <w:left w:val="none" w:sz="0" w:space="0" w:color="auto"/>
            <w:bottom w:val="none" w:sz="0" w:space="0" w:color="auto"/>
            <w:right w:val="none" w:sz="0" w:space="0" w:color="auto"/>
          </w:divBdr>
        </w:div>
      </w:divsChild>
    </w:div>
    <w:div w:id="1896161895">
      <w:bodyDiv w:val="1"/>
      <w:marLeft w:val="0"/>
      <w:marRight w:val="0"/>
      <w:marTop w:val="0"/>
      <w:marBottom w:val="0"/>
      <w:divBdr>
        <w:top w:val="none" w:sz="0" w:space="0" w:color="auto"/>
        <w:left w:val="none" w:sz="0" w:space="0" w:color="auto"/>
        <w:bottom w:val="none" w:sz="0" w:space="0" w:color="auto"/>
        <w:right w:val="none" w:sz="0" w:space="0" w:color="auto"/>
      </w:divBdr>
    </w:div>
    <w:div w:id="1900630445">
      <w:bodyDiv w:val="1"/>
      <w:marLeft w:val="0"/>
      <w:marRight w:val="0"/>
      <w:marTop w:val="0"/>
      <w:marBottom w:val="0"/>
      <w:divBdr>
        <w:top w:val="none" w:sz="0" w:space="0" w:color="auto"/>
        <w:left w:val="none" w:sz="0" w:space="0" w:color="auto"/>
        <w:bottom w:val="none" w:sz="0" w:space="0" w:color="auto"/>
        <w:right w:val="none" w:sz="0" w:space="0" w:color="auto"/>
      </w:divBdr>
    </w:div>
    <w:div w:id="1928880070">
      <w:bodyDiv w:val="1"/>
      <w:marLeft w:val="0"/>
      <w:marRight w:val="0"/>
      <w:marTop w:val="0"/>
      <w:marBottom w:val="0"/>
      <w:divBdr>
        <w:top w:val="none" w:sz="0" w:space="0" w:color="auto"/>
        <w:left w:val="none" w:sz="0" w:space="0" w:color="auto"/>
        <w:bottom w:val="none" w:sz="0" w:space="0" w:color="auto"/>
        <w:right w:val="none" w:sz="0" w:space="0" w:color="auto"/>
      </w:divBdr>
    </w:div>
    <w:div w:id="2037345953">
      <w:bodyDiv w:val="1"/>
      <w:marLeft w:val="0"/>
      <w:marRight w:val="0"/>
      <w:marTop w:val="0"/>
      <w:marBottom w:val="0"/>
      <w:divBdr>
        <w:top w:val="none" w:sz="0" w:space="0" w:color="auto"/>
        <w:left w:val="none" w:sz="0" w:space="0" w:color="auto"/>
        <w:bottom w:val="none" w:sz="0" w:space="0" w:color="auto"/>
        <w:right w:val="none" w:sz="0" w:space="0" w:color="auto"/>
      </w:divBdr>
    </w:div>
    <w:div w:id="2047437686">
      <w:bodyDiv w:val="1"/>
      <w:marLeft w:val="0"/>
      <w:marRight w:val="0"/>
      <w:marTop w:val="0"/>
      <w:marBottom w:val="0"/>
      <w:divBdr>
        <w:top w:val="none" w:sz="0" w:space="0" w:color="auto"/>
        <w:left w:val="none" w:sz="0" w:space="0" w:color="auto"/>
        <w:bottom w:val="none" w:sz="0" w:space="0" w:color="auto"/>
        <w:right w:val="none" w:sz="0" w:space="0" w:color="auto"/>
      </w:divBdr>
    </w:div>
    <w:div w:id="2077360778">
      <w:bodyDiv w:val="1"/>
      <w:marLeft w:val="0"/>
      <w:marRight w:val="0"/>
      <w:marTop w:val="0"/>
      <w:marBottom w:val="0"/>
      <w:divBdr>
        <w:top w:val="none" w:sz="0" w:space="0" w:color="auto"/>
        <w:left w:val="none" w:sz="0" w:space="0" w:color="auto"/>
        <w:bottom w:val="none" w:sz="0" w:space="0" w:color="auto"/>
        <w:right w:val="none" w:sz="0" w:space="0" w:color="auto"/>
      </w:divBdr>
    </w:div>
    <w:div w:id="2088841092">
      <w:bodyDiv w:val="1"/>
      <w:marLeft w:val="0"/>
      <w:marRight w:val="0"/>
      <w:marTop w:val="0"/>
      <w:marBottom w:val="0"/>
      <w:divBdr>
        <w:top w:val="none" w:sz="0" w:space="0" w:color="auto"/>
        <w:left w:val="none" w:sz="0" w:space="0" w:color="auto"/>
        <w:bottom w:val="none" w:sz="0" w:space="0" w:color="auto"/>
        <w:right w:val="none" w:sz="0" w:space="0" w:color="auto"/>
      </w:divBdr>
    </w:div>
    <w:div w:id="2093967202">
      <w:bodyDiv w:val="1"/>
      <w:marLeft w:val="0"/>
      <w:marRight w:val="0"/>
      <w:marTop w:val="0"/>
      <w:marBottom w:val="0"/>
      <w:divBdr>
        <w:top w:val="none" w:sz="0" w:space="0" w:color="auto"/>
        <w:left w:val="none" w:sz="0" w:space="0" w:color="auto"/>
        <w:bottom w:val="none" w:sz="0" w:space="0" w:color="auto"/>
        <w:right w:val="none" w:sz="0" w:space="0" w:color="auto"/>
      </w:divBdr>
    </w:div>
    <w:div w:id="2101371161">
      <w:bodyDiv w:val="1"/>
      <w:marLeft w:val="0"/>
      <w:marRight w:val="0"/>
      <w:marTop w:val="0"/>
      <w:marBottom w:val="0"/>
      <w:divBdr>
        <w:top w:val="none" w:sz="0" w:space="0" w:color="auto"/>
        <w:left w:val="none" w:sz="0" w:space="0" w:color="auto"/>
        <w:bottom w:val="none" w:sz="0" w:space="0" w:color="auto"/>
        <w:right w:val="none" w:sz="0" w:space="0" w:color="auto"/>
      </w:divBdr>
    </w:div>
    <w:div w:id="21219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chart" Target="charts/chart3.xml"/><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6.emf"/><Relationship Id="rId63" Type="http://schemas.openxmlformats.org/officeDocument/2006/relationships/hyperlink" Target="http://www.nber.org/papers/w24219" TargetMode="External"/><Relationship Id="rId68" Type="http://schemas.openxmlformats.org/officeDocument/2006/relationships/oleObject" Target="embeddings/oleObject1.bin"/><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hyperlink" Target="https://population.un.org/wpp/Download/Standard/Population/"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8.emf"/><Relationship Id="rId61" Type="http://schemas.openxmlformats.org/officeDocument/2006/relationships/hyperlink" Target="https://www.ilo.org/ilosta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hyperlink" Target="http://www.pewinternet.org/2015/11/19/searching-for-work-in-the-digital-e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chart" Target="charts/chart4.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hyperlink" Target="https://wol.iza.org/articles/anonymous-job-applications-and-hiring-discrimination/long" TargetMode="External"/><Relationship Id="rId69" Type="http://schemas.openxmlformats.org/officeDocument/2006/relationships/image" Target="media/image43.wmf"/><Relationship Id="rId8" Type="http://schemas.openxmlformats.org/officeDocument/2006/relationships/settings" Target="settings.xml"/><Relationship Id="rId51" Type="http://schemas.openxmlformats.org/officeDocument/2006/relationships/hyperlink" Target="https://www.rabota.md/"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0.emf"/><Relationship Id="rId67" Type="http://schemas.openxmlformats.org/officeDocument/2006/relationships/image" Target="media/image42.wmf"/><Relationship Id="rId20" Type="http://schemas.openxmlformats.org/officeDocument/2006/relationships/image" Target="media/image5.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hyperlink" Target="https://www.google.com.ua/search?rlz=1C1CHWA_enUA595UA595&amp;biw=1280&amp;bih=566&amp;q=Maureen+Maclachlan&amp;stick=H4sIAAAAAAAAAOPgE-LRT9c3NDQuijcsT6tSgvIKCwtT0iq0ZLKTrfST8vOz9cuLMktKUvPiy_OLsq0SS0sy8osAdnn-2zwAAAA&amp;sa=X&amp;ved=0ahUKEwjqyJfarZncAhVGP5oKHbQpBEMQmxMIjwEoAjAO" TargetMode="External"/><Relationship Id="rId70"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8" Type="http://schemas.openxmlformats.org/officeDocument/2006/relationships/hyperlink" Target="https://www.rabota.md/help/index.php" TargetMode="External"/><Relationship Id="rId3" Type="http://schemas.openxmlformats.org/officeDocument/2006/relationships/hyperlink" Target="http://fortune.com/2015/03/26/the-resume-gap-women-tell-stories-men-stick-to-facts-and-get-the-advantage/" TargetMode="External"/><Relationship Id="rId7" Type="http://schemas.openxmlformats.org/officeDocument/2006/relationships/hyperlink" Target="http://ec.europa.eu/eurostat/statistics-explained/index.php?title=Glossary:Gender_pay_gap" TargetMode="External"/><Relationship Id="rId2" Type="http://schemas.openxmlformats.org/officeDocument/2006/relationships/hyperlink" Target="http://lex.justice.md/viewdoc.php?action=view&amp;view=doc&amp;id=300608&amp;lang=1" TargetMode="External"/><Relationship Id="rId1" Type="http://schemas.openxmlformats.org/officeDocument/2006/relationships/hyperlink" Target="http://ec.europa.eu/eurostat/documents/2995521/7672738/3-04102016-BP-EN.pdf/9f0d2d04-211a-487d-87c3-0a5f7d6b22ce" TargetMode="External"/><Relationship Id="rId6" Type="http://schemas.openxmlformats.org/officeDocument/2006/relationships/hyperlink" Target="http://blogs.worldbank.org/jobs/women-working-behind-wheels-not-everywhere-yet" TargetMode="External"/><Relationship Id="rId5" Type="http://schemas.openxmlformats.org/officeDocument/2006/relationships/hyperlink" Target="http://wbl.worldbank.org/en/data/exploreeconomies/moldova/2017" TargetMode="External"/><Relationship Id="rId4" Type="http://schemas.openxmlformats.org/officeDocument/2006/relationships/hyperlink" Target="https://www.zippia.com/advice/resume-sentiment-analysis-men-wom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World%20Bank_2017-2018_Victoria%20and%20Yulia_Moldova\Gender%20analysis\tables%20and%20graphs%20for%20the%20note%20on%20gender%20inequality%20in%20Moldo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World%20Bank_2017-2018_Victoria%20and%20Yulia_Moldova\Gender%20analysis\Labor%20force%20projections_2000-203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World%20Bank_2017-2018_Victoria%20and%20Yulia_Moldova\Gender%20analysis\tables%20and%20graphs%20for%20the%20note%20on%20gender%20inequality%20in%20Moldova.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World%20Bank_2017-2018_Victoria%20and%20Yulia_Moldova\Gender%20analysis\tables%20and%20graphs%20for%20the%20note%20on%20gender%20inequality%20in%20Moldova.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F:\World%20Bank_2017-2018_Victoria%20and%20Yulia_Moldova\Gender%20analysis\tables%20and%20graphs%20for%20the%20note%20on%20gender%20inequality%20in%20Moldov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Inactivity_NBS!$A$47</c:f>
              <c:strCache>
                <c:ptCount val="1"/>
                <c:pt idx="0">
                  <c:v>In education or training</c:v>
                </c:pt>
              </c:strCache>
            </c:strRef>
          </c:tx>
          <c:spPr>
            <a:solidFill>
              <a:schemeClr val="accent1"/>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Inactivity_NBS!$B$47:$O$47</c:f>
              <c:numCache>
                <c:formatCode>General</c:formatCode>
                <c:ptCount val="14"/>
                <c:pt idx="0">
                  <c:v>123</c:v>
                </c:pt>
                <c:pt idx="1">
                  <c:v>120.9</c:v>
                </c:pt>
                <c:pt idx="2">
                  <c:v>4.0999999999999996</c:v>
                </c:pt>
                <c:pt idx="3">
                  <c:v>5.8</c:v>
                </c:pt>
                <c:pt idx="4">
                  <c:v>0</c:v>
                </c:pt>
                <c:pt idx="5">
                  <c:v>0.2</c:v>
                </c:pt>
                <c:pt idx="6">
                  <c:v>0</c:v>
                </c:pt>
                <c:pt idx="7">
                  <c:v>0.1</c:v>
                </c:pt>
                <c:pt idx="8">
                  <c:v>0</c:v>
                </c:pt>
                <c:pt idx="9">
                  <c:v>0</c:v>
                </c:pt>
                <c:pt idx="10">
                  <c:v>0</c:v>
                </c:pt>
                <c:pt idx="11">
                  <c:v>0</c:v>
                </c:pt>
                <c:pt idx="12">
                  <c:v>127.1</c:v>
                </c:pt>
                <c:pt idx="13">
                  <c:v>127</c:v>
                </c:pt>
              </c:numCache>
            </c:numRef>
          </c:val>
        </c:ser>
        <c:ser>
          <c:idx val="1"/>
          <c:order val="1"/>
          <c:tx>
            <c:strRef>
              <c:f>Inactivity_NBS!$A$48</c:f>
              <c:strCache>
                <c:ptCount val="1"/>
                <c:pt idx="0">
                  <c:v>Family responsibilities</c:v>
                </c:pt>
              </c:strCache>
            </c:strRef>
          </c:tx>
          <c:spPr>
            <a:solidFill>
              <a:schemeClr val="accent2"/>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Inactivity_NBS!$B$48:$O$48</c:f>
              <c:numCache>
                <c:formatCode>General</c:formatCode>
                <c:ptCount val="14"/>
                <c:pt idx="0">
                  <c:v>0.2</c:v>
                </c:pt>
                <c:pt idx="1">
                  <c:v>28.5</c:v>
                </c:pt>
                <c:pt idx="2">
                  <c:v>0.8</c:v>
                </c:pt>
                <c:pt idx="3">
                  <c:v>112.6</c:v>
                </c:pt>
                <c:pt idx="4">
                  <c:v>1.9</c:v>
                </c:pt>
                <c:pt idx="5">
                  <c:v>39</c:v>
                </c:pt>
                <c:pt idx="6">
                  <c:v>1.5</c:v>
                </c:pt>
                <c:pt idx="7">
                  <c:v>10.8</c:v>
                </c:pt>
                <c:pt idx="8">
                  <c:v>1.2</c:v>
                </c:pt>
                <c:pt idx="9">
                  <c:v>2.4</c:v>
                </c:pt>
                <c:pt idx="10">
                  <c:v>0</c:v>
                </c:pt>
                <c:pt idx="11">
                  <c:v>0</c:v>
                </c:pt>
                <c:pt idx="12">
                  <c:v>5.6</c:v>
                </c:pt>
                <c:pt idx="13">
                  <c:v>193.2</c:v>
                </c:pt>
              </c:numCache>
            </c:numRef>
          </c:val>
        </c:ser>
        <c:ser>
          <c:idx val="2"/>
          <c:order val="2"/>
          <c:tx>
            <c:strRef>
              <c:f>Inactivity_NBS!$A$49</c:f>
              <c:strCache>
                <c:ptCount val="1"/>
                <c:pt idx="0">
                  <c:v>Own illness</c:v>
                </c:pt>
              </c:strCache>
            </c:strRef>
          </c:tx>
          <c:spPr>
            <a:solidFill>
              <a:schemeClr val="accent3"/>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Inactivity_NBS!$B$49:$O$49</c:f>
              <c:numCache>
                <c:formatCode>General</c:formatCode>
                <c:ptCount val="14"/>
                <c:pt idx="0">
                  <c:v>1.4</c:v>
                </c:pt>
                <c:pt idx="1">
                  <c:v>1</c:v>
                </c:pt>
                <c:pt idx="2">
                  <c:v>2.1</c:v>
                </c:pt>
                <c:pt idx="3">
                  <c:v>2.2999999999999998</c:v>
                </c:pt>
                <c:pt idx="4">
                  <c:v>3.4</c:v>
                </c:pt>
                <c:pt idx="5">
                  <c:v>3.5</c:v>
                </c:pt>
                <c:pt idx="6">
                  <c:v>6.1</c:v>
                </c:pt>
                <c:pt idx="7">
                  <c:v>6.4</c:v>
                </c:pt>
                <c:pt idx="8">
                  <c:v>6.6</c:v>
                </c:pt>
                <c:pt idx="9">
                  <c:v>3.9</c:v>
                </c:pt>
                <c:pt idx="10">
                  <c:v>0.6</c:v>
                </c:pt>
                <c:pt idx="11">
                  <c:v>0.8</c:v>
                </c:pt>
                <c:pt idx="12">
                  <c:v>20.100000000000001</c:v>
                </c:pt>
                <c:pt idx="13">
                  <c:v>17.899999999999999</c:v>
                </c:pt>
              </c:numCache>
            </c:numRef>
          </c:val>
        </c:ser>
        <c:ser>
          <c:idx val="3"/>
          <c:order val="3"/>
          <c:tx>
            <c:strRef>
              <c:f>Inactivity_NBS!$A$50</c:f>
              <c:strCache>
                <c:ptCount val="1"/>
                <c:pt idx="0">
                  <c:v>Pension (age, disability, etc.)</c:v>
                </c:pt>
              </c:strCache>
            </c:strRef>
          </c:tx>
          <c:spPr>
            <a:solidFill>
              <a:schemeClr val="accent4"/>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Inactivity_NBS!$B$50:$O$50</c:f>
              <c:numCache>
                <c:formatCode>General</c:formatCode>
                <c:ptCount val="14"/>
                <c:pt idx="0">
                  <c:v>2.9</c:v>
                </c:pt>
                <c:pt idx="1">
                  <c:v>1.8</c:v>
                </c:pt>
                <c:pt idx="2">
                  <c:v>7.6</c:v>
                </c:pt>
                <c:pt idx="3">
                  <c:v>5.3</c:v>
                </c:pt>
                <c:pt idx="4">
                  <c:v>11.3</c:v>
                </c:pt>
                <c:pt idx="5">
                  <c:v>9.1999999999999993</c:v>
                </c:pt>
                <c:pt idx="6">
                  <c:v>16.5</c:v>
                </c:pt>
                <c:pt idx="7">
                  <c:v>16.5</c:v>
                </c:pt>
                <c:pt idx="8">
                  <c:v>55.5</c:v>
                </c:pt>
                <c:pt idx="9">
                  <c:v>142.30000000000001</c:v>
                </c:pt>
                <c:pt idx="10">
                  <c:v>126.7</c:v>
                </c:pt>
                <c:pt idx="11">
                  <c:v>221</c:v>
                </c:pt>
                <c:pt idx="12">
                  <c:v>220.4</c:v>
                </c:pt>
                <c:pt idx="13">
                  <c:v>396.2</c:v>
                </c:pt>
              </c:numCache>
            </c:numRef>
          </c:val>
        </c:ser>
        <c:ser>
          <c:idx val="4"/>
          <c:order val="4"/>
          <c:tx>
            <c:strRef>
              <c:f>Inactivity_NBS!$A$51</c:f>
              <c:strCache>
                <c:ptCount val="1"/>
                <c:pt idx="0">
                  <c:v>Don't want to work</c:v>
                </c:pt>
              </c:strCache>
            </c:strRef>
          </c:tx>
          <c:spPr>
            <a:solidFill>
              <a:srgbClr val="7030A0"/>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Inactivity_NBS!$B$51:$O$51</c:f>
              <c:numCache>
                <c:formatCode>General</c:formatCode>
                <c:ptCount val="14"/>
                <c:pt idx="0">
                  <c:v>0.7</c:v>
                </c:pt>
                <c:pt idx="1">
                  <c:v>0.8</c:v>
                </c:pt>
                <c:pt idx="2">
                  <c:v>0.8</c:v>
                </c:pt>
                <c:pt idx="3">
                  <c:v>0.7</c:v>
                </c:pt>
                <c:pt idx="4">
                  <c:v>0.1</c:v>
                </c:pt>
                <c:pt idx="5">
                  <c:v>0.9</c:v>
                </c:pt>
                <c:pt idx="6">
                  <c:v>0.7</c:v>
                </c:pt>
                <c:pt idx="7">
                  <c:v>0.6</c:v>
                </c:pt>
                <c:pt idx="8">
                  <c:v>0.3</c:v>
                </c:pt>
                <c:pt idx="9">
                  <c:v>0.3</c:v>
                </c:pt>
                <c:pt idx="10">
                  <c:v>0</c:v>
                </c:pt>
                <c:pt idx="11">
                  <c:v>0</c:v>
                </c:pt>
                <c:pt idx="12">
                  <c:v>2.7</c:v>
                </c:pt>
                <c:pt idx="13">
                  <c:v>3.3</c:v>
                </c:pt>
              </c:numCache>
            </c:numRef>
          </c:val>
        </c:ser>
        <c:ser>
          <c:idx val="5"/>
          <c:order val="5"/>
          <c:tx>
            <c:strRef>
              <c:f>Inactivity_NBS!$A$52</c:f>
              <c:strCache>
                <c:ptCount val="1"/>
                <c:pt idx="0">
                  <c:v>Working abroad</c:v>
                </c:pt>
              </c:strCache>
            </c:strRef>
          </c:tx>
          <c:spPr>
            <a:solidFill>
              <a:schemeClr val="accent6"/>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Inactivity_NBS!$B$52:$O$52</c:f>
              <c:numCache>
                <c:formatCode>General</c:formatCode>
                <c:ptCount val="14"/>
                <c:pt idx="0">
                  <c:v>22.6</c:v>
                </c:pt>
                <c:pt idx="1">
                  <c:v>9.4</c:v>
                </c:pt>
                <c:pt idx="2">
                  <c:v>53.4</c:v>
                </c:pt>
                <c:pt idx="3">
                  <c:v>23</c:v>
                </c:pt>
                <c:pt idx="4">
                  <c:v>34.799999999999997</c:v>
                </c:pt>
                <c:pt idx="5">
                  <c:v>17.2</c:v>
                </c:pt>
                <c:pt idx="6">
                  <c:v>22.3</c:v>
                </c:pt>
                <c:pt idx="7">
                  <c:v>19.5</c:v>
                </c:pt>
                <c:pt idx="8">
                  <c:v>9.4</c:v>
                </c:pt>
                <c:pt idx="9">
                  <c:v>4.5</c:v>
                </c:pt>
                <c:pt idx="10">
                  <c:v>0</c:v>
                </c:pt>
                <c:pt idx="11">
                  <c:v>0</c:v>
                </c:pt>
                <c:pt idx="12">
                  <c:v>142.5</c:v>
                </c:pt>
                <c:pt idx="13">
                  <c:v>73.7</c:v>
                </c:pt>
              </c:numCache>
            </c:numRef>
          </c:val>
        </c:ser>
        <c:ser>
          <c:idx val="6"/>
          <c:order val="6"/>
          <c:tx>
            <c:strRef>
              <c:f>Inactivity_NBS!$A$53</c:f>
              <c:strCache>
                <c:ptCount val="1"/>
                <c:pt idx="0">
                  <c:v>Off-season in agriculture</c:v>
                </c:pt>
              </c:strCache>
            </c:strRef>
          </c:tx>
          <c:spPr>
            <a:solidFill>
              <a:srgbClr val="002060"/>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Inactivity_NBS!$B$53:$O$53</c:f>
              <c:numCache>
                <c:formatCode>General</c:formatCode>
                <c:ptCount val="14"/>
                <c:pt idx="0">
                  <c:v>2</c:v>
                </c:pt>
                <c:pt idx="1">
                  <c:v>0.7</c:v>
                </c:pt>
                <c:pt idx="2">
                  <c:v>5.6</c:v>
                </c:pt>
                <c:pt idx="3">
                  <c:v>3.1</c:v>
                </c:pt>
                <c:pt idx="4">
                  <c:v>6.7</c:v>
                </c:pt>
                <c:pt idx="5">
                  <c:v>5.6</c:v>
                </c:pt>
                <c:pt idx="6">
                  <c:v>8.1999999999999993</c:v>
                </c:pt>
                <c:pt idx="7">
                  <c:v>7.9</c:v>
                </c:pt>
                <c:pt idx="8">
                  <c:v>6.2</c:v>
                </c:pt>
                <c:pt idx="9">
                  <c:v>1.9</c:v>
                </c:pt>
                <c:pt idx="10">
                  <c:v>0</c:v>
                </c:pt>
                <c:pt idx="11">
                  <c:v>0</c:v>
                </c:pt>
                <c:pt idx="12">
                  <c:v>28.6</c:v>
                </c:pt>
                <c:pt idx="13">
                  <c:v>19.2</c:v>
                </c:pt>
              </c:numCache>
            </c:numRef>
          </c:val>
        </c:ser>
        <c:ser>
          <c:idx val="7"/>
          <c:order val="7"/>
          <c:tx>
            <c:strRef>
              <c:f>Inactivity_NBS!$A$54</c:f>
              <c:strCache>
                <c:ptCount val="1"/>
                <c:pt idx="0">
                  <c:v>Other </c:v>
                </c:pt>
              </c:strCache>
            </c:strRef>
          </c:tx>
          <c:spPr>
            <a:solidFill>
              <a:schemeClr val="accent2">
                <a:lumMod val="60000"/>
              </a:schemeClr>
            </a:solidFill>
            <a:ln>
              <a:noFill/>
            </a:ln>
            <a:effectLst/>
          </c:spPr>
          <c:invertIfNegative val="0"/>
          <c:cat>
            <c:multiLvlStrRef>
              <c:f>Inactivity_NBS!$B$45:$O$46</c:f>
              <c:multiLvlStrCache>
                <c:ptCount val="14"/>
                <c:lvl>
                  <c:pt idx="0">
                    <c:v>Men</c:v>
                  </c:pt>
                  <c:pt idx="1">
                    <c:v>Women</c:v>
                  </c:pt>
                  <c:pt idx="2">
                    <c:v>Men</c:v>
                  </c:pt>
                  <c:pt idx="3">
                    <c:v>Women</c:v>
                  </c:pt>
                  <c:pt idx="4">
                    <c:v>Men</c:v>
                  </c:pt>
                  <c:pt idx="5">
                    <c:v>Women</c:v>
                  </c:pt>
                  <c:pt idx="6">
                    <c:v>Men</c:v>
                  </c:pt>
                  <c:pt idx="7">
                    <c:v>Women</c:v>
                  </c:pt>
                  <c:pt idx="8">
                    <c:v>Men</c:v>
                  </c:pt>
                  <c:pt idx="9">
                    <c:v>Women</c:v>
                  </c:pt>
                  <c:pt idx="10">
                    <c:v>Men</c:v>
                  </c:pt>
                  <c:pt idx="11">
                    <c:v>Women</c:v>
                  </c:pt>
                  <c:pt idx="12">
                    <c:v>Men</c:v>
                  </c:pt>
                  <c:pt idx="13">
                    <c:v>Women</c:v>
                  </c:pt>
                </c:lvl>
                <c:lvl>
                  <c:pt idx="0">
                    <c:v>15-24</c:v>
                  </c:pt>
                  <c:pt idx="2">
                    <c:v>25-34</c:v>
                  </c:pt>
                  <c:pt idx="4">
                    <c:v>35-44 </c:v>
                  </c:pt>
                  <c:pt idx="6">
                    <c:v>45-54</c:v>
                  </c:pt>
                  <c:pt idx="8">
                    <c:v>55-64 </c:v>
                  </c:pt>
                  <c:pt idx="10">
                    <c:v>65+</c:v>
                  </c:pt>
                  <c:pt idx="12">
                    <c:v>Total</c:v>
                  </c:pt>
                </c:lvl>
              </c:multiLvlStrCache>
            </c:multiLvlStrRef>
          </c:cat>
          <c:val>
            <c:numRef>
              <c:f>Inactivity_NBS!$B$54:$O$54</c:f>
              <c:numCache>
                <c:formatCode>General</c:formatCode>
                <c:ptCount val="14"/>
                <c:pt idx="0">
                  <c:v>2.1</c:v>
                </c:pt>
                <c:pt idx="1">
                  <c:v>1.2</c:v>
                </c:pt>
                <c:pt idx="2">
                  <c:v>1</c:v>
                </c:pt>
                <c:pt idx="3">
                  <c:v>0</c:v>
                </c:pt>
                <c:pt idx="4">
                  <c:v>0</c:v>
                </c:pt>
                <c:pt idx="5">
                  <c:v>0.2</c:v>
                </c:pt>
                <c:pt idx="6">
                  <c:v>0.1</c:v>
                </c:pt>
                <c:pt idx="7">
                  <c:v>0.1</c:v>
                </c:pt>
                <c:pt idx="8">
                  <c:v>0</c:v>
                </c:pt>
                <c:pt idx="9">
                  <c:v>0</c:v>
                </c:pt>
                <c:pt idx="10">
                  <c:v>0</c:v>
                </c:pt>
                <c:pt idx="11">
                  <c:v>0</c:v>
                </c:pt>
                <c:pt idx="12">
                  <c:v>3.2</c:v>
                </c:pt>
                <c:pt idx="13">
                  <c:v>1.6</c:v>
                </c:pt>
              </c:numCache>
            </c:numRef>
          </c:val>
        </c:ser>
        <c:dLbls>
          <c:showLegendKey val="0"/>
          <c:showVal val="0"/>
          <c:showCatName val="0"/>
          <c:showSerName val="0"/>
          <c:showPercent val="0"/>
          <c:showBubbleSize val="0"/>
        </c:dLbls>
        <c:gapWidth val="150"/>
        <c:overlap val="100"/>
        <c:axId val="453154464"/>
        <c:axId val="453154856"/>
      </c:barChart>
      <c:catAx>
        <c:axId val="45315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53154856"/>
        <c:crosses val="autoZero"/>
        <c:auto val="1"/>
        <c:lblAlgn val="ctr"/>
        <c:lblOffset val="100"/>
        <c:noMultiLvlLbl val="0"/>
      </c:catAx>
      <c:valAx>
        <c:axId val="453154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53154464"/>
        <c:crosses val="autoZero"/>
        <c:crossBetween val="between"/>
      </c:valAx>
      <c:spPr>
        <a:noFill/>
        <a:ln>
          <a:noFill/>
        </a:ln>
        <a:effectLst/>
      </c:spPr>
    </c:plotArea>
    <c:legend>
      <c:legendPos val="b"/>
      <c:layout>
        <c:manualLayout>
          <c:xMode val="edge"/>
          <c:yMode val="edge"/>
          <c:x val="0.18306342957130359"/>
          <c:y val="0.66666447944007001"/>
          <c:w val="0.71442869641294837"/>
          <c:h val="0.3055577427821522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'LF Projections'!$C$76</c:f>
              <c:strCache>
                <c:ptCount val="1"/>
                <c:pt idx="0">
                  <c:v>Scenario 1 (baseline)</c:v>
                </c:pt>
              </c:strCache>
            </c:strRef>
          </c:tx>
          <c:spPr>
            <a:ln w="28575" cap="rnd">
              <a:solidFill>
                <a:srgbClr val="C00000"/>
              </a:solidFill>
              <a:round/>
            </a:ln>
            <a:effectLst/>
          </c:spPr>
          <c:marker>
            <c:symbol val="none"/>
          </c:marker>
          <c:cat>
            <c:numRef>
              <c:f>'LF Projections'!$B$78:$B$108</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'LF Projections'!$C$78:$C$108</c:f>
              <c:numCache>
                <c:formatCode>0.0</c:formatCode>
                <c:ptCount val="31"/>
                <c:pt idx="0">
                  <c:v>1636.2737200000001</c:v>
                </c:pt>
                <c:pt idx="1">
                  <c:v>1639.1723410000002</c:v>
                </c:pt>
                <c:pt idx="2">
                  <c:v>1646.3975149999999</c:v>
                </c:pt>
                <c:pt idx="3">
                  <c:v>1659.8906419999998</c:v>
                </c:pt>
                <c:pt idx="4">
                  <c:v>1673.5688219999997</c:v>
                </c:pt>
                <c:pt idx="5">
                  <c:v>1643.1071220000001</c:v>
                </c:pt>
                <c:pt idx="6">
                  <c:v>1602.1547159999996</c:v>
                </c:pt>
                <c:pt idx="7">
                  <c:v>1558.6721170000001</c:v>
                </c:pt>
                <c:pt idx="8">
                  <c:v>1512.0958519999999</c:v>
                </c:pt>
                <c:pt idx="9">
                  <c:v>1463.089142</c:v>
                </c:pt>
                <c:pt idx="10">
                  <c:v>1432.1084450000001</c:v>
                </c:pt>
                <c:pt idx="11">
                  <c:v>1445.0577779999996</c:v>
                </c:pt>
                <c:pt idx="12">
                  <c:v>1394.0945369999997</c:v>
                </c:pt>
                <c:pt idx="13">
                  <c:v>1420.8379729999999</c:v>
                </c:pt>
                <c:pt idx="14">
                  <c:v>1416.1170959999995</c:v>
                </c:pt>
                <c:pt idx="15">
                  <c:v>1512.0908009999998</c:v>
                </c:pt>
                <c:pt idx="16">
                  <c:v>1465.2454949999997</c:v>
                </c:pt>
                <c:pt idx="17">
                  <c:v>1449.6771199999998</c:v>
                </c:pt>
                <c:pt idx="18">
                  <c:v>1433.0337060000002</c:v>
                </c:pt>
                <c:pt idx="19">
                  <c:v>1414.533453</c:v>
                </c:pt>
                <c:pt idx="20">
                  <c:v>1396.6863329999999</c:v>
                </c:pt>
                <c:pt idx="21">
                  <c:v>1377.654722</c:v>
                </c:pt>
                <c:pt idx="22">
                  <c:v>1358.0796680000001</c:v>
                </c:pt>
                <c:pt idx="23">
                  <c:v>1338.8217830000001</c:v>
                </c:pt>
                <c:pt idx="24">
                  <c:v>1319.9767629999999</c:v>
                </c:pt>
                <c:pt idx="25">
                  <c:v>1300.4681879999998</c:v>
                </c:pt>
                <c:pt idx="26">
                  <c:v>1280.2661410000001</c:v>
                </c:pt>
                <c:pt idx="27">
                  <c:v>1260.3279270000003</c:v>
                </c:pt>
                <c:pt idx="28">
                  <c:v>1240.170327</c:v>
                </c:pt>
                <c:pt idx="29">
                  <c:v>1220.2437179999997</c:v>
                </c:pt>
                <c:pt idx="30">
                  <c:v>1200.1205460000001</c:v>
                </c:pt>
              </c:numCache>
            </c:numRef>
          </c:val>
          <c:smooth val="0"/>
          <c:extLst xmlns:c16r2="http://schemas.microsoft.com/office/drawing/2015/06/chart">
            <c:ext xmlns:c16="http://schemas.microsoft.com/office/drawing/2014/chart" uri="{C3380CC4-5D6E-409C-BE32-E72D297353CC}">
              <c16:uniqueId val="{00000000-DBC8-454E-91D3-A123D9C8C994}"/>
            </c:ext>
          </c:extLst>
        </c:ser>
        <c:ser>
          <c:idx val="2"/>
          <c:order val="1"/>
          <c:tx>
            <c:strRef>
              <c:f>'LF Projections'!$D$76</c:f>
              <c:strCache>
                <c:ptCount val="1"/>
                <c:pt idx="0">
                  <c:v>Scenario 2 (gender convergence)</c:v>
                </c:pt>
              </c:strCache>
            </c:strRef>
          </c:tx>
          <c:spPr>
            <a:ln w="28575" cap="rnd">
              <a:solidFill>
                <a:schemeClr val="accent3"/>
              </a:solidFill>
              <a:round/>
            </a:ln>
            <a:effectLst/>
          </c:spPr>
          <c:marker>
            <c:symbol val="none"/>
          </c:marker>
          <c:cat>
            <c:numRef>
              <c:f>'LF Projections'!$B$78:$B$108</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'LF Projections'!$D$78:$D$108</c:f>
              <c:numCache>
                <c:formatCode>0.0</c:formatCode>
                <c:ptCount val="31"/>
                <c:pt idx="0">
                  <c:v>1636.2737200000001</c:v>
                </c:pt>
                <c:pt idx="1">
                  <c:v>1639.1723410000002</c:v>
                </c:pt>
                <c:pt idx="2">
                  <c:v>1646.3975149999999</c:v>
                </c:pt>
                <c:pt idx="3">
                  <c:v>1659.8906419999998</c:v>
                </c:pt>
                <c:pt idx="4">
                  <c:v>1673.5688219999997</c:v>
                </c:pt>
                <c:pt idx="5">
                  <c:v>1643.1071220000001</c:v>
                </c:pt>
                <c:pt idx="6">
                  <c:v>1602.1547159999996</c:v>
                </c:pt>
                <c:pt idx="7">
                  <c:v>1558.6721170000001</c:v>
                </c:pt>
                <c:pt idx="8">
                  <c:v>1512.0958519999999</c:v>
                </c:pt>
                <c:pt idx="9">
                  <c:v>1463.089142</c:v>
                </c:pt>
                <c:pt idx="10">
                  <c:v>1432.1084450000001</c:v>
                </c:pt>
                <c:pt idx="11">
                  <c:v>1445.0577779999996</c:v>
                </c:pt>
                <c:pt idx="12">
                  <c:v>1394.0945369999997</c:v>
                </c:pt>
                <c:pt idx="13">
                  <c:v>1420.8379729999999</c:v>
                </c:pt>
                <c:pt idx="14">
                  <c:v>1416.1170959999995</c:v>
                </c:pt>
                <c:pt idx="15">
                  <c:v>1512.0908009999998</c:v>
                </c:pt>
                <c:pt idx="16">
                  <c:v>1465.2454949999997</c:v>
                </c:pt>
                <c:pt idx="17">
                  <c:v>1459.6839000000002</c:v>
                </c:pt>
                <c:pt idx="18">
                  <c:v>1452.7161368571428</c:v>
                </c:pt>
                <c:pt idx="19">
                  <c:v>1443.5998920714285</c:v>
                </c:pt>
                <c:pt idx="20">
                  <c:v>1434.51864</c:v>
                </c:pt>
                <c:pt idx="21">
                  <c:v>1424.0138661428568</c:v>
                </c:pt>
                <c:pt idx="22">
                  <c:v>1412.175634142857</c:v>
                </c:pt>
                <c:pt idx="23">
                  <c:v>1399.9831435000001</c:v>
                </c:pt>
                <c:pt idx="24">
                  <c:v>1387.4623138571433</c:v>
                </c:pt>
                <c:pt idx="25">
                  <c:v>1374.6547792142858</c:v>
                </c:pt>
                <c:pt idx="26">
                  <c:v>1360.1261145714286</c:v>
                </c:pt>
                <c:pt idx="27">
                  <c:v>1345.9001611428573</c:v>
                </c:pt>
                <c:pt idx="28">
                  <c:v>1332.0008769999999</c:v>
                </c:pt>
                <c:pt idx="29">
                  <c:v>1318.2050434999999</c:v>
                </c:pt>
                <c:pt idx="30">
                  <c:v>1305.6255650000001</c:v>
                </c:pt>
              </c:numCache>
            </c:numRef>
          </c:val>
          <c:smooth val="0"/>
          <c:extLst xmlns:c16r2="http://schemas.microsoft.com/office/drawing/2015/06/chart">
            <c:ext xmlns:c16="http://schemas.microsoft.com/office/drawing/2014/chart" uri="{C3380CC4-5D6E-409C-BE32-E72D297353CC}">
              <c16:uniqueId val="{00000001-DBC8-454E-91D3-A123D9C8C994}"/>
            </c:ext>
          </c:extLst>
        </c:ser>
        <c:ser>
          <c:idx val="3"/>
          <c:order val="2"/>
          <c:tx>
            <c:strRef>
              <c:f>'LF Projections'!$E$76</c:f>
              <c:strCache>
                <c:ptCount val="1"/>
                <c:pt idx="0">
                  <c:v>Scenario 3 (convergence to average EU-28 levels)</c:v>
                </c:pt>
              </c:strCache>
            </c:strRef>
          </c:tx>
          <c:spPr>
            <a:ln w="28575" cap="rnd">
              <a:solidFill>
                <a:schemeClr val="accent4"/>
              </a:solidFill>
              <a:round/>
            </a:ln>
            <a:effectLst/>
          </c:spPr>
          <c:marker>
            <c:symbol val="none"/>
          </c:marker>
          <c:cat>
            <c:numRef>
              <c:f>'LF Projections'!$B$78:$B$108</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'LF Projections'!$E$78:$E$108</c:f>
              <c:numCache>
                <c:formatCode>0.0</c:formatCode>
                <c:ptCount val="31"/>
                <c:pt idx="0">
                  <c:v>1636.2737200000001</c:v>
                </c:pt>
                <c:pt idx="1">
                  <c:v>1639.1723410000002</c:v>
                </c:pt>
                <c:pt idx="2">
                  <c:v>1646.3975149999999</c:v>
                </c:pt>
                <c:pt idx="3">
                  <c:v>1659.8906419999998</c:v>
                </c:pt>
                <c:pt idx="4">
                  <c:v>1673.5688219999997</c:v>
                </c:pt>
                <c:pt idx="5">
                  <c:v>1643.1071220000001</c:v>
                </c:pt>
                <c:pt idx="6">
                  <c:v>1602.1547159999996</c:v>
                </c:pt>
                <c:pt idx="7">
                  <c:v>1558.6721170000001</c:v>
                </c:pt>
                <c:pt idx="8">
                  <c:v>1512.0958519999999</c:v>
                </c:pt>
                <c:pt idx="9">
                  <c:v>1463.089142</c:v>
                </c:pt>
                <c:pt idx="10">
                  <c:v>1432.1084450000001</c:v>
                </c:pt>
                <c:pt idx="11">
                  <c:v>1445.0577779999996</c:v>
                </c:pt>
                <c:pt idx="12">
                  <c:v>1394.0945369999997</c:v>
                </c:pt>
                <c:pt idx="13">
                  <c:v>1420.8379729999999</c:v>
                </c:pt>
                <c:pt idx="14">
                  <c:v>1416.1170959999995</c:v>
                </c:pt>
                <c:pt idx="15">
                  <c:v>1512.0908009999998</c:v>
                </c:pt>
                <c:pt idx="16">
                  <c:v>1465.2454949999997</c:v>
                </c:pt>
                <c:pt idx="17">
                  <c:v>1519.5958872142855</c:v>
                </c:pt>
                <c:pt idx="18">
                  <c:v>1570.8209039999997</c:v>
                </c:pt>
                <c:pt idx="19">
                  <c:v>1619.7907693571426</c:v>
                </c:pt>
                <c:pt idx="20">
                  <c:v>1667.1251252857144</c:v>
                </c:pt>
                <c:pt idx="21">
                  <c:v>1712.0310186428567</c:v>
                </c:pt>
                <c:pt idx="22">
                  <c:v>1754.4940359999996</c:v>
                </c:pt>
                <c:pt idx="23">
                  <c:v>1795.0712834999999</c:v>
                </c:pt>
                <c:pt idx="24">
                  <c:v>1834.4349191428569</c:v>
                </c:pt>
                <c:pt idx="25">
                  <c:v>1872.9900273571427</c:v>
                </c:pt>
                <c:pt idx="26">
                  <c:v>1908.5488404285716</c:v>
                </c:pt>
                <c:pt idx="27">
                  <c:v>1943.7698014999999</c:v>
                </c:pt>
                <c:pt idx="28">
                  <c:v>1978.837078</c:v>
                </c:pt>
                <c:pt idx="29">
                  <c:v>2013.8314782857142</c:v>
                </c:pt>
                <c:pt idx="30">
                  <c:v>2048.8197879999998</c:v>
                </c:pt>
              </c:numCache>
            </c:numRef>
          </c:val>
          <c:smooth val="0"/>
          <c:extLst xmlns:c16r2="http://schemas.microsoft.com/office/drawing/2015/06/chart">
            <c:ext xmlns:c16="http://schemas.microsoft.com/office/drawing/2014/chart" uri="{C3380CC4-5D6E-409C-BE32-E72D297353CC}">
              <c16:uniqueId val="{00000002-DBC8-454E-91D3-A123D9C8C994}"/>
            </c:ext>
          </c:extLst>
        </c:ser>
        <c:ser>
          <c:idx val="4"/>
          <c:order val="3"/>
          <c:tx>
            <c:strRef>
              <c:f>'LF Projections'!$F$76</c:f>
              <c:strCache>
                <c:ptCount val="1"/>
                <c:pt idx="0">
                  <c:v>Scenario 4 (convergence to Sweden)</c:v>
                </c:pt>
              </c:strCache>
            </c:strRef>
          </c:tx>
          <c:spPr>
            <a:ln w="28575" cap="rnd">
              <a:solidFill>
                <a:schemeClr val="accent5"/>
              </a:solidFill>
              <a:round/>
            </a:ln>
            <a:effectLst/>
          </c:spPr>
          <c:marker>
            <c:symbol val="none"/>
          </c:marker>
          <c:cat>
            <c:numRef>
              <c:f>'LF Projections'!$B$78:$B$108</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'LF Projections'!$F$78:$F$108</c:f>
              <c:numCache>
                <c:formatCode>0.0</c:formatCode>
                <c:ptCount val="31"/>
                <c:pt idx="0">
                  <c:v>1636.2737200000001</c:v>
                </c:pt>
                <c:pt idx="1">
                  <c:v>1639.1723410000002</c:v>
                </c:pt>
                <c:pt idx="2">
                  <c:v>1646.3975149999999</c:v>
                </c:pt>
                <c:pt idx="3">
                  <c:v>1659.8906419999998</c:v>
                </c:pt>
                <c:pt idx="4">
                  <c:v>1673.5688219999997</c:v>
                </c:pt>
                <c:pt idx="5">
                  <c:v>1643.1071220000001</c:v>
                </c:pt>
                <c:pt idx="6">
                  <c:v>1602.1547159999996</c:v>
                </c:pt>
                <c:pt idx="7">
                  <c:v>1558.6721170000001</c:v>
                </c:pt>
                <c:pt idx="8">
                  <c:v>1512.0958519999999</c:v>
                </c:pt>
                <c:pt idx="9">
                  <c:v>1463.089142</c:v>
                </c:pt>
                <c:pt idx="10">
                  <c:v>1432.1084450000001</c:v>
                </c:pt>
                <c:pt idx="11">
                  <c:v>1445.0577779999996</c:v>
                </c:pt>
                <c:pt idx="12">
                  <c:v>1394.0945369999997</c:v>
                </c:pt>
                <c:pt idx="13">
                  <c:v>1420.8379729999999</c:v>
                </c:pt>
                <c:pt idx="14">
                  <c:v>1416.1170959999995</c:v>
                </c:pt>
                <c:pt idx="15">
                  <c:v>1512.0908009999998</c:v>
                </c:pt>
                <c:pt idx="16">
                  <c:v>1465.2454949999997</c:v>
                </c:pt>
                <c:pt idx="17">
                  <c:v>1542.4337429285713</c:v>
                </c:pt>
                <c:pt idx="18">
                  <c:v>1615.6840672857143</c:v>
                </c:pt>
                <c:pt idx="19">
                  <c:v>1685.9812712857147</c:v>
                </c:pt>
                <c:pt idx="20">
                  <c:v>1754.295973</c:v>
                </c:pt>
                <c:pt idx="21">
                  <c:v>1819.952071857143</c:v>
                </c:pt>
                <c:pt idx="22">
                  <c:v>1883.2515455714286</c:v>
                </c:pt>
                <c:pt idx="23">
                  <c:v>1944.7035645000005</c:v>
                </c:pt>
                <c:pt idx="24">
                  <c:v>2004.5438437142855</c:v>
                </c:pt>
                <c:pt idx="25">
                  <c:v>2062.7456950000001</c:v>
                </c:pt>
                <c:pt idx="26">
                  <c:v>2116.7153082857144</c:v>
                </c:pt>
                <c:pt idx="27">
                  <c:v>2169.2505994285716</c:v>
                </c:pt>
                <c:pt idx="28">
                  <c:v>2220.8967931428579</c:v>
                </c:pt>
                <c:pt idx="29">
                  <c:v>2272.525691428571</c:v>
                </c:pt>
                <c:pt idx="30">
                  <c:v>2324.8453810000001</c:v>
                </c:pt>
              </c:numCache>
            </c:numRef>
          </c:val>
          <c:smooth val="0"/>
          <c:extLst xmlns:c16r2="http://schemas.microsoft.com/office/drawing/2015/06/chart">
            <c:ext xmlns:c16="http://schemas.microsoft.com/office/drawing/2014/chart" uri="{C3380CC4-5D6E-409C-BE32-E72D297353CC}">
              <c16:uniqueId val="{00000003-DBC8-454E-91D3-A123D9C8C994}"/>
            </c:ext>
          </c:extLst>
        </c:ser>
        <c:dLbls>
          <c:showLegendKey val="0"/>
          <c:showVal val="0"/>
          <c:showCatName val="0"/>
          <c:showSerName val="0"/>
          <c:showPercent val="0"/>
          <c:showBubbleSize val="0"/>
        </c:dLbls>
        <c:smooth val="0"/>
        <c:axId val="453156032"/>
        <c:axId val="453739304"/>
      </c:lineChart>
      <c:catAx>
        <c:axId val="453156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ru-RU"/>
          </a:p>
        </c:txPr>
        <c:crossAx val="453739304"/>
        <c:crosses val="autoZero"/>
        <c:auto val="1"/>
        <c:lblAlgn val="ctr"/>
        <c:lblOffset val="100"/>
        <c:tickLblSkip val="1"/>
        <c:noMultiLvlLbl val="0"/>
      </c:catAx>
      <c:valAx>
        <c:axId val="453739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31560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788807331622189"/>
          <c:y val="2.030456852791878E-2"/>
          <c:w val="0.51033733944094262"/>
          <c:h val="0.78653982972940562"/>
        </c:manualLayout>
      </c:layout>
      <c:barChart>
        <c:barDir val="bar"/>
        <c:grouping val="clustered"/>
        <c:varyColors val="0"/>
        <c:ser>
          <c:idx val="0"/>
          <c:order val="0"/>
          <c:tx>
            <c:v>Female share in 2016 (%)</c:v>
          </c:tx>
          <c:spPr>
            <a:solidFill>
              <a:schemeClr val="accent2"/>
            </a:solidFill>
            <a:ln>
              <a:noFill/>
            </a:ln>
            <a:effectLst/>
          </c:spPr>
          <c:invertIfNegative val="0"/>
          <c:cat>
            <c:strRef>
              <c:f>'fem_share_3d_2006-2016'!$B$264:$B$276</c:f>
              <c:strCache>
                <c:ptCount val="13"/>
                <c:pt idx="0">
                  <c:v>Managing directors and chief executives</c:v>
                </c:pt>
                <c:pt idx="1">
                  <c:v>Legal, social and religious associate professionals</c:v>
                </c:pt>
                <c:pt idx="2">
                  <c:v>Professional services managers</c:v>
                </c:pt>
                <c:pt idx="3">
                  <c:v>Business services and administration managers</c:v>
                </c:pt>
                <c:pt idx="4">
                  <c:v>Administration professionals</c:v>
                </c:pt>
                <c:pt idx="5">
                  <c:v>Information and communications technology service managers</c:v>
                </c:pt>
                <c:pt idx="6">
                  <c:v>Electrical equipment installers and repairers</c:v>
                </c:pt>
                <c:pt idx="7">
                  <c:v>Sports and fitness workers</c:v>
                </c:pt>
                <c:pt idx="8">
                  <c:v>Electronics and telecommunications installers and repairers</c:v>
                </c:pt>
                <c:pt idx="9">
                  <c:v>Physical and engineering science technicians</c:v>
                </c:pt>
                <c:pt idx="10">
                  <c:v>Retail and wholesale trade managers</c:v>
                </c:pt>
                <c:pt idx="11">
                  <c:v>Electrotechnology engineers</c:v>
                </c:pt>
                <c:pt idx="12">
                  <c:v>Mining and construction labourers</c:v>
                </c:pt>
              </c:strCache>
            </c:strRef>
          </c:cat>
          <c:val>
            <c:numRef>
              <c:f>'fem_share_3d_2006-2016'!$M$264:$M$276</c:f>
              <c:numCache>
                <c:formatCode>0.0</c:formatCode>
                <c:ptCount val="13"/>
                <c:pt idx="0">
                  <c:v>55.760199999999998</c:v>
                </c:pt>
                <c:pt idx="1">
                  <c:v>97.234819999999999</c:v>
                </c:pt>
                <c:pt idx="2">
                  <c:v>69.017650000000003</c:v>
                </c:pt>
                <c:pt idx="3">
                  <c:v>79.065839999999994</c:v>
                </c:pt>
                <c:pt idx="4">
                  <c:v>75.610569999999996</c:v>
                </c:pt>
                <c:pt idx="5">
                  <c:v>32.902209999999997</c:v>
                </c:pt>
                <c:pt idx="6">
                  <c:v>22.943159999999999</c:v>
                </c:pt>
                <c:pt idx="7">
                  <c:v>25.899899999999999</c:v>
                </c:pt>
                <c:pt idx="8">
                  <c:v>27.00742</c:v>
                </c:pt>
                <c:pt idx="9">
                  <c:v>27.0732</c:v>
                </c:pt>
                <c:pt idx="10">
                  <c:v>45.18036</c:v>
                </c:pt>
                <c:pt idx="11">
                  <c:v>25.757280000000002</c:v>
                </c:pt>
                <c:pt idx="12">
                  <c:v>19.035810000000001</c:v>
                </c:pt>
              </c:numCache>
            </c:numRef>
          </c:val>
          <c:extLst xmlns:c16r2="http://schemas.microsoft.com/office/drawing/2015/06/chart">
            <c:ext xmlns:c16="http://schemas.microsoft.com/office/drawing/2014/chart" uri="{C3380CC4-5D6E-409C-BE32-E72D297353CC}">
              <c16:uniqueId val="{00000000-EE2C-4495-8347-13CC65D6197D}"/>
            </c:ext>
          </c:extLst>
        </c:ser>
        <c:ser>
          <c:idx val="1"/>
          <c:order val="1"/>
          <c:tx>
            <c:v>Change in female share in 2006-2016 (p.p.)</c:v>
          </c:tx>
          <c:spPr>
            <a:solidFill>
              <a:srgbClr val="0070C0"/>
            </a:solidFill>
            <a:ln>
              <a:noFill/>
            </a:ln>
            <a:effectLst/>
          </c:spPr>
          <c:invertIfNegative val="0"/>
          <c:cat>
            <c:strRef>
              <c:f>'fem_share_3d_2006-2016'!$B$264:$B$276</c:f>
              <c:strCache>
                <c:ptCount val="13"/>
                <c:pt idx="0">
                  <c:v>Managing directors and chief executives</c:v>
                </c:pt>
                <c:pt idx="1">
                  <c:v>Legal, social and religious associate professionals</c:v>
                </c:pt>
                <c:pt idx="2">
                  <c:v>Professional services managers</c:v>
                </c:pt>
                <c:pt idx="3">
                  <c:v>Business services and administration managers</c:v>
                </c:pt>
                <c:pt idx="4">
                  <c:v>Administration professionals</c:v>
                </c:pt>
                <c:pt idx="5">
                  <c:v>Information and communications technology service managers</c:v>
                </c:pt>
                <c:pt idx="6">
                  <c:v>Electrical equipment installers and repairers</c:v>
                </c:pt>
                <c:pt idx="7">
                  <c:v>Sports and fitness workers</c:v>
                </c:pt>
                <c:pt idx="8">
                  <c:v>Electronics and telecommunications installers and repairers</c:v>
                </c:pt>
                <c:pt idx="9">
                  <c:v>Physical and engineering science technicians</c:v>
                </c:pt>
                <c:pt idx="10">
                  <c:v>Retail and wholesale trade managers</c:v>
                </c:pt>
                <c:pt idx="11">
                  <c:v>Electrotechnology engineers</c:v>
                </c:pt>
                <c:pt idx="12">
                  <c:v>Mining and construction labourers</c:v>
                </c:pt>
              </c:strCache>
            </c:strRef>
          </c:cat>
          <c:val>
            <c:numRef>
              <c:f>'fem_share_3d_2006-2016'!$N$264:$N$276</c:f>
              <c:numCache>
                <c:formatCode>0.0</c:formatCode>
                <c:ptCount val="13"/>
                <c:pt idx="0">
                  <c:v>41.703389999999999</c:v>
                </c:pt>
                <c:pt idx="1">
                  <c:v>40.370629999999998</c:v>
                </c:pt>
                <c:pt idx="2">
                  <c:v>33.06053</c:v>
                </c:pt>
                <c:pt idx="3">
                  <c:v>23.712329999999994</c:v>
                </c:pt>
                <c:pt idx="4">
                  <c:v>19.747529999999998</c:v>
                </c:pt>
                <c:pt idx="5">
                  <c:v>17.577869999999997</c:v>
                </c:pt>
                <c:pt idx="6">
                  <c:v>16.899125999999999</c:v>
                </c:pt>
                <c:pt idx="7">
                  <c:v>14.132909999999999</c:v>
                </c:pt>
                <c:pt idx="8">
                  <c:v>13.617049999999999</c:v>
                </c:pt>
                <c:pt idx="9">
                  <c:v>13.57779</c:v>
                </c:pt>
                <c:pt idx="10">
                  <c:v>11.612810000000003</c:v>
                </c:pt>
                <c:pt idx="11">
                  <c:v>11.186200000000001</c:v>
                </c:pt>
                <c:pt idx="12">
                  <c:v>10.767971000000001</c:v>
                </c:pt>
              </c:numCache>
            </c:numRef>
          </c:val>
          <c:extLst xmlns:c16r2="http://schemas.microsoft.com/office/drawing/2015/06/chart">
            <c:ext xmlns:c16="http://schemas.microsoft.com/office/drawing/2014/chart" uri="{C3380CC4-5D6E-409C-BE32-E72D297353CC}">
              <c16:uniqueId val="{00000001-EE2C-4495-8347-13CC65D6197D}"/>
            </c:ext>
          </c:extLst>
        </c:ser>
        <c:dLbls>
          <c:showLegendKey val="0"/>
          <c:showVal val="0"/>
          <c:showCatName val="0"/>
          <c:showSerName val="0"/>
          <c:showPercent val="0"/>
          <c:showBubbleSize val="0"/>
        </c:dLbls>
        <c:gapWidth val="182"/>
        <c:axId val="453738128"/>
        <c:axId val="453738912"/>
      </c:barChart>
      <c:catAx>
        <c:axId val="45373812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3738912"/>
        <c:crosses val="autoZero"/>
        <c:auto val="1"/>
        <c:lblAlgn val="ctr"/>
        <c:lblOffset val="100"/>
        <c:tickLblSkip val="1"/>
        <c:noMultiLvlLbl val="0"/>
      </c:catAx>
      <c:valAx>
        <c:axId val="453738912"/>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3738128"/>
        <c:crosses val="autoZero"/>
        <c:crossBetween val="between"/>
        <c:majorUnit val="10"/>
      </c:valAx>
      <c:spPr>
        <a:noFill/>
        <a:ln>
          <a:noFill/>
        </a:ln>
        <a:effectLst/>
      </c:spPr>
    </c:plotArea>
    <c:legend>
      <c:legendPos val="b"/>
      <c:layout>
        <c:manualLayout>
          <c:xMode val="edge"/>
          <c:yMode val="edge"/>
          <c:x val="0.1068260030738236"/>
          <c:y val="0.90313241936128541"/>
          <c:w val="0.85885302827935672"/>
          <c:h val="9.17914385067348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795209912940677"/>
          <c:y val="5.3398058252427182E-2"/>
          <c:w val="0.51622776995322295"/>
          <c:h val="0.75258695982060053"/>
        </c:manualLayout>
      </c:layout>
      <c:barChart>
        <c:barDir val="bar"/>
        <c:grouping val="clustered"/>
        <c:varyColors val="0"/>
        <c:ser>
          <c:idx val="0"/>
          <c:order val="0"/>
          <c:tx>
            <c:v>Female share in 2016 (%)</c:v>
          </c:tx>
          <c:spPr>
            <a:solidFill>
              <a:schemeClr val="accent2"/>
            </a:solidFill>
            <a:ln>
              <a:noFill/>
            </a:ln>
            <a:effectLst/>
          </c:spPr>
          <c:invertIfNegative val="0"/>
          <c:cat>
            <c:strRef>
              <c:f>'fem_share_3d_2006-2016'!$B$331:$B$347</c:f>
              <c:strCache>
                <c:ptCount val="17"/>
                <c:pt idx="0">
                  <c:v>Keyboard operators</c:v>
                </c:pt>
                <c:pt idx="1">
                  <c:v>Production managers in agriculture, forestry and fisheries</c:v>
                </c:pt>
                <c:pt idx="2">
                  <c:v>Refuse workers</c:v>
                </c:pt>
                <c:pt idx="3">
                  <c:v>Chemical and photographic products plant and machine operators</c:v>
                </c:pt>
                <c:pt idx="4">
                  <c:v>Waiters and bartenders</c:v>
                </c:pt>
                <c:pt idx="5">
                  <c:v>Material-recording and transport clerks</c:v>
                </c:pt>
                <c:pt idx="6">
                  <c:v>Vehicle, window, laundry and other hand cleaning workers</c:v>
                </c:pt>
                <c:pt idx="7">
                  <c:v>Other teaching professionals</c:v>
                </c:pt>
                <c:pt idx="8">
                  <c:v>Client information workers</c:v>
                </c:pt>
                <c:pt idx="9">
                  <c:v>Painters, building structure cleaners and related trades workers</c:v>
                </c:pt>
                <c:pt idx="10">
                  <c:v>Medical and pharmaceutical technicians</c:v>
                </c:pt>
                <c:pt idx="11">
                  <c:v>Vocational education teachers</c:v>
                </c:pt>
                <c:pt idx="12">
                  <c:v>Regulatory government associate professionals</c:v>
                </c:pt>
                <c:pt idx="13">
                  <c:v>Animal producers</c:v>
                </c:pt>
                <c:pt idx="14">
                  <c:v>Sales and purchasing agents and brokers</c:v>
                </c:pt>
                <c:pt idx="15">
                  <c:v>Other health associate professionals</c:v>
                </c:pt>
                <c:pt idx="16">
                  <c:v>Other sales workers</c:v>
                </c:pt>
              </c:strCache>
            </c:strRef>
          </c:cat>
          <c:val>
            <c:numRef>
              <c:f>'fem_share_3d_2006-2016'!$M$331:$M$347</c:f>
              <c:numCache>
                <c:formatCode>0.0</c:formatCode>
                <c:ptCount val="17"/>
                <c:pt idx="0">
                  <c:v>67.521969999999996</c:v>
                </c:pt>
                <c:pt idx="1">
                  <c:v>10.16067</c:v>
                </c:pt>
                <c:pt idx="2">
                  <c:v>24.69613</c:v>
                </c:pt>
                <c:pt idx="3">
                  <c:v>13.524290000000001</c:v>
                </c:pt>
                <c:pt idx="4">
                  <c:v>52.682989999999997</c:v>
                </c:pt>
                <c:pt idx="5">
                  <c:v>47.797350000000002</c:v>
                </c:pt>
                <c:pt idx="6">
                  <c:v>76.194019999999995</c:v>
                </c:pt>
                <c:pt idx="7">
                  <c:v>65.381389999999996</c:v>
                </c:pt>
                <c:pt idx="8">
                  <c:v>59.866259999999997</c:v>
                </c:pt>
                <c:pt idx="9">
                  <c:v>20.365480000000002</c:v>
                </c:pt>
                <c:pt idx="10">
                  <c:v>65.719939999999994</c:v>
                </c:pt>
                <c:pt idx="11">
                  <c:v>56.222760000000001</c:v>
                </c:pt>
                <c:pt idx="12">
                  <c:v>22.252009999999999</c:v>
                </c:pt>
                <c:pt idx="13">
                  <c:v>26.919630000000002</c:v>
                </c:pt>
                <c:pt idx="14">
                  <c:v>28.268329999999999</c:v>
                </c:pt>
                <c:pt idx="15">
                  <c:v>51.414149999999999</c:v>
                </c:pt>
                <c:pt idx="16">
                  <c:v>18.790590000000002</c:v>
                </c:pt>
              </c:numCache>
            </c:numRef>
          </c:val>
          <c:extLst xmlns:c16r2="http://schemas.microsoft.com/office/drawing/2015/06/chart">
            <c:ext xmlns:c16="http://schemas.microsoft.com/office/drawing/2014/chart" uri="{C3380CC4-5D6E-409C-BE32-E72D297353CC}">
              <c16:uniqueId val="{00000000-2747-40A4-B64A-37A0F8D15961}"/>
            </c:ext>
          </c:extLst>
        </c:ser>
        <c:ser>
          <c:idx val="1"/>
          <c:order val="1"/>
          <c:tx>
            <c:v>Change in female share in 2006-2016 (p.p.)</c:v>
          </c:tx>
          <c:spPr>
            <a:solidFill>
              <a:srgbClr val="0070C0"/>
            </a:solidFill>
            <a:ln>
              <a:noFill/>
            </a:ln>
            <a:effectLst/>
          </c:spPr>
          <c:invertIfNegative val="0"/>
          <c:cat>
            <c:strRef>
              <c:f>'fem_share_3d_2006-2016'!$B$331:$B$347</c:f>
              <c:strCache>
                <c:ptCount val="17"/>
                <c:pt idx="0">
                  <c:v>Keyboard operators</c:v>
                </c:pt>
                <c:pt idx="1">
                  <c:v>Production managers in agriculture, forestry and fisheries</c:v>
                </c:pt>
                <c:pt idx="2">
                  <c:v>Refuse workers</c:v>
                </c:pt>
                <c:pt idx="3">
                  <c:v>Chemical and photographic products plant and machine operators</c:v>
                </c:pt>
                <c:pt idx="4">
                  <c:v>Waiters and bartenders</c:v>
                </c:pt>
                <c:pt idx="5">
                  <c:v>Material-recording and transport clerks</c:v>
                </c:pt>
                <c:pt idx="6">
                  <c:v>Vehicle, window, laundry and other hand cleaning workers</c:v>
                </c:pt>
                <c:pt idx="7">
                  <c:v>Other teaching professionals</c:v>
                </c:pt>
                <c:pt idx="8">
                  <c:v>Client information workers</c:v>
                </c:pt>
                <c:pt idx="9">
                  <c:v>Painters, building structure cleaners and related trades workers</c:v>
                </c:pt>
                <c:pt idx="10">
                  <c:v>Medical and pharmaceutical technicians</c:v>
                </c:pt>
                <c:pt idx="11">
                  <c:v>Vocational education teachers</c:v>
                </c:pt>
                <c:pt idx="12">
                  <c:v>Regulatory government associate professionals</c:v>
                </c:pt>
                <c:pt idx="13">
                  <c:v>Animal producers</c:v>
                </c:pt>
                <c:pt idx="14">
                  <c:v>Sales and purchasing agents and brokers</c:v>
                </c:pt>
                <c:pt idx="15">
                  <c:v>Other health associate professionals</c:v>
                </c:pt>
                <c:pt idx="16">
                  <c:v>Other sales workers</c:v>
                </c:pt>
              </c:strCache>
            </c:strRef>
          </c:cat>
          <c:val>
            <c:numRef>
              <c:f>'fem_share_3d_2006-2016'!$N$331:$N$347</c:f>
              <c:numCache>
                <c:formatCode>0.0</c:formatCode>
                <c:ptCount val="17"/>
                <c:pt idx="0">
                  <c:v>-10.936490000000006</c:v>
                </c:pt>
                <c:pt idx="1">
                  <c:v>-11.326689999999999</c:v>
                </c:pt>
                <c:pt idx="2">
                  <c:v>-12.132540000000002</c:v>
                </c:pt>
                <c:pt idx="3">
                  <c:v>-12.507619999999999</c:v>
                </c:pt>
                <c:pt idx="4">
                  <c:v>-13.181789999999999</c:v>
                </c:pt>
                <c:pt idx="5">
                  <c:v>-14.037199999999999</c:v>
                </c:pt>
                <c:pt idx="6">
                  <c:v>-14.185060000000007</c:v>
                </c:pt>
                <c:pt idx="7">
                  <c:v>-15.520629999999997</c:v>
                </c:pt>
                <c:pt idx="8">
                  <c:v>-18.776780000000002</c:v>
                </c:pt>
                <c:pt idx="9">
                  <c:v>-23.946529999999999</c:v>
                </c:pt>
                <c:pt idx="10">
                  <c:v>-24.020110000000003</c:v>
                </c:pt>
                <c:pt idx="11">
                  <c:v>-24.187559999999998</c:v>
                </c:pt>
                <c:pt idx="12">
                  <c:v>-25.87218</c:v>
                </c:pt>
                <c:pt idx="13">
                  <c:v>-28.170799999999996</c:v>
                </c:pt>
                <c:pt idx="14">
                  <c:v>-30.608840000000001</c:v>
                </c:pt>
                <c:pt idx="15">
                  <c:v>-36.654370000000007</c:v>
                </c:pt>
                <c:pt idx="16">
                  <c:v>-39.482659999999996</c:v>
                </c:pt>
              </c:numCache>
            </c:numRef>
          </c:val>
          <c:extLst xmlns:c16r2="http://schemas.microsoft.com/office/drawing/2015/06/chart">
            <c:ext xmlns:c16="http://schemas.microsoft.com/office/drawing/2014/chart" uri="{C3380CC4-5D6E-409C-BE32-E72D297353CC}">
              <c16:uniqueId val="{00000001-2747-40A4-B64A-37A0F8D15961}"/>
            </c:ext>
          </c:extLst>
        </c:ser>
        <c:dLbls>
          <c:showLegendKey val="0"/>
          <c:showVal val="0"/>
          <c:showCatName val="0"/>
          <c:showSerName val="0"/>
          <c:showPercent val="0"/>
          <c:showBubbleSize val="0"/>
        </c:dLbls>
        <c:gapWidth val="182"/>
        <c:axId val="453739696"/>
        <c:axId val="453741656"/>
      </c:barChart>
      <c:catAx>
        <c:axId val="45373969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3741656"/>
        <c:crosses val="autoZero"/>
        <c:auto val="1"/>
        <c:lblAlgn val="ctr"/>
        <c:lblOffset val="100"/>
        <c:tickLblSkip val="1"/>
        <c:noMultiLvlLbl val="0"/>
      </c:catAx>
      <c:valAx>
        <c:axId val="453741656"/>
        <c:scaling>
          <c:orientation val="minMax"/>
          <c:max val="80"/>
          <c:min val="-4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3739696"/>
        <c:crosses val="autoZero"/>
        <c:crossBetween val="between"/>
        <c:majorUnit val="10"/>
      </c:valAx>
      <c:spPr>
        <a:noFill/>
        <a:ln>
          <a:noFill/>
        </a:ln>
        <a:effectLst/>
      </c:spPr>
    </c:plotArea>
    <c:legend>
      <c:legendPos val="r"/>
      <c:layout>
        <c:manualLayout>
          <c:xMode val="edge"/>
          <c:yMode val="edge"/>
          <c:x val="0.13831369183117515"/>
          <c:y val="0.90923381338990661"/>
          <c:w val="0.79912706646266374"/>
          <c:h val="8.6363283818644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3285214348207"/>
          <c:y val="7.049218847644044E-2"/>
          <c:w val="0.86351159230096242"/>
          <c:h val="0.70008198975128111"/>
        </c:manualLayout>
      </c:layout>
      <c:barChart>
        <c:barDir val="col"/>
        <c:grouping val="percentStacked"/>
        <c:varyColors val="0"/>
        <c:ser>
          <c:idx val="0"/>
          <c:order val="0"/>
          <c:tx>
            <c:strRef>
              <c:f>'female-male occupations'!$B$43</c:f>
              <c:strCache>
                <c:ptCount val="1"/>
                <c:pt idx="0">
                  <c:v>Female-dominated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'female-male occupations'!$A$44:$A$47</c:f>
              <c:strCache>
                <c:ptCount val="4"/>
                <c:pt idx="0">
                  <c:v>Men, full-time</c:v>
                </c:pt>
                <c:pt idx="1">
                  <c:v>Men, part-time</c:v>
                </c:pt>
                <c:pt idx="2">
                  <c:v>Women, full-time</c:v>
                </c:pt>
                <c:pt idx="3">
                  <c:v>Women, part-time</c:v>
                </c:pt>
              </c:strCache>
            </c:strRef>
          </c:cat>
          <c:val>
            <c:numRef>
              <c:f>'female-male occupations'!$B$44:$B$47</c:f>
              <c:numCache>
                <c:formatCode>0.0</c:formatCode>
                <c:ptCount val="4"/>
                <c:pt idx="0">
                  <c:v>18.399999999999999</c:v>
                </c:pt>
                <c:pt idx="1">
                  <c:v>22.51</c:v>
                </c:pt>
                <c:pt idx="2">
                  <c:v>70.97</c:v>
                </c:pt>
                <c:pt idx="3">
                  <c:v>79.44</c:v>
                </c:pt>
              </c:numCache>
            </c:numRef>
          </c:val>
          <c:extLst xmlns:c16r2="http://schemas.microsoft.com/office/drawing/2015/06/chart">
            <c:ext xmlns:c16="http://schemas.microsoft.com/office/drawing/2014/chart" uri="{C3380CC4-5D6E-409C-BE32-E72D297353CC}">
              <c16:uniqueId val="{00000000-48A4-4D3B-956B-E26A791F3543}"/>
            </c:ext>
          </c:extLst>
        </c:ser>
        <c:ser>
          <c:idx val="1"/>
          <c:order val="1"/>
          <c:tx>
            <c:strRef>
              <c:f>'female-male occupations'!$C$43</c:f>
              <c:strCache>
                <c:ptCount val="1"/>
                <c:pt idx="0">
                  <c:v>Mixed</c:v>
                </c:pt>
              </c:strCache>
            </c:strRef>
          </c:tx>
          <c:spPr>
            <a:solidFill>
              <a:schemeClr val="bg1">
                <a:lumMod val="75000"/>
              </a:schemeClr>
            </a:solidFill>
            <a:ln>
              <a:noFill/>
            </a:ln>
            <a:effectLst/>
          </c:spPr>
          <c:invertIfNegative val="0"/>
          <c:cat>
            <c:strRef>
              <c:f>'female-male occupations'!$A$44:$A$47</c:f>
              <c:strCache>
                <c:ptCount val="4"/>
                <c:pt idx="0">
                  <c:v>Men, full-time</c:v>
                </c:pt>
                <c:pt idx="1">
                  <c:v>Men, part-time</c:v>
                </c:pt>
                <c:pt idx="2">
                  <c:v>Women, full-time</c:v>
                </c:pt>
                <c:pt idx="3">
                  <c:v>Women, part-time</c:v>
                </c:pt>
              </c:strCache>
            </c:strRef>
          </c:cat>
          <c:val>
            <c:numRef>
              <c:f>'female-male occupations'!$C$44:$C$47</c:f>
              <c:numCache>
                <c:formatCode>0.0</c:formatCode>
                <c:ptCount val="4"/>
                <c:pt idx="0">
                  <c:v>19.91</c:v>
                </c:pt>
                <c:pt idx="1">
                  <c:v>29.33</c:v>
                </c:pt>
                <c:pt idx="2">
                  <c:v>18.53</c:v>
                </c:pt>
                <c:pt idx="3">
                  <c:v>16.88</c:v>
                </c:pt>
              </c:numCache>
            </c:numRef>
          </c:val>
          <c:extLst xmlns:c16r2="http://schemas.microsoft.com/office/drawing/2015/06/chart">
            <c:ext xmlns:c16="http://schemas.microsoft.com/office/drawing/2014/chart" uri="{C3380CC4-5D6E-409C-BE32-E72D297353CC}">
              <c16:uniqueId val="{00000001-48A4-4D3B-956B-E26A791F3543}"/>
            </c:ext>
          </c:extLst>
        </c:ser>
        <c:ser>
          <c:idx val="2"/>
          <c:order val="2"/>
          <c:tx>
            <c:strRef>
              <c:f>'female-male occupations'!$D$43</c:f>
              <c:strCache>
                <c:ptCount val="1"/>
                <c:pt idx="0">
                  <c:v>Male-dominated</c:v>
                </c:pt>
              </c:strCache>
            </c:strRef>
          </c:tx>
          <c:spPr>
            <a:solidFill>
              <a:srgbClr val="0070C0"/>
            </a:solidFill>
            <a:ln>
              <a:noFill/>
            </a:ln>
            <a:effectLst/>
          </c:spPr>
          <c:invertIfNegative val="0"/>
          <c:dLbls>
            <c:dLbl>
              <c:idx val="3"/>
              <c:layout>
                <c:manualLayout>
                  <c:x val="0"/>
                  <c:y val="-3.17460317460317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8A4-4D3B-956B-E26A791F354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'female-male occupations'!$A$44:$A$47</c:f>
              <c:strCache>
                <c:ptCount val="4"/>
                <c:pt idx="0">
                  <c:v>Men, full-time</c:v>
                </c:pt>
                <c:pt idx="1">
                  <c:v>Men, part-time</c:v>
                </c:pt>
                <c:pt idx="2">
                  <c:v>Women, full-time</c:v>
                </c:pt>
                <c:pt idx="3">
                  <c:v>Women, part-time</c:v>
                </c:pt>
              </c:strCache>
            </c:strRef>
          </c:cat>
          <c:val>
            <c:numRef>
              <c:f>'female-male occupations'!$D$44:$D$47</c:f>
              <c:numCache>
                <c:formatCode>0.0</c:formatCode>
                <c:ptCount val="4"/>
                <c:pt idx="0">
                  <c:v>61.69</c:v>
                </c:pt>
                <c:pt idx="1">
                  <c:v>48.16</c:v>
                </c:pt>
                <c:pt idx="2">
                  <c:v>10.5</c:v>
                </c:pt>
                <c:pt idx="3">
                  <c:v>3.68</c:v>
                </c:pt>
              </c:numCache>
            </c:numRef>
          </c:val>
          <c:extLst xmlns:c16r2="http://schemas.microsoft.com/office/drawing/2015/06/chart">
            <c:ext xmlns:c16="http://schemas.microsoft.com/office/drawing/2014/chart" uri="{C3380CC4-5D6E-409C-BE32-E72D297353CC}">
              <c16:uniqueId val="{00000003-48A4-4D3B-956B-E26A791F3543}"/>
            </c:ext>
          </c:extLst>
        </c:ser>
        <c:dLbls>
          <c:showLegendKey val="0"/>
          <c:showVal val="0"/>
          <c:showCatName val="0"/>
          <c:showSerName val="0"/>
          <c:showPercent val="0"/>
          <c:showBubbleSize val="0"/>
        </c:dLbls>
        <c:gapWidth val="150"/>
        <c:overlap val="100"/>
        <c:axId val="449214984"/>
        <c:axId val="449216160"/>
      </c:barChart>
      <c:catAx>
        <c:axId val="44921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49216160"/>
        <c:crosses val="autoZero"/>
        <c:auto val="1"/>
        <c:lblAlgn val="ctr"/>
        <c:lblOffset val="100"/>
        <c:noMultiLvlLbl val="0"/>
      </c:catAx>
      <c:valAx>
        <c:axId val="44921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49214984"/>
        <c:crosses val="autoZero"/>
        <c:crossBetween val="between"/>
        <c:majorUnit val="0.2"/>
      </c:valAx>
      <c:spPr>
        <a:noFill/>
        <a:ln>
          <a:noFill/>
        </a:ln>
        <a:effectLst/>
      </c:spPr>
    </c:plotArea>
    <c:legend>
      <c:legendPos val="b"/>
      <c:layout>
        <c:manualLayout>
          <c:xMode val="edge"/>
          <c:yMode val="edge"/>
          <c:x val="0.16068460192475942"/>
          <c:y val="0.88518785151856016"/>
          <c:w val="0.67863079615048116"/>
          <c:h val="0.114812148481439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0.66092</cdr:x>
      <cdr:y>0.00613</cdr:y>
    </cdr:from>
    <cdr:to>
      <cdr:x>0.66236</cdr:x>
      <cdr:y>0.8076</cdr:y>
    </cdr:to>
    <cdr:cxnSp macro="">
      <cdr:nvCxnSpPr>
        <cdr:cNvPr id="3" name="Прямая соединительная линия 2"/>
        <cdr:cNvCxnSpPr/>
      </cdr:nvCxnSpPr>
      <cdr:spPr>
        <a:xfrm xmlns:a="http://schemas.openxmlformats.org/drawingml/2006/main" flipH="1">
          <a:off x="4381501" y="15875"/>
          <a:ext cx="9525" cy="2076450"/>
        </a:xfrm>
        <a:prstGeom xmlns:a="http://schemas.openxmlformats.org/drawingml/2006/main" prst="line">
          <a:avLst/>
        </a:prstGeom>
        <a:ln xmlns:a="http://schemas.openxmlformats.org/drawingml/2006/main" w="15875">
          <a:solidFill>
            <a:schemeClr val="tx1">
              <a:lumMod val="50000"/>
              <a:lumOff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0.76341</cdr:x>
      <cdr:y>0</cdr:y>
    </cdr:from>
    <cdr:to>
      <cdr:x>0.76485</cdr:x>
      <cdr:y>0.80147</cdr:y>
    </cdr:to>
    <cdr:cxnSp macro="">
      <cdr:nvCxnSpPr>
        <cdr:cNvPr id="5" name="Прямая соединительная линия 4"/>
        <cdr:cNvCxnSpPr/>
      </cdr:nvCxnSpPr>
      <cdr:spPr>
        <a:xfrm xmlns:a="http://schemas.openxmlformats.org/drawingml/2006/main" flipH="1">
          <a:off x="5060950" y="0"/>
          <a:ext cx="9525" cy="2076450"/>
        </a:xfrm>
        <a:prstGeom xmlns:a="http://schemas.openxmlformats.org/drawingml/2006/main" prst="line">
          <a:avLst/>
        </a:prstGeom>
        <a:ln xmlns:a="http://schemas.openxmlformats.org/drawingml/2006/main" w="15875">
          <a:solidFill>
            <a:schemeClr val="tx1">
              <a:lumMod val="50000"/>
              <a:lumOff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0.81384</cdr:x>
      <cdr:y>0.0058</cdr:y>
    </cdr:from>
    <cdr:to>
      <cdr:x>0.8148</cdr:x>
      <cdr:y>0.80162</cdr:y>
    </cdr:to>
    <cdr:cxnSp macro="">
      <cdr:nvCxnSpPr>
        <cdr:cNvPr id="2" name="Прямая соединительная линия 1"/>
        <cdr:cNvCxnSpPr/>
      </cdr:nvCxnSpPr>
      <cdr:spPr>
        <a:xfrm xmlns:a="http://schemas.openxmlformats.org/drawingml/2006/main" flipH="1">
          <a:off x="5413376" y="15875"/>
          <a:ext cx="6349" cy="2178050"/>
        </a:xfrm>
        <a:prstGeom xmlns:a="http://schemas.openxmlformats.org/drawingml/2006/main" prst="line">
          <a:avLst/>
        </a:prstGeom>
        <a:ln xmlns:a="http://schemas.openxmlformats.org/drawingml/2006/main" w="15875">
          <a:solidFill>
            <a:schemeClr val="tx1">
              <a:lumMod val="50000"/>
              <a:lumOff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0.8969</cdr:x>
      <cdr:y>0.00464</cdr:y>
    </cdr:from>
    <cdr:to>
      <cdr:x>0.89785</cdr:x>
      <cdr:y>0.80046</cdr:y>
    </cdr:to>
    <cdr:cxnSp macro="">
      <cdr:nvCxnSpPr>
        <cdr:cNvPr id="4" name="Прямая соединительная линия 3"/>
        <cdr:cNvCxnSpPr/>
      </cdr:nvCxnSpPr>
      <cdr:spPr>
        <a:xfrm xmlns:a="http://schemas.openxmlformats.org/drawingml/2006/main" flipH="1">
          <a:off x="5965825" y="12700"/>
          <a:ext cx="6349" cy="2178050"/>
        </a:xfrm>
        <a:prstGeom xmlns:a="http://schemas.openxmlformats.org/drawingml/2006/main" prst="line">
          <a:avLst/>
        </a:prstGeom>
        <a:ln xmlns:a="http://schemas.openxmlformats.org/drawingml/2006/main" w="15875">
          <a:solidFill>
            <a:schemeClr val="tx1">
              <a:lumMod val="50000"/>
              <a:lumOff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1038E6CF6ECE34EB720CB9240C5CF37" ma:contentTypeVersion="3" ma:contentTypeDescription="" ma:contentTypeScope="" ma:versionID="2b15d8993d33c44be09eedfbaed81eaa">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000260060:Victoria Levin:vlevin@worldbank.org;</DocAuthors>
    <Authors xmlns="b99a068c-3844-4a16-badd-77233eea0529">
      <UserInfo>
        <DisplayName>i:0#.w|wb\wb260060</DisplayName>
        <AccountId>4624</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2018-11-14T05:00:00+00:00</DocumentDate>
    <WBDocType xmlns="b99a068c-3844-4a16-badd-77233eea0529">Report</WBDocType>
    <SecurityClassification xmlns="b99a068c-3844-4a16-badd-77233eea0529">Public</SecurityClassification>
    <DeliverableID xmlns="b99a068c-3844-4a16-badd-77233eea0529">DLV0221857</DeliverableID>
    <ProjectID xmlns="b99a068c-3844-4a16-badd-77233eea0529">P165675</ProjectID>
    <Task_x0020_ID xmlns="b99a068c-3844-4a16-badd-77233eea0529">TSK7386243</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:3.0,:9.0</DisclosedVersion>
    <DocumentType xmlns="b99a068c-3844-4a16-badd-77233eea0529" xsi:nil="true"/>
    <ApprovedVersion xmlns="b99a068c-3844-4a16-badd-77233eea0529">:2.0,:8.0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Autor</b:Tag>
    <b:SourceType>JournalArticle</b:SourceType>
    <b:Guid>{47C25AF4-016B-46D5-9E29-9E190D2AA845}</b:Guid>
    <b:Author>
      <b:Author>
        <b:NameList>
          <b:Person>
            <b:Last>Autor</b:Last>
            <b:First>David</b:First>
          </b:Person>
          <b:Person>
            <b:Last>Levy</b:Last>
            <b:First>Frank</b:First>
          </b:Person>
          <b:Person>
            <b:Last>Murnane</b:Last>
            <b:First>Richard</b:First>
          </b:Person>
        </b:NameList>
      </b:Author>
    </b:Author>
    <b:Year>2003</b:Year>
    <b:Title>The Skill Content of Recent Technologica lChange: An Empirical Exploration.</b:Title>
    <b:JournalName>Quarterly Journal of Economics</b:JournalName>
    <b:Pages>1279-333</b:Pages>
    <b:Volume>118</b:Volume>
    <b:Issue>4</b:Issue>
    <b:RefOrder>3</b:RefOrder>
  </b:Source>
  <b:Source>
    <b:Tag>Btw</b:Tag>
    <b:SourceType>Report</b:SourceType>
    <b:Guid>{5A4860FF-E41E-4394-B631-F47553AC2299}</b:Guid>
    <b:Author>
      <b:Author>
        <b:NameList>
          <b:Person>
            <b:Last>Arias</b:Last>
            <b:First>Omas</b:First>
          </b:Person>
          <b:Person>
            <b:Last>Sánchez-Páramo</b:Last>
            <b:First>Carolina</b:First>
          </b:Person>
          <b:Person>
            <b:Last>Dávalos</b:Last>
            <b:First>Maria</b:First>
          </b:Person>
          <b:Person>
            <b:Last>Santhos</b:Last>
            <b:First>Indhira</b:First>
          </b:Person>
          <b:Person>
            <b:Last>Tiongson</b:Last>
            <b:First>Erwin</b:First>
          </b:Person>
          <b:Person>
            <b:Last>Gruen</b:Last>
            <b:First>Carola</b:First>
          </b:Person>
          <b:Person>
            <b:Last>de Andrade Falcão</b:Last>
            <b:First>Natasha</b:First>
          </b:Person>
          <b:Person>
            <b:Last>Saiovici</b:Last>
            <b:First>Gady</b:First>
          </b:Person>
          <b:Person>
            <b:Last>Cancho</b:Last>
            <b:First>Cesar</b:First>
          </b:Person>
        </b:NameList>
      </b:Author>
    </b:Author>
    <b:Title>Back to Work: Growing with Jobs in Europe and Central Asia</b:Title>
    <b:Year>2014</b:Year>
    <b:Publisher>World Bank</b:Publisher>
    <b:City>Washington, DC</b:City>
    <b:LCID>en-US</b:LCID>
    <b:RefOrder>1</b:RefOrder>
  </b:Source>
  <b:Source>
    <b:Tag>Son12</b:Tag>
    <b:SourceType>Book</b:SourceType>
    <b:Guid>{92E6874E-BD91-429F-992E-0C2A21AC5307}</b:Guid>
    <b:Author>
      <b:Author>
        <b:NameList>
          <b:Person>
            <b:Last>Sondergaard</b:Last>
            <b:First>Lars</b:First>
          </b:Person>
          <b:Person>
            <b:Last>Murthi</b:Last>
            <b:First>Mamta</b:First>
          </b:Person>
        </b:NameList>
      </b:Author>
    </b:Author>
    <b:Title>Skills, Not Just Diplomas: Managing Education for Results in Eastern Europe and Central Asia</b:Title>
    <b:Year>2012</b:Year>
    <b:City>Washington, DC</b:City>
    <b:Publisher>World Bank</b:Publisher>
    <b:RefOrder>6</b:RefOrder>
  </b:Source>
  <b:Source>
    <b:Tag>Han08</b:Tag>
    <b:SourceType>JournalArticle</b:SourceType>
    <b:Guid>{DAC9EA17-4D9C-4F96-8837-995C61E0CD47}</b:Guid>
    <b:Author>
      <b:Author>
        <b:NameList>
          <b:Person>
            <b:Last>Hanushek</b:Last>
            <b:First>Eric</b:First>
          </b:Person>
          <b:Person>
            <b:Last>Woessmann</b:Last>
            <b:First>Ludger</b:First>
          </b:Person>
        </b:NameList>
      </b:Author>
    </b:Author>
    <b:Title>The Role of Cognitive Skills in Economic Development</b:Title>
    <b:JournalName>Journal of Economic Literature</b:JournalName>
    <b:Year>2008</b:Year>
    <b:Pages>607-668</b:Pages>
    <b:Volume>46</b:Volume>
    <b:Issue>3</b:Issue>
    <b:RefOrder>7</b:RefOrder>
  </b:Source>
  <b:Source>
    <b:Tag>Han15</b:Tag>
    <b:SourceType>JournalArticle</b:SourceType>
    <b:Guid>{E3BAE0B5-1A76-4DB4-9FC0-779849775BC4}</b:Guid>
    <b:Author>
      <b:Author>
        <b:NameList>
          <b:Person>
            <b:Last>Hanushek</b:Last>
            <b:First>Erik</b:First>
          </b:Person>
          <b:Person>
            <b:Last>Schwerdt</b:Last>
            <b:First>Guido</b:First>
          </b:Person>
          <b:Person>
            <b:Last>Wiederhold</b:Last>
            <b:First>Simon</b:First>
          </b:Person>
          <b:Person>
            <b:Last>Woessmann</b:Last>
            <b:First>Ludger</b:First>
          </b:Person>
        </b:NameList>
      </b:Author>
    </b:Author>
    <b:Title>Returns to Skills Around the World: Evidence from PIAAC</b:Title>
    <b:Year>2015</b:Year>
    <b:JournalName>European Economic Review</b:JournalName>
    <b:Pages>103-130</b:Pages>
    <b:Month>January</b:Month>
    <b:RefOrder>8</b:RefOrder>
  </b:Source>
</b:Sources>
</file>

<file path=customXml/itemProps1.xml><?xml version="1.0" encoding="utf-8"?>
<ds:datastoreItem xmlns:ds="http://schemas.openxmlformats.org/officeDocument/2006/customXml" ds:itemID="{57639A80-E2A5-4E2C-8257-BBF295B6B8E6}"/>
</file>

<file path=customXml/itemProps2.xml><?xml version="1.0" encoding="utf-8"?>
<ds:datastoreItem xmlns:ds="http://schemas.openxmlformats.org/officeDocument/2006/customXml" ds:itemID="{ABF3E194-DE8E-4873-9037-E641D0133CB6}"/>
</file>

<file path=customXml/itemProps3.xml><?xml version="1.0" encoding="utf-8"?>
<ds:datastoreItem xmlns:ds="http://schemas.openxmlformats.org/officeDocument/2006/customXml" ds:itemID="{17B85DE4-139C-4901-9133-79E77463D9AE}"/>
</file>

<file path=customXml/itemProps4.xml><?xml version="1.0" encoding="utf-8"?>
<ds:datastoreItem xmlns:ds="http://schemas.openxmlformats.org/officeDocument/2006/customXml" ds:itemID="{749EFBEA-67C6-460A-8849-AD21F679B145}"/>
</file>

<file path=customXml/itemProps5.xml><?xml version="1.0" encoding="utf-8"?>
<ds:datastoreItem xmlns:ds="http://schemas.openxmlformats.org/officeDocument/2006/customXml" ds:itemID="{83199DEF-F926-4CFB-91DA-44CEB13F6A3B}"/>
</file>

<file path=docProps/app.xml><?xml version="1.0" encoding="utf-8"?>
<Properties xmlns="http://schemas.openxmlformats.org/officeDocument/2006/extended-properties" xmlns:vt="http://schemas.openxmlformats.org/officeDocument/2006/docPropsVTypes">
  <Template>Normal</Template>
  <TotalTime>5</TotalTime>
  <Pages>83</Pages>
  <Words>29822</Words>
  <Characters>169987</Characters>
  <Application>Microsoft Office Word</Application>
  <DocSecurity>0</DocSecurity>
  <Lines>1416</Lines>
  <Paragraphs>398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Gender Inequalities in Moldova’s Labor Market</vt:lpstr>
      <vt:lpstr>Gender Inequalities in Moldova’s Labor Market</vt:lpstr>
    </vt:vector>
  </TitlesOfParts>
  <Company>World Bank</Company>
  <LinksUpToDate>false</LinksUpToDate>
  <CharactersWithSpaces>199411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Inequalities in Moldova’s Labor Market</dc:title>
  <dc:subject/>
  <dc:creator>Olga Kupets</dc:creator>
  <cp:keywords/>
  <dc:description/>
  <cp:lastModifiedBy>Пользователь Windows</cp:lastModifiedBy>
  <cp:revision>6</cp:revision>
  <cp:lastPrinted>2018-06-04T15:57:00Z</cp:lastPrinted>
  <dcterms:created xsi:type="dcterms:W3CDTF">2018-12-22T01:14:00Z</dcterms:created>
  <dcterms:modified xsi:type="dcterms:W3CDTF">2018-12-22T01:25:00Z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0x01010054E0FEF4951F9D49A6F48A35419983C70021038E6CF6ECE34EB720CB9240C5CF37</vt:lpwstr>
  </property>
  <property fmtid="{D5CDD505-2E9C-101B-9397-08002B2CF9AE}" pid="3" name="RatedBy">
    <vt:lpwstr/>
  </property>
  <property fmtid="{D5CDD505-2E9C-101B-9397-08002B2CF9AE}" pid="4" name="LikedBy">
    <vt:lpwstr/>
  </property>
</Properties>
</file>