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right"/>
        <w:tblCellSpacing w:w="0" w:type="dxa"/>
        <w:tblCellMar>
          <w:left w:w="0" w:type="dxa"/>
          <w:right w:w="0" w:type="dxa"/>
        </w:tblCellMar>
        <w:tblLook w:val="04A0" w:firstRow="1" w:lastRow="0" w:firstColumn="1" w:lastColumn="0" w:noHBand="0" w:noVBand="1"/>
        <w:tblDescription w:val="The Details about تحسين الوصول إلى العدالة في غواتيمالا displayed below"/>
      </w:tblPr>
      <w:tblGrid>
        <w:gridCol w:w="1870"/>
        <w:gridCol w:w="7484"/>
        <w:gridCol w:w="6"/>
      </w:tblGrid>
      <w:tr w:rsidR="00E30C11" w:rsidRPr="00E30C11">
        <w:trPr>
          <w:tblCellSpacing w:w="0" w:type="dxa"/>
          <w:jc w:val="right"/>
        </w:trPr>
        <w:tc>
          <w:tcPr>
            <w:tcW w:w="0" w:type="auto"/>
            <w:gridSpan w:val="3"/>
            <w:hideMark/>
          </w:tcPr>
          <w:p w:rsidR="00E30C11" w:rsidRPr="00E30C11" w:rsidRDefault="00E30C11" w:rsidP="00E30C11">
            <w:pPr>
              <w:bidi/>
              <w:spacing w:after="0" w:line="240" w:lineRule="auto"/>
              <w:outlineLvl w:val="0"/>
              <w:rPr>
                <w:rFonts w:ascii="Arial" w:eastAsia="Times New Roman" w:hAnsi="Arial" w:cs="Arial"/>
                <w:b/>
                <w:bCs/>
                <w:color w:val="000000"/>
                <w:kern w:val="36"/>
                <w:sz w:val="27"/>
                <w:szCs w:val="27"/>
              </w:rPr>
            </w:pPr>
            <w:r w:rsidRPr="00E30C11">
              <w:rPr>
                <w:rFonts w:ascii="Arial" w:eastAsia="Times New Roman" w:hAnsi="Arial" w:cs="Arial"/>
                <w:noProof/>
                <w:color w:val="000000"/>
                <w:sz w:val="18"/>
                <w:szCs w:val="18"/>
                <w:rtl/>
              </w:rPr>
              <mc:AlternateContent>
                <mc:Choice Requires="wps">
                  <w:drawing>
                    <wp:anchor distT="0" distB="0" distL="114300" distR="114300" simplePos="0" relativeHeight="251659264" behindDoc="0" locked="0" layoutInCell="1" allowOverlap="1" wp14:anchorId="37707F0C" wp14:editId="71C6AE39">
                      <wp:simplePos x="0" y="0"/>
                      <wp:positionH relativeFrom="column">
                        <wp:posOffset>4442460</wp:posOffset>
                      </wp:positionH>
                      <wp:positionV relativeFrom="paragraph">
                        <wp:posOffset>-822325</wp:posOffset>
                      </wp:positionV>
                      <wp:extent cx="16097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3985"/>
                              </a:xfrm>
                              <a:prstGeom prst="rect">
                                <a:avLst/>
                              </a:prstGeom>
                              <a:noFill/>
                              <a:ln w="9525">
                                <a:noFill/>
                                <a:miter lim="800000"/>
                                <a:headEnd/>
                                <a:tailEnd/>
                              </a:ln>
                            </wps:spPr>
                            <wps:txbx>
                              <w:txbxContent>
                                <w:p w:rsidR="00E30C11" w:rsidRPr="00E30C11" w:rsidRDefault="00E30C11" w:rsidP="00E30C11">
                                  <w:pPr>
                                    <w:jc w:val="right"/>
                                    <w:rPr>
                                      <w:rFonts w:ascii="Arial" w:hAnsi="Arial" w:cs="Arial"/>
                                      <w:sz w:val="44"/>
                                      <w:szCs w:val="44"/>
                                    </w:rPr>
                                  </w:pPr>
                                  <w:bookmarkStart w:id="0" w:name="_GoBack"/>
                                  <w:r w:rsidRPr="00E30C11">
                                    <w:rPr>
                                      <w:rFonts w:ascii="Arial" w:hAnsi="Arial" w:cs="Arial"/>
                                      <w:sz w:val="44"/>
                                      <w:szCs w:val="44"/>
                                    </w:rPr>
                                    <w:t>92437</w:t>
                                  </w:r>
                                </w:p>
                                <w:p w:rsidR="00E30C11" w:rsidRPr="00E30C11" w:rsidRDefault="00E30C11" w:rsidP="00E30C11">
                                  <w:pPr>
                                    <w:jc w:val="right"/>
                                    <w:rPr>
                                      <w:rFonts w:ascii="Arial" w:hAnsi="Arial" w:cs="Arial"/>
                                      <w:sz w:val="24"/>
                                      <w:szCs w:val="44"/>
                                    </w:rPr>
                                  </w:pPr>
                                  <w:r w:rsidRPr="00E30C11">
                                    <w:rPr>
                                      <w:rFonts w:ascii="Arial" w:hAnsi="Arial" w:cs="Arial"/>
                                      <w:sz w:val="24"/>
                                      <w:szCs w:val="44"/>
                                    </w:rPr>
                                    <w:t>April 24, 2006</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8pt;margin-top:-64.75pt;width:12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" filled="f" stroked="f">
                      <v:textbox style="mso-fit-shape-to-text:t">
                        <w:txbxContent>
                          <w:p w:rsidR="00E30C11" w:rsidRPr="00E30C11" w:rsidRDefault="00E30C11" w:rsidP="00E30C11">
                            <w:pPr>
                              <w:jc w:val="right"/>
                              <w:rPr>
                                <w:rFonts w:ascii="Arial" w:hAnsi="Arial" w:cs="Arial"/>
                                <w:sz w:val="44"/>
                                <w:szCs w:val="44"/>
                              </w:rPr>
                            </w:pPr>
                            <w:bookmarkStart w:id="1" w:name="_GoBack"/>
                            <w:r w:rsidRPr="00E30C11">
                              <w:rPr>
                                <w:rFonts w:ascii="Arial" w:hAnsi="Arial" w:cs="Arial"/>
                                <w:sz w:val="44"/>
                                <w:szCs w:val="44"/>
                              </w:rPr>
                              <w:t>92437</w:t>
                            </w:r>
                          </w:p>
                          <w:p w:rsidR="00E30C11" w:rsidRPr="00E30C11" w:rsidRDefault="00E30C11" w:rsidP="00E30C11">
                            <w:pPr>
                              <w:jc w:val="right"/>
                              <w:rPr>
                                <w:rFonts w:ascii="Arial" w:hAnsi="Arial" w:cs="Arial"/>
                                <w:sz w:val="24"/>
                                <w:szCs w:val="44"/>
                              </w:rPr>
                            </w:pPr>
                            <w:r w:rsidRPr="00E30C11">
                              <w:rPr>
                                <w:rFonts w:ascii="Arial" w:hAnsi="Arial" w:cs="Arial"/>
                                <w:sz w:val="24"/>
                                <w:szCs w:val="44"/>
                              </w:rPr>
                              <w:t>April 24, 2006</w:t>
                            </w:r>
                            <w:bookmarkEnd w:id="1"/>
                          </w:p>
                        </w:txbxContent>
                      </v:textbox>
                    </v:shape>
                  </w:pict>
                </mc:Fallback>
              </mc:AlternateContent>
            </w:r>
            <w:proofErr w:type="spellStart"/>
            <w:r w:rsidRPr="00E30C11">
              <w:rPr>
                <w:rFonts w:ascii="Arial" w:eastAsia="Times New Roman" w:hAnsi="Arial" w:cs="Arial"/>
                <w:b/>
                <w:bCs/>
                <w:color w:val="000000"/>
                <w:kern w:val="36"/>
                <w:sz w:val="27"/>
                <w:szCs w:val="27"/>
              </w:rPr>
              <w:t>تحسين</w:t>
            </w:r>
            <w:proofErr w:type="spellEnd"/>
            <w:r w:rsidRPr="00E30C11">
              <w:rPr>
                <w:rFonts w:ascii="Arial" w:eastAsia="Times New Roman" w:hAnsi="Arial" w:cs="Arial"/>
                <w:b/>
                <w:bCs/>
                <w:color w:val="000000"/>
                <w:kern w:val="36"/>
                <w:sz w:val="27"/>
                <w:szCs w:val="27"/>
              </w:rPr>
              <w:t xml:space="preserve"> </w:t>
            </w:r>
            <w:proofErr w:type="spellStart"/>
            <w:r w:rsidRPr="00E30C11">
              <w:rPr>
                <w:rFonts w:ascii="Arial" w:eastAsia="Times New Roman" w:hAnsi="Arial" w:cs="Arial"/>
                <w:b/>
                <w:bCs/>
                <w:color w:val="000000"/>
                <w:kern w:val="36"/>
                <w:sz w:val="27"/>
                <w:szCs w:val="27"/>
              </w:rPr>
              <w:t>الوصول</w:t>
            </w:r>
            <w:proofErr w:type="spellEnd"/>
            <w:r w:rsidRPr="00E30C11">
              <w:rPr>
                <w:rFonts w:ascii="Arial" w:eastAsia="Times New Roman" w:hAnsi="Arial" w:cs="Arial"/>
                <w:b/>
                <w:bCs/>
                <w:color w:val="000000"/>
                <w:kern w:val="36"/>
                <w:sz w:val="27"/>
                <w:szCs w:val="27"/>
              </w:rPr>
              <w:t xml:space="preserve"> </w:t>
            </w:r>
            <w:proofErr w:type="spellStart"/>
            <w:r w:rsidRPr="00E30C11">
              <w:rPr>
                <w:rFonts w:ascii="Arial" w:eastAsia="Times New Roman" w:hAnsi="Arial" w:cs="Arial"/>
                <w:b/>
                <w:bCs/>
                <w:color w:val="000000"/>
                <w:kern w:val="36"/>
                <w:sz w:val="27"/>
                <w:szCs w:val="27"/>
              </w:rPr>
              <w:t>إلى</w:t>
            </w:r>
            <w:proofErr w:type="spellEnd"/>
            <w:r w:rsidRPr="00E30C11">
              <w:rPr>
                <w:rFonts w:ascii="Arial" w:eastAsia="Times New Roman" w:hAnsi="Arial" w:cs="Arial"/>
                <w:b/>
                <w:bCs/>
                <w:color w:val="000000"/>
                <w:kern w:val="36"/>
                <w:sz w:val="27"/>
                <w:szCs w:val="27"/>
              </w:rPr>
              <w:t xml:space="preserve"> </w:t>
            </w:r>
            <w:proofErr w:type="spellStart"/>
            <w:r w:rsidRPr="00E30C11">
              <w:rPr>
                <w:rFonts w:ascii="Arial" w:eastAsia="Times New Roman" w:hAnsi="Arial" w:cs="Arial"/>
                <w:b/>
                <w:bCs/>
                <w:color w:val="000000"/>
                <w:kern w:val="36"/>
                <w:sz w:val="27"/>
                <w:szCs w:val="27"/>
              </w:rPr>
              <w:t>العدالة</w:t>
            </w:r>
            <w:proofErr w:type="spellEnd"/>
            <w:r w:rsidRPr="00E30C11">
              <w:rPr>
                <w:rFonts w:ascii="Arial" w:eastAsia="Times New Roman" w:hAnsi="Arial" w:cs="Arial"/>
                <w:b/>
                <w:bCs/>
                <w:color w:val="000000"/>
                <w:kern w:val="36"/>
                <w:sz w:val="27"/>
                <w:szCs w:val="27"/>
              </w:rPr>
              <w:t xml:space="preserve"> </w:t>
            </w:r>
            <w:proofErr w:type="spellStart"/>
            <w:r w:rsidRPr="00E30C11">
              <w:rPr>
                <w:rFonts w:ascii="Arial" w:eastAsia="Times New Roman" w:hAnsi="Arial" w:cs="Arial"/>
                <w:b/>
                <w:bCs/>
                <w:color w:val="000000"/>
                <w:kern w:val="36"/>
                <w:sz w:val="27"/>
                <w:szCs w:val="27"/>
              </w:rPr>
              <w:t>في</w:t>
            </w:r>
            <w:proofErr w:type="spellEnd"/>
            <w:r w:rsidRPr="00E30C11">
              <w:rPr>
                <w:rFonts w:ascii="Arial" w:eastAsia="Times New Roman" w:hAnsi="Arial" w:cs="Arial"/>
                <w:b/>
                <w:bCs/>
                <w:color w:val="000000"/>
                <w:kern w:val="36"/>
                <w:sz w:val="27"/>
                <w:szCs w:val="27"/>
              </w:rPr>
              <w:t xml:space="preserve"> </w:t>
            </w:r>
            <w:proofErr w:type="spellStart"/>
            <w:r w:rsidRPr="00E30C11">
              <w:rPr>
                <w:rFonts w:ascii="Arial" w:eastAsia="Times New Roman" w:hAnsi="Arial" w:cs="Arial"/>
                <w:b/>
                <w:bCs/>
                <w:color w:val="000000"/>
                <w:kern w:val="36"/>
                <w:sz w:val="27"/>
                <w:szCs w:val="27"/>
              </w:rPr>
              <w:t>غواتيمالا</w:t>
            </w:r>
            <w:proofErr w:type="spellEnd"/>
          </w:p>
        </w:tc>
      </w:tr>
      <w:tr w:rsidR="00E30C11" w:rsidRPr="00E30C11">
        <w:trPr>
          <w:tblCellSpacing w:w="0" w:type="dxa"/>
          <w:jc w:val="right"/>
        </w:trPr>
        <w:tc>
          <w:tcPr>
            <w:tcW w:w="0" w:type="auto"/>
            <w:gridSpan w:val="3"/>
            <w:shd w:val="clear" w:color="auto" w:fill="6699CC"/>
            <w:hideMark/>
          </w:tcPr>
          <w:p w:rsidR="00E30C11" w:rsidRPr="00E30C11" w:rsidRDefault="00E30C11" w:rsidP="00E30C11">
            <w:pPr>
              <w:bidi/>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14:anchorId="15E3C7C9" wp14:editId="5E74322D">
                  <wp:extent cx="95250" cy="9525"/>
                  <wp:effectExtent l="0" t="0" r="0" b="0"/>
                  <wp:docPr id="3" name="Picture 3"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E30C11" w:rsidRPr="00E30C11">
        <w:trPr>
          <w:tblCellSpacing w:w="0" w:type="dxa"/>
          <w:jc w:val="right"/>
        </w:trPr>
        <w:tc>
          <w:tcPr>
            <w:tcW w:w="0" w:type="auto"/>
            <w:hideMark/>
          </w:tcPr>
          <w:p w:rsidR="00E30C11" w:rsidRPr="00E30C11" w:rsidRDefault="00E30C11" w:rsidP="00E30C11">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AB5BF1E" wp14:editId="1971A26A">
                  <wp:extent cx="95250" cy="66675"/>
                  <wp:effectExtent l="0" t="0" r="0" b="0"/>
                  <wp:docPr id="2" name="Picture 2"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E30C11" w:rsidRPr="00E30C11" w:rsidRDefault="00E30C11" w:rsidP="00E30C11">
            <w:pPr>
              <w:spacing w:after="0" w:line="240" w:lineRule="auto"/>
              <w:rPr>
                <w:rFonts w:ascii="Times New Roman" w:eastAsia="Times New Roman" w:hAnsi="Times New Roman" w:cs="Times New Roman"/>
                <w:sz w:val="20"/>
                <w:szCs w:val="20"/>
              </w:rPr>
            </w:pPr>
          </w:p>
        </w:tc>
        <w:tc>
          <w:tcPr>
            <w:tcW w:w="0" w:type="auto"/>
            <w:vAlign w:val="center"/>
            <w:hideMark/>
          </w:tcPr>
          <w:p w:rsidR="00E30C11" w:rsidRPr="00E30C11" w:rsidRDefault="00E30C11" w:rsidP="00E30C11">
            <w:pPr>
              <w:spacing w:after="0" w:line="240" w:lineRule="auto"/>
              <w:rPr>
                <w:rFonts w:ascii="Times New Roman" w:eastAsia="Times New Roman" w:hAnsi="Times New Roman" w:cs="Times New Roman"/>
                <w:sz w:val="20"/>
                <w:szCs w:val="20"/>
              </w:rPr>
            </w:pPr>
          </w:p>
        </w:tc>
      </w:tr>
      <w:tr w:rsidR="00E30C11" w:rsidRPr="00E30C11" w:rsidTr="00E30C11">
        <w:trPr>
          <w:tblCellSpacing w:w="0" w:type="dxa"/>
          <w:jc w:val="right"/>
        </w:trPr>
        <w:tc>
          <w:tcPr>
            <w:tcW w:w="1000" w:type="pct"/>
          </w:tcPr>
          <w:p w:rsidR="00E30C11" w:rsidRDefault="00E30C11" w:rsidP="00E30C11">
            <w:pPr>
              <w:bidi/>
              <w:spacing w:after="0" w:line="240" w:lineRule="auto"/>
              <w:rPr>
                <w:rFonts w:ascii="Arial" w:eastAsia="Times New Roman" w:hAnsi="Arial" w:cs="Arial"/>
                <w:color w:val="000000"/>
                <w:sz w:val="18"/>
                <w:szCs w:val="18"/>
                <w:rtl/>
              </w:rPr>
            </w:pPr>
          </w:p>
          <w:p w:rsidR="00E30C11" w:rsidRPr="00E30C11" w:rsidRDefault="00E30C11" w:rsidP="00E30C11">
            <w:pPr>
              <w:bidi/>
              <w:spacing w:after="0" w:line="240" w:lineRule="auto"/>
              <w:rPr>
                <w:rFonts w:ascii="Arial" w:eastAsia="Times New Roman" w:hAnsi="Arial" w:cs="Arial"/>
                <w:color w:val="000000"/>
                <w:sz w:val="18"/>
                <w:szCs w:val="18"/>
              </w:rPr>
            </w:pPr>
          </w:p>
        </w:tc>
        <w:tc>
          <w:tcPr>
            <w:tcW w:w="4000" w:type="pct"/>
          </w:tcPr>
          <w:p w:rsidR="00E30C11" w:rsidRPr="00E30C11" w:rsidRDefault="00E30C11" w:rsidP="00E30C11">
            <w:pPr>
              <w:bidi/>
              <w:spacing w:after="0" w:line="240" w:lineRule="auto"/>
              <w:rPr>
                <w:rFonts w:ascii="Arial" w:eastAsia="Times New Roman" w:hAnsi="Arial" w:cs="Arial"/>
                <w:color w:val="000000"/>
                <w:sz w:val="18"/>
                <w:szCs w:val="18"/>
              </w:rPr>
            </w:pPr>
          </w:p>
        </w:tc>
        <w:tc>
          <w:tcPr>
            <w:tcW w:w="0" w:type="auto"/>
            <w:vAlign w:val="center"/>
            <w:hideMark/>
          </w:tcPr>
          <w:p w:rsidR="00E30C11" w:rsidRPr="00E30C11" w:rsidRDefault="00E30C11" w:rsidP="00E30C11">
            <w:pPr>
              <w:spacing w:after="0" w:line="240" w:lineRule="auto"/>
              <w:rPr>
                <w:rFonts w:ascii="Times New Roman" w:eastAsia="Times New Roman" w:hAnsi="Times New Roman" w:cs="Times New Roman"/>
                <w:sz w:val="20"/>
                <w:szCs w:val="20"/>
              </w:rPr>
            </w:pPr>
          </w:p>
        </w:tc>
      </w:tr>
      <w:tr w:rsidR="00E30C11" w:rsidRPr="00E30C11">
        <w:trPr>
          <w:tblCellSpacing w:w="0" w:type="dxa"/>
          <w:jc w:val="right"/>
        </w:trPr>
        <w:tc>
          <w:tcPr>
            <w:tcW w:w="0" w:type="auto"/>
            <w:gridSpan w:val="3"/>
            <w:hideMark/>
          </w:tcPr>
          <w:p w:rsidR="00E30C11" w:rsidRPr="00E30C11" w:rsidRDefault="00E30C11" w:rsidP="00E30C11">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14D2FF5F" wp14:editId="7D9BAEC8">
                  <wp:extent cx="95250" cy="47625"/>
                  <wp:effectExtent l="0" t="0" r="0" b="0"/>
                  <wp:docPr id="1" name="Picture 1"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E30C11" w:rsidRPr="00E30C11">
        <w:trPr>
          <w:tblCellSpacing w:w="0" w:type="dxa"/>
          <w:jc w:val="right"/>
        </w:trPr>
        <w:tc>
          <w:tcPr>
            <w:tcW w:w="0" w:type="auto"/>
            <w:gridSpan w:val="3"/>
            <w:hideMark/>
          </w:tcPr>
          <w:tbl>
            <w:tblPr>
              <w:bidiVisual/>
              <w:tblW w:w="8475" w:type="dxa"/>
              <w:tblCellSpacing w:w="15" w:type="dxa"/>
              <w:tblCellMar>
                <w:top w:w="15" w:type="dxa"/>
                <w:left w:w="15" w:type="dxa"/>
                <w:bottom w:w="15" w:type="dxa"/>
                <w:right w:w="15" w:type="dxa"/>
              </w:tblCellMar>
              <w:tblLook w:val="04A0" w:firstRow="1" w:lastRow="0" w:firstColumn="1" w:lastColumn="0" w:noHBand="0" w:noVBand="1"/>
            </w:tblPr>
            <w:tblGrid>
              <w:gridCol w:w="4680"/>
              <w:gridCol w:w="180"/>
              <w:gridCol w:w="3615"/>
            </w:tblGrid>
            <w:tr w:rsidR="00E30C11" w:rsidRPr="00E30C11">
              <w:trPr>
                <w:tblCellSpacing w:w="15" w:type="dxa"/>
              </w:trPr>
              <w:tc>
                <w:tcPr>
                  <w:tcW w:w="4635" w:type="dxa"/>
                  <w:hideMark/>
                </w:tcPr>
                <w:p w:rsidR="00E30C11" w:rsidRPr="00E30C11" w:rsidRDefault="00E30C11" w:rsidP="00E30C11">
                  <w:pPr>
                    <w:bidi/>
                    <w:spacing w:after="0" w:line="240" w:lineRule="auto"/>
                    <w:rPr>
                      <w:rFonts w:ascii="Times New Roman" w:eastAsia="Times New Roman" w:hAnsi="Times New Roman" w:cs="Times New Roman"/>
                      <w:color w:val="000000"/>
                      <w:sz w:val="24"/>
                      <w:szCs w:val="24"/>
                    </w:rPr>
                  </w:pPr>
                  <w:r w:rsidRPr="00E30C11">
                    <w:rPr>
                      <w:rFonts w:ascii="Arial" w:eastAsia="Times New Roman" w:hAnsi="Arial" w:cs="Arial"/>
                      <w:b/>
                      <w:bCs/>
                      <w:color w:val="000000"/>
                      <w:sz w:val="24"/>
                      <w:szCs w:val="24"/>
                      <w:rtl/>
                    </w:rPr>
                    <w:t>خلفيــة عامة</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 xml:space="preserve">أنهى التوقيع على اتفاقات السلام في ديسمبر/ كانون الأول 1996 حقبة من الحرب الأهلية استمرت 36 عاماً في غواتيمالا. وبرز مع هذه الاتفاقات توافق جديد في الآراء بين مؤسسات المجتمع المدني، والحكومة، ومحكمة العدل العليا، والمؤسسات الأخرى المعنية بالعدالة، يؤكد على ضرورة إصلاح جهاز القضاء من أجل إعادة الإعمار، وتحقيق الاستقرار الاجتماعي، والنمو الاقتصادي في مرحلة ما بعد انتهاء الصراع. </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ويساند مشروع الإصلاح القضائي الذي يدعمه البنك الدولي هذه الأهداف. وتجدر الإشارة إلى أنه لم يكن هناك أي تواجد يذكر للسلطة القضائية في حوالي 30 في المائة من البلاد قبل تنفيذ هذا المشروع، أما اليوم فيتواجد بكل بلدية قاضٍ صلح واحد على الأقل.</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واستناداً إلى الدروس المستفادة من تجربة غواتيمالا، يقوم البنك الدولي، في الوقت الحالي، بتنفيذ مشروعات للإصلاح القضائي في كل من السلفادور، وهندوراس والمكسيك.</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هدف المشروع</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إيجاد جهاز قضائي يتسم بالفعالية والمصداقية وسهولة الوصول إليه، بحيث يطبق القانون باتساق، وإنصاف، وبما يحفز ثقة الجماهير.</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تصميم المشروع</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يهدف هذا المشروع إلى:</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 تدعيم الوصول إلى العدالة</w:t>
                  </w:r>
                  <w:r w:rsidRPr="00E30C11">
                    <w:rPr>
                      <w:rFonts w:ascii="Arial" w:eastAsia="Times New Roman" w:hAnsi="Arial" w:cs="Arial"/>
                      <w:b/>
                      <w:bCs/>
                      <w:color w:val="000000"/>
                      <w:sz w:val="24"/>
                      <w:szCs w:val="24"/>
                      <w:rtl/>
                    </w:rPr>
                    <w:br/>
                    <w:t>• تعزيز القدرات المؤسسية للسلطة القضائية.</w:t>
                  </w:r>
                  <w:r w:rsidRPr="00E30C11">
                    <w:rPr>
                      <w:rFonts w:ascii="Arial" w:eastAsia="Times New Roman" w:hAnsi="Arial" w:cs="Arial"/>
                      <w:b/>
                      <w:bCs/>
                      <w:color w:val="000000"/>
                      <w:sz w:val="24"/>
                      <w:szCs w:val="24"/>
                      <w:rtl/>
                    </w:rPr>
                    <w:br/>
                    <w:t>• إتاحة المساندة لجهود مكافحة الفساد.</w:t>
                  </w:r>
                  <w:r w:rsidRPr="00E30C11">
                    <w:rPr>
                      <w:rFonts w:ascii="Arial" w:eastAsia="Times New Roman" w:hAnsi="Arial" w:cs="Arial"/>
                      <w:b/>
                      <w:bCs/>
                      <w:color w:val="000000"/>
                      <w:sz w:val="24"/>
                      <w:szCs w:val="24"/>
                      <w:rtl/>
                    </w:rPr>
                    <w:br/>
                    <w:t>• تعزيز التواصل مع الجماهير حول إصلاح القطاع القضائي.</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أنشطة المشروع</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الوصول إلى العدالة:</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 تم إنشاء وتنفيذ 177 محكمة صلح.</w:t>
                  </w:r>
                  <w:r w:rsidRPr="00E30C11">
                    <w:rPr>
                      <w:rFonts w:ascii="Arial" w:eastAsia="Times New Roman" w:hAnsi="Arial" w:cs="Arial"/>
                      <w:b/>
                      <w:bCs/>
                      <w:color w:val="000000"/>
                      <w:sz w:val="24"/>
                      <w:szCs w:val="24"/>
                      <w:rtl/>
                    </w:rPr>
                    <w:br/>
                    <w:t>• تم افتتاح مركزين للعدالة على مستوى المناطق والإدارات، ويجري العمل حالياً في إقامة مركز ثانٍ على مستوى المناطق.</w:t>
                  </w:r>
                  <w:r w:rsidRPr="00E30C11">
                    <w:rPr>
                      <w:rFonts w:ascii="Arial" w:eastAsia="Times New Roman" w:hAnsi="Arial" w:cs="Arial"/>
                      <w:b/>
                      <w:bCs/>
                      <w:color w:val="000000"/>
                      <w:sz w:val="24"/>
                      <w:szCs w:val="24"/>
                      <w:rtl/>
                    </w:rPr>
                    <w:br/>
                    <w:t>• هناك محكمتان متنقلتان قيد العمل منذ عام 2003؛ وتتيح هاتان الحافلتان المجهزتان تجهيزاً خاصاً أعمال الوساطة، وتسوية المنازعات، والخدمات الإعلامية ـ دون مقابل ـ للسكان الذين يقطنون المناطق النائية. وقد استفاد أكثر من 6 آلاف شخص من هذه الخدمة في أول سنة تشغيل لها، وبلغت نسبة النساء منهم 63 في المائة.</w:t>
                  </w:r>
                  <w:r w:rsidRPr="00E30C11">
                    <w:rPr>
                      <w:rFonts w:ascii="Arial" w:eastAsia="Times New Roman" w:hAnsi="Arial" w:cs="Arial"/>
                      <w:b/>
                      <w:bCs/>
                      <w:color w:val="000000"/>
                      <w:sz w:val="24"/>
                      <w:szCs w:val="24"/>
                      <w:rtl/>
                    </w:rPr>
                    <w:br/>
                    <w:t>• تم افتتاح خمسة وعشرين مركز وساطة، وهي تتيح خدمات الوساطة بلغات السكان الأصليين. وسعى ما يزيد على 22 ألف متخاصم إلى الحصول على خدمات الوساطة هذه منذ عام 2001، وتوصل نصفهم تقريباً إلى اتفاق.</w:t>
                  </w:r>
                  <w:r w:rsidRPr="00E30C11">
                    <w:rPr>
                      <w:rFonts w:ascii="Arial" w:eastAsia="Times New Roman" w:hAnsi="Arial" w:cs="Arial"/>
                      <w:b/>
                      <w:bCs/>
                      <w:color w:val="000000"/>
                      <w:sz w:val="24"/>
                      <w:szCs w:val="24"/>
                      <w:rtl/>
                    </w:rPr>
                    <w:br/>
                  </w:r>
                  <w:r w:rsidRPr="00E30C11">
                    <w:rPr>
                      <w:rFonts w:ascii="Arial" w:eastAsia="Times New Roman" w:hAnsi="Arial" w:cs="Arial"/>
                      <w:b/>
                      <w:bCs/>
                      <w:color w:val="000000"/>
                      <w:sz w:val="24"/>
                      <w:szCs w:val="24"/>
                      <w:rtl/>
                    </w:rPr>
                    <w:lastRenderedPageBreak/>
                    <w:t>• يستفيد العاملون في القطاع القضائي من الدورات التدريبية التي تُعقد حول الحساسية الثقافية.</w:t>
                  </w:r>
                  <w:r w:rsidRPr="00E30C11">
                    <w:rPr>
                      <w:rFonts w:ascii="Arial" w:eastAsia="Times New Roman" w:hAnsi="Arial" w:cs="Arial"/>
                      <w:b/>
                      <w:bCs/>
                      <w:color w:val="000000"/>
                      <w:sz w:val="24"/>
                      <w:szCs w:val="24"/>
                      <w:rtl/>
                    </w:rPr>
                    <w:br/>
                    <w:t>• تم إلحاق مراكز بديلة لتسوية المنازعات بالمحاكم.</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الفعالية التنظيمية:</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 إنشاء إدارات جديدة وتدريب الأفراد لأداء أربع مهام حيوية: التخطيط، والموارد البشرية، والخدمات الإدارية، والإدارة المالية.</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التركيز على الأخلاقيات المهنية، والروح الاحترافية، والمساواة بين الجنسين:</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 إن مدرسة القضاء مجهزة في الوقت الحالي بما يلزم لإتاحة التدريب للقضاة، وأعضاء النيابة العامة، ومحاميي المساعدة القضائية، وموظفي الجهاز القضائي من كافة أنحاء البلاد.</w:t>
                  </w:r>
                  <w:r w:rsidRPr="00E30C11">
                    <w:rPr>
                      <w:rFonts w:ascii="Arial" w:eastAsia="Times New Roman" w:hAnsi="Arial" w:cs="Arial"/>
                      <w:b/>
                      <w:bCs/>
                      <w:color w:val="000000"/>
                      <w:sz w:val="24"/>
                      <w:szCs w:val="24"/>
                      <w:rtl/>
                    </w:rPr>
                    <w:br/>
                    <w:t>• تتم إتاحة ندوات دراسية للتدريب على مكافحة الفساد في كافة أرجاء البلاد، في ظل الدعم الذي توفره مدونة المبادئ الأخلاقية الموضوعة حديثاً.</w:t>
                  </w:r>
                  <w:r w:rsidRPr="00E30C11">
                    <w:rPr>
                      <w:rFonts w:ascii="Arial" w:eastAsia="Times New Roman" w:hAnsi="Arial" w:cs="Arial"/>
                      <w:b/>
                      <w:bCs/>
                      <w:color w:val="000000"/>
                      <w:sz w:val="24"/>
                      <w:szCs w:val="24"/>
                      <w:rtl/>
                    </w:rPr>
                    <w:br/>
                    <w:t>• يتم الآن تعيين القضاة على أساس الاختبارات التنافسية فقط.</w:t>
                  </w:r>
                  <w:r w:rsidRPr="00E30C11">
                    <w:rPr>
                      <w:rFonts w:ascii="Arial" w:eastAsia="Times New Roman" w:hAnsi="Arial" w:cs="Arial"/>
                      <w:b/>
                      <w:bCs/>
                      <w:color w:val="000000"/>
                      <w:sz w:val="24"/>
                      <w:szCs w:val="24"/>
                      <w:rtl/>
                    </w:rPr>
                    <w:br/>
                    <w:t>• تشكل النساء ما نسبته حوالي 17 في المائة من القضاة في الوقت الحالي (وأكثر من 50 في المائة من قضاة الصلح هم من النساء)، مقارنة بنسبة لم تتعد 3 في المائة عند بداية المشروع.</w:t>
                  </w:r>
                  <w:r w:rsidRPr="00E30C11">
                    <w:rPr>
                      <w:rFonts w:ascii="Arial" w:eastAsia="Times New Roman" w:hAnsi="Arial" w:cs="Arial"/>
                      <w:b/>
                      <w:bCs/>
                      <w:color w:val="000000"/>
                      <w:sz w:val="24"/>
                      <w:szCs w:val="24"/>
                      <w:rtl/>
                    </w:rPr>
                    <w:br/>
                    <w:t>• لأول مرة في تاريخ غواتيمالا يكون رئيس المحكمة العليا امرأة.</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 xml:space="preserve">الاتصالات الاجتماعية والوصول للمواطنين: </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 xml:space="preserve">• تقوم المحكمة العليا في الوقت الحالي بتزويد الجماهير بالمعلومات حول عملية الإصلاح القضائي من خلال المواد التثقيفية والبرامج الإذاعية باللغة الإسبانية ولغات شعوب المايا. </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تحديث مكاتب السجلات الجنائية:</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 تم افتتاح 24 مكتباً مؤتمتاً للسجلات الجنائية في جميع أنحاء البلاد، تتصل كلها من خلال ملقم (سيرفر) بقاعدة البيانات، مما يتيح نفس نوعية الخدمات في كافة المناطق. وتستغرق الآن هذه العملية ـ التي كان يتم إنجازها من قبل في حوالي أسبوع ـ ثلاث دقائق.</w:t>
                  </w:r>
                  <w:r w:rsidRPr="00E30C11">
                    <w:rPr>
                      <w:rFonts w:ascii="Arial" w:eastAsia="Times New Roman" w:hAnsi="Arial" w:cs="Arial"/>
                      <w:b/>
                      <w:bCs/>
                      <w:color w:val="000000"/>
                      <w:sz w:val="24"/>
                      <w:szCs w:val="24"/>
                      <w:rtl/>
                    </w:rPr>
                    <w:br/>
                    <w:t xml:space="preserve">• وقد تمت أتمتة مكتب الحفظ العام للقواعد والإجراءات (البروتوكولات) وتوزيعه على موقعين لامركزيين. وكان من نتيجة ذلك تخفيض وقت التسجيل وزيادة إيرادات السلطة القضائية. </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 xml:space="preserve">الخطوات التالية: </w:t>
                  </w:r>
                </w:p>
                <w:p w:rsidR="00E30C11" w:rsidRPr="00E30C11" w:rsidRDefault="00E30C11" w:rsidP="00E30C11">
                  <w:pPr>
                    <w:bidi/>
                    <w:spacing w:after="0" w:line="240" w:lineRule="auto"/>
                    <w:rPr>
                      <w:rFonts w:ascii="Times New Roman" w:eastAsia="Times New Roman" w:hAnsi="Times New Roman" w:cs="Times New Roman"/>
                      <w:color w:val="000000"/>
                      <w:sz w:val="24"/>
                      <w:szCs w:val="24"/>
                    </w:rPr>
                  </w:pPr>
                  <w:r w:rsidRPr="00E30C11">
                    <w:rPr>
                      <w:rFonts w:ascii="Arial" w:eastAsia="Times New Roman" w:hAnsi="Arial" w:cs="Arial"/>
                      <w:b/>
                      <w:bCs/>
                      <w:color w:val="000000"/>
                      <w:sz w:val="24"/>
                      <w:szCs w:val="24"/>
                      <w:rtl/>
                    </w:rPr>
                    <w:t xml:space="preserve">يُعتبر الإصلاح القضائي عملية طويلة الأمد في مجتمعات ما بعد انتهاء الصراعات. ولقد نجح هذا المشروع في إظهار تحسينات مطردة ومستدامة تعزز من شأن السلام وتدفع قدماً نحو الوصول إلى العدالة. ولكن، هناك حاجة إلى استمرار بذل الجهد لتصعيد البرامج التجريبية، والاستمرار في تعزيز شراكات المجتمع المدني مع المؤسسات الرسمية، والتصدي </w:t>
                  </w:r>
                  <w:r w:rsidRPr="00E30C11">
                    <w:rPr>
                      <w:rFonts w:ascii="Arial" w:eastAsia="Times New Roman" w:hAnsi="Arial" w:cs="Arial"/>
                      <w:b/>
                      <w:bCs/>
                      <w:color w:val="000000"/>
                      <w:sz w:val="24"/>
                      <w:szCs w:val="24"/>
                      <w:rtl/>
                    </w:rPr>
                    <w:lastRenderedPageBreak/>
                    <w:t>لتحديات العدالة الجنائية، والتي تخرج عن نطاق هذا المشروع.</w:t>
                  </w:r>
                </w:p>
              </w:tc>
              <w:tc>
                <w:tcPr>
                  <w:tcW w:w="150" w:type="dxa"/>
                  <w:hideMark/>
                </w:tcPr>
                <w:p w:rsidR="00E30C11" w:rsidRPr="00E30C11" w:rsidRDefault="00E30C11" w:rsidP="00E30C11">
                  <w:pPr>
                    <w:bidi/>
                    <w:spacing w:after="0" w:line="240" w:lineRule="auto"/>
                    <w:rPr>
                      <w:rFonts w:ascii="Arial" w:eastAsia="Times New Roman" w:hAnsi="Arial" w:cs="Arial"/>
                      <w:color w:val="000000"/>
                      <w:sz w:val="18"/>
                      <w:szCs w:val="18"/>
                    </w:rPr>
                  </w:pPr>
                </w:p>
              </w:tc>
              <w:tc>
                <w:tcPr>
                  <w:tcW w:w="3540" w:type="dxa"/>
                  <w:hideMark/>
                </w:tcPr>
                <w:tbl>
                  <w:tblPr>
                    <w:tblpPr w:leftFromText="45" w:rightFromText="45" w:vertAnchor="text" w:tblpXSpec="right" w:tblpYSpec="center"/>
                    <w:bidiVisual/>
                    <w:tblW w:w="3540" w:type="dxa"/>
                    <w:tblCellSpacing w:w="7" w:type="dxa"/>
                    <w:shd w:val="clear" w:color="auto" w:fill="8CB2DC"/>
                    <w:tblCellMar>
                      <w:top w:w="75" w:type="dxa"/>
                      <w:left w:w="75" w:type="dxa"/>
                      <w:bottom w:w="75" w:type="dxa"/>
                      <w:right w:w="75" w:type="dxa"/>
                    </w:tblCellMar>
                    <w:tblLook w:val="04A0" w:firstRow="1" w:lastRow="0" w:firstColumn="1" w:lastColumn="0" w:noHBand="0" w:noVBand="1"/>
                  </w:tblPr>
                  <w:tblGrid>
                    <w:gridCol w:w="3540"/>
                  </w:tblGrid>
                  <w:tr w:rsidR="00E30C11" w:rsidRPr="00E30C11">
                    <w:trPr>
                      <w:tblCellSpacing w:w="7" w:type="dxa"/>
                    </w:trPr>
                    <w:tc>
                      <w:tcPr>
                        <w:tcW w:w="0" w:type="auto"/>
                        <w:shd w:val="clear" w:color="auto" w:fill="EAF0F6"/>
                        <w:hideMark/>
                      </w:tcPr>
                      <w:p w:rsidR="00E30C11" w:rsidRPr="00E30C11" w:rsidRDefault="00E30C11" w:rsidP="00E30C11">
                        <w:pPr>
                          <w:bidi/>
                          <w:spacing w:before="100" w:beforeAutospacing="1" w:after="100" w:afterAutospacing="1" w:line="240" w:lineRule="auto"/>
                          <w:rPr>
                            <w:rFonts w:ascii="Arial" w:eastAsia="Times New Roman" w:hAnsi="Arial" w:cs="Arial"/>
                            <w:color w:val="000000"/>
                            <w:sz w:val="18"/>
                            <w:szCs w:val="18"/>
                          </w:rPr>
                        </w:pPr>
                        <w:proofErr w:type="spellStart"/>
                        <w:r w:rsidRPr="00E30C11">
                          <w:rPr>
                            <w:rFonts w:ascii="Arial" w:eastAsia="Times New Roman" w:hAnsi="Arial" w:cs="Arial"/>
                            <w:b/>
                            <w:bCs/>
                            <w:color w:val="004080"/>
                            <w:sz w:val="18"/>
                            <w:szCs w:val="18"/>
                          </w:rPr>
                          <w:t>التمويل</w:t>
                        </w:r>
                        <w:proofErr w:type="spellEnd"/>
                        <w:r w:rsidRPr="00E30C11">
                          <w:rPr>
                            <w:rFonts w:ascii="Arial" w:eastAsia="Times New Roman" w:hAnsi="Arial" w:cs="Arial"/>
                            <w:b/>
                            <w:bCs/>
                            <w:color w:val="004080"/>
                            <w:sz w:val="18"/>
                            <w:szCs w:val="18"/>
                          </w:rPr>
                          <w:t>:</w:t>
                        </w:r>
                      </w:p>
                      <w:p w:rsidR="00E30C11" w:rsidRPr="00E30C11" w:rsidRDefault="00E30C11" w:rsidP="00E30C11">
                        <w:pPr>
                          <w:bidi/>
                          <w:spacing w:after="0" w:line="240" w:lineRule="auto"/>
                          <w:rPr>
                            <w:rFonts w:ascii="Times New Roman" w:eastAsia="Times New Roman" w:hAnsi="Times New Roman" w:cs="Times New Roman"/>
                            <w:color w:val="000000"/>
                            <w:sz w:val="24"/>
                            <w:szCs w:val="24"/>
                          </w:rPr>
                        </w:pPr>
                        <w:r w:rsidRPr="00E30C11">
                          <w:rPr>
                            <w:rFonts w:ascii="Arial" w:eastAsia="Times New Roman" w:hAnsi="Arial" w:cs="Arial"/>
                            <w:b/>
                            <w:bCs/>
                            <w:color w:val="000000"/>
                            <w:sz w:val="24"/>
                            <w:szCs w:val="24"/>
                            <w:rtl/>
                          </w:rPr>
                          <w:t>إجمالي التكاليف: 49.7 مليون دولار أمريكي</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Times New Roman" w:eastAsia="Times New Roman" w:hAnsi="Times New Roman" w:cs="Times New Roman" w:hint="cs"/>
                            <w:b/>
                            <w:bCs/>
                            <w:color w:val="000000"/>
                            <w:sz w:val="24"/>
                            <w:szCs w:val="24"/>
                            <w:rtl/>
                          </w:rPr>
                          <w:t>مبلغ</w:t>
                        </w:r>
                        <w:r w:rsidRPr="00E30C11">
                          <w:rPr>
                            <w:rFonts w:ascii="Times New Roman" w:eastAsia="Times New Roman" w:hAnsi="Times New Roman" w:cs="Times New Roman"/>
                            <w:b/>
                            <w:bCs/>
                            <w:color w:val="000000"/>
                            <w:sz w:val="24"/>
                            <w:szCs w:val="24"/>
                            <w:rtl/>
                          </w:rPr>
                          <w:t xml:space="preserve"> </w:t>
                        </w:r>
                        <w:r w:rsidRPr="00E30C11">
                          <w:rPr>
                            <w:rFonts w:ascii="Arial" w:eastAsia="Times New Roman" w:hAnsi="Arial" w:cs="Arial"/>
                            <w:b/>
                            <w:bCs/>
                            <w:color w:val="000000"/>
                            <w:sz w:val="24"/>
                            <w:szCs w:val="24"/>
                            <w:rtl/>
                          </w:rPr>
                          <w:t>القرض المقدم من البنك الدولي للإنشاء والتعمير: 33 مليون دولار أمريكي</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Times New Roman" w:eastAsia="Times New Roman" w:hAnsi="Times New Roman" w:cs="Times New Roman" w:hint="cs"/>
                            <w:b/>
                            <w:bCs/>
                            <w:color w:val="000000"/>
                            <w:sz w:val="24"/>
                            <w:szCs w:val="24"/>
                            <w:rtl/>
                          </w:rPr>
                          <w:t xml:space="preserve">فترة التنفيذ: </w:t>
                        </w:r>
                        <w:r w:rsidRPr="00E30C11">
                          <w:rPr>
                            <w:rFonts w:ascii="Arial" w:eastAsia="Times New Roman" w:hAnsi="Arial" w:cs="Arial"/>
                            <w:b/>
                            <w:bCs/>
                            <w:color w:val="000000"/>
                            <w:sz w:val="24"/>
                            <w:szCs w:val="24"/>
                            <w:rtl/>
                          </w:rPr>
                          <w:t>التاريخ لمتوقع: من إبريل/ نيسان 1999 إلى ديسمبر/ كانون الأول 2006</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المنطقة الجغرافية: غواتيمالا</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color w:val="000000"/>
                            <w:sz w:val="24"/>
                            <w:szCs w:val="24"/>
                            <w:rtl/>
                          </w:rPr>
                          <w:t>الهيئة المنفذة: محكمة العدل العليا</w:t>
                        </w:r>
                      </w:p>
                      <w:p w:rsidR="00E30C11" w:rsidRPr="00E30C11" w:rsidRDefault="00E30C11" w:rsidP="00E30C11">
                        <w:pPr>
                          <w:bidi/>
                          <w:spacing w:after="0" w:line="240" w:lineRule="auto"/>
                          <w:rPr>
                            <w:rFonts w:ascii="Times New Roman" w:eastAsia="Times New Roman" w:hAnsi="Times New Roman" w:cs="Times New Roman"/>
                            <w:color w:val="000000"/>
                            <w:sz w:val="24"/>
                            <w:szCs w:val="24"/>
                            <w:rtl/>
                          </w:rPr>
                        </w:pPr>
                        <w:r w:rsidRPr="00E30C11">
                          <w:rPr>
                            <w:rFonts w:ascii="Arial" w:eastAsia="Times New Roman" w:hAnsi="Arial" w:cs="Arial"/>
                            <w:b/>
                            <w:bCs/>
                            <w:snapToGrid w:val="0"/>
                            <w:color w:val="004080"/>
                            <w:sz w:val="24"/>
                            <w:szCs w:val="24"/>
                            <w:rtl/>
                          </w:rPr>
                          <w:t>للمزيد من المعلومات:</w:t>
                        </w:r>
                      </w:p>
                      <w:p w:rsidR="00E30C11" w:rsidRPr="00E30C11" w:rsidRDefault="00E30C11" w:rsidP="00E30C11">
                        <w:pPr>
                          <w:bidi/>
                          <w:spacing w:after="0" w:line="240" w:lineRule="auto"/>
                          <w:rPr>
                            <w:rFonts w:ascii="Times New Roman" w:eastAsia="Times New Roman" w:hAnsi="Times New Roman" w:cs="Times New Roman"/>
                            <w:color w:val="000000"/>
                            <w:sz w:val="24"/>
                            <w:szCs w:val="24"/>
                          </w:rPr>
                        </w:pPr>
                        <w:hyperlink r:id="rId6" w:history="1">
                          <w:r w:rsidRPr="00E30C11">
                            <w:rPr>
                              <w:rFonts w:ascii="Arial" w:eastAsia="Times New Roman" w:hAnsi="Arial" w:cs="Arial"/>
                              <w:b/>
                              <w:bCs/>
                              <w:snapToGrid w:val="0"/>
                              <w:color w:val="004080"/>
                              <w:sz w:val="24"/>
                              <w:szCs w:val="24"/>
                              <w:u w:val="single"/>
                              <w:rtl/>
                            </w:rPr>
                            <w:t>وثائق ومعلومات كاملة عن المشروع</w:t>
                          </w:r>
                        </w:hyperlink>
                      </w:p>
                    </w:tc>
                  </w:tr>
                </w:tbl>
                <w:p w:rsidR="00E30C11" w:rsidRPr="00E30C11" w:rsidRDefault="00E30C11" w:rsidP="00E30C11">
                  <w:pPr>
                    <w:bidi/>
                    <w:spacing w:before="100" w:beforeAutospacing="1" w:after="100" w:afterAutospacing="1" w:line="240" w:lineRule="auto"/>
                    <w:rPr>
                      <w:rFonts w:ascii="Arial" w:eastAsia="Times New Roman" w:hAnsi="Arial" w:cs="Arial"/>
                      <w:color w:val="000000"/>
                      <w:sz w:val="18"/>
                      <w:szCs w:val="18"/>
                    </w:rPr>
                  </w:pPr>
                </w:p>
              </w:tc>
            </w:tr>
          </w:tbl>
          <w:p w:rsidR="00E30C11" w:rsidRPr="00E30C11" w:rsidRDefault="00E30C11" w:rsidP="00E30C11">
            <w:pPr>
              <w:bidi/>
              <w:spacing w:after="0" w:line="240" w:lineRule="auto"/>
              <w:rPr>
                <w:rFonts w:ascii="Arial" w:eastAsia="Times New Roman" w:hAnsi="Arial" w:cs="Arial"/>
                <w:color w:val="000000"/>
                <w:sz w:val="18"/>
                <w:szCs w:val="18"/>
              </w:rPr>
            </w:pPr>
            <w:proofErr w:type="spellStart"/>
            <w:r w:rsidRPr="00E30C11">
              <w:rPr>
                <w:rFonts w:ascii="Arial" w:eastAsia="Times New Roman" w:hAnsi="Arial" w:cs="Arial"/>
                <w:b/>
                <w:bCs/>
                <w:color w:val="000000"/>
                <w:sz w:val="18"/>
                <w:szCs w:val="18"/>
              </w:rPr>
              <w:lastRenderedPageBreak/>
              <w:t>أبريل</w:t>
            </w:r>
            <w:proofErr w:type="spellEnd"/>
            <w:r w:rsidRPr="00E30C11">
              <w:rPr>
                <w:rFonts w:ascii="Arial" w:eastAsia="Times New Roman" w:hAnsi="Arial" w:cs="Arial"/>
                <w:b/>
                <w:bCs/>
                <w:color w:val="000000"/>
                <w:sz w:val="18"/>
                <w:szCs w:val="18"/>
              </w:rPr>
              <w:t>/</w:t>
            </w:r>
            <w:proofErr w:type="spellStart"/>
            <w:r w:rsidRPr="00E30C11">
              <w:rPr>
                <w:rFonts w:ascii="Arial" w:eastAsia="Times New Roman" w:hAnsi="Arial" w:cs="Arial"/>
                <w:b/>
                <w:bCs/>
                <w:color w:val="000000"/>
                <w:sz w:val="18"/>
                <w:szCs w:val="18"/>
              </w:rPr>
              <w:t>نيسان</w:t>
            </w:r>
            <w:proofErr w:type="spellEnd"/>
            <w:r w:rsidRPr="00E30C11">
              <w:rPr>
                <w:rFonts w:ascii="Arial" w:eastAsia="Times New Roman" w:hAnsi="Arial" w:cs="Arial"/>
                <w:b/>
                <w:bCs/>
                <w:color w:val="000000"/>
                <w:sz w:val="18"/>
                <w:szCs w:val="18"/>
              </w:rPr>
              <w:t xml:space="preserve"> 2006</w:t>
            </w:r>
          </w:p>
        </w:tc>
      </w:tr>
    </w:tbl>
    <w:p w:rsidR="00E628EB" w:rsidRDefault="00E628EB"/>
    <w:sectPr w:rsidR="00E6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11"/>
    <w:rsid w:val="00E30C11"/>
    <w:rsid w:val="00E6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0C11"/>
    <w:pPr>
      <w:spacing w:after="0" w:line="240" w:lineRule="auto"/>
      <w:jc w:val="right"/>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11"/>
    <w:rPr>
      <w:rFonts w:ascii="Arial" w:eastAsia="Times New Roman" w:hAnsi="Arial" w:cs="Arial"/>
      <w:b/>
      <w:bCs/>
      <w:color w:val="000000"/>
      <w:kern w:val="36"/>
      <w:sz w:val="27"/>
      <w:szCs w:val="27"/>
    </w:rPr>
  </w:style>
  <w:style w:type="character" w:styleId="Strong">
    <w:name w:val="Strong"/>
    <w:basedOn w:val="DefaultParagraphFont"/>
    <w:uiPriority w:val="22"/>
    <w:qFormat/>
    <w:rsid w:val="00E30C11"/>
    <w:rPr>
      <w:b/>
      <w:bCs/>
    </w:rPr>
  </w:style>
  <w:style w:type="paragraph" w:styleId="NormalWeb">
    <w:name w:val="Normal (Web)"/>
    <w:basedOn w:val="Normal"/>
    <w:uiPriority w:val="99"/>
    <w:unhideWhenUsed/>
    <w:rsid w:val="00E30C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0C11"/>
    <w:pPr>
      <w:spacing w:after="0" w:line="240" w:lineRule="auto"/>
      <w:jc w:val="right"/>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11"/>
    <w:rPr>
      <w:rFonts w:ascii="Arial" w:eastAsia="Times New Roman" w:hAnsi="Arial" w:cs="Arial"/>
      <w:b/>
      <w:bCs/>
      <w:color w:val="000000"/>
      <w:kern w:val="36"/>
      <w:sz w:val="27"/>
      <w:szCs w:val="27"/>
    </w:rPr>
  </w:style>
  <w:style w:type="character" w:styleId="Strong">
    <w:name w:val="Strong"/>
    <w:basedOn w:val="DefaultParagraphFont"/>
    <w:uiPriority w:val="22"/>
    <w:qFormat/>
    <w:rsid w:val="00E30C11"/>
    <w:rPr>
      <w:b/>
      <w:bCs/>
    </w:rPr>
  </w:style>
  <w:style w:type="paragraph" w:styleId="NormalWeb">
    <w:name w:val="Normal (Web)"/>
    <w:basedOn w:val="Normal"/>
    <w:uiPriority w:val="99"/>
    <w:unhideWhenUsed/>
    <w:rsid w:val="00E30C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worldbank.org/external/projects/main?Projectid=P047039&amp;Type=Overview&amp;theSitePK=40941&amp;menuPK=64282134&amp;pagePK=64283627&amp;piPK=64290415"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3700</Characters>
  <Application>Microsoft Office Word</Application>
  <DocSecurity>0</DocSecurity>
  <Lines>30</Lines>
  <Paragraphs>8</Paragraphs>
  <ScaleCrop>false</ScaleCrop>
  <Company>The World Bank Group</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World Bank Group</cp:lastModifiedBy>
  <cp:revision>1</cp:revision>
  <dcterms:created xsi:type="dcterms:W3CDTF">2014-11-12T15:03:00Z</dcterms:created>
  <dcterms:modified xsi:type="dcterms:W3CDTF">2014-11-12T15:04:00Z</dcterms:modified>
</cp:coreProperties>
</file>