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2585B3" w14:textId="6EB1558B" w:rsidR="006431F4" w:rsidRDefault="006431F4" w:rsidP="006431F4">
      <w:pPr>
        <w:spacing w:after="120" w:line="240" w:lineRule="auto"/>
        <w:jc w:val="both"/>
        <w:rPr>
          <w:rFonts w:ascii="Calibri" w:hAnsi="Calibri" w:cs="Calibri"/>
          <w:b/>
          <w:sz w:val="32"/>
          <w:szCs w:val="32"/>
          <w:lang w:val="en-GB"/>
        </w:rPr>
      </w:pPr>
      <w:r>
        <w:rPr>
          <w:rFonts w:ascii="Calibri" w:hAnsi="Calibri" w:cs="Calibri"/>
          <w:b/>
          <w:noProof/>
          <w:sz w:val="32"/>
          <w:szCs w:val="32"/>
          <w:lang w:val="en-GB"/>
        </w:rPr>
        <w:drawing>
          <wp:anchor distT="0" distB="0" distL="114300" distR="114300" simplePos="0" relativeHeight="251658240" behindDoc="0" locked="0" layoutInCell="1" allowOverlap="1" wp14:anchorId="2D0BBC9E" wp14:editId="627A02C1">
            <wp:simplePos x="0" y="0"/>
            <wp:positionH relativeFrom="column">
              <wp:posOffset>-932815</wp:posOffset>
            </wp:positionH>
            <wp:positionV relativeFrom="paragraph">
              <wp:posOffset>-916940</wp:posOffset>
            </wp:positionV>
            <wp:extent cx="7560000" cy="10687930"/>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0000" cy="10687930"/>
                    </a:xfrm>
                    <a:prstGeom prst="rect">
                      <a:avLst/>
                    </a:prstGeom>
                  </pic:spPr>
                </pic:pic>
              </a:graphicData>
            </a:graphic>
            <wp14:sizeRelH relativeFrom="page">
              <wp14:pctWidth>0</wp14:pctWidth>
            </wp14:sizeRelH>
            <wp14:sizeRelV relativeFrom="page">
              <wp14:pctHeight>0</wp14:pctHeight>
            </wp14:sizeRelV>
          </wp:anchor>
        </w:drawing>
      </w:r>
      <w:r w:rsidR="00F63F94">
        <w:rPr>
          <w:rFonts w:ascii="Calibri" w:hAnsi="Calibri" w:cs="Calibri"/>
          <w:b/>
          <w:sz w:val="32"/>
          <w:szCs w:val="32"/>
          <w:lang w:val="en-GB"/>
        </w:rPr>
        <w:tab/>
      </w:r>
    </w:p>
    <w:p w14:paraId="040BAD63" w14:textId="0EF52C4E" w:rsidR="006431F4" w:rsidRDefault="006431F4">
      <w:pPr>
        <w:rPr>
          <w:rFonts w:ascii="Calibri" w:hAnsi="Calibri" w:cs="Calibri"/>
          <w:b/>
          <w:sz w:val="32"/>
          <w:szCs w:val="32"/>
          <w:lang w:val="en-GB"/>
        </w:rPr>
      </w:pPr>
      <w:r>
        <w:rPr>
          <w:rFonts w:ascii="Calibri" w:hAnsi="Calibri" w:cs="Calibri"/>
          <w:b/>
          <w:sz w:val="32"/>
          <w:szCs w:val="32"/>
          <w:lang w:val="en-GB"/>
        </w:rPr>
        <w:br w:type="page"/>
      </w:r>
    </w:p>
    <w:p w14:paraId="7B52F1FB" w14:textId="77777777" w:rsidR="00BD6299" w:rsidRDefault="00BD6299" w:rsidP="00BD6299">
      <w:pPr>
        <w:pStyle w:val="Header"/>
        <w:jc w:val="center"/>
        <w:rPr>
          <w:b/>
          <w:color w:val="000000" w:themeColor="text1"/>
          <w:sz w:val="40"/>
          <w:szCs w:val="40"/>
        </w:rPr>
      </w:pPr>
    </w:p>
    <w:p w14:paraId="381A16C1" w14:textId="77777777" w:rsidR="00BD6299" w:rsidRDefault="00BD6299" w:rsidP="00BD6299">
      <w:pPr>
        <w:pStyle w:val="Header"/>
        <w:jc w:val="center"/>
        <w:rPr>
          <w:b/>
          <w:color w:val="000000" w:themeColor="text1"/>
          <w:sz w:val="40"/>
          <w:szCs w:val="40"/>
        </w:rPr>
      </w:pPr>
    </w:p>
    <w:p w14:paraId="5BE7CB98" w14:textId="77777777" w:rsidR="00BD6299" w:rsidRDefault="00BD6299" w:rsidP="00BD6299">
      <w:pPr>
        <w:pStyle w:val="Header"/>
        <w:jc w:val="center"/>
        <w:rPr>
          <w:b/>
          <w:color w:val="000000" w:themeColor="text1"/>
          <w:sz w:val="40"/>
          <w:szCs w:val="40"/>
        </w:rPr>
      </w:pPr>
    </w:p>
    <w:p w14:paraId="667A6C1F" w14:textId="77777777" w:rsidR="00BD6299" w:rsidRDefault="00BD6299" w:rsidP="00BD6299">
      <w:pPr>
        <w:pStyle w:val="Header"/>
        <w:jc w:val="center"/>
        <w:rPr>
          <w:b/>
          <w:color w:val="000000" w:themeColor="text1"/>
          <w:sz w:val="40"/>
          <w:szCs w:val="40"/>
        </w:rPr>
      </w:pPr>
    </w:p>
    <w:p w14:paraId="0192BC4E" w14:textId="77777777" w:rsidR="00BD6299" w:rsidRDefault="00BD6299" w:rsidP="00BD6299">
      <w:pPr>
        <w:pStyle w:val="Header"/>
        <w:jc w:val="center"/>
        <w:rPr>
          <w:b/>
          <w:color w:val="000000" w:themeColor="text1"/>
          <w:sz w:val="40"/>
          <w:szCs w:val="40"/>
        </w:rPr>
      </w:pPr>
    </w:p>
    <w:p w14:paraId="754EA40C" w14:textId="77777777" w:rsidR="00BD6299" w:rsidRDefault="00BD6299" w:rsidP="00BD6299">
      <w:pPr>
        <w:pStyle w:val="Header"/>
        <w:jc w:val="center"/>
        <w:rPr>
          <w:b/>
          <w:color w:val="000000" w:themeColor="text1"/>
          <w:sz w:val="40"/>
          <w:szCs w:val="40"/>
        </w:rPr>
      </w:pPr>
    </w:p>
    <w:p w14:paraId="64F8448A" w14:textId="77777777" w:rsidR="00BD6299" w:rsidRDefault="00BD6299" w:rsidP="00BD6299">
      <w:pPr>
        <w:pStyle w:val="Header"/>
        <w:jc w:val="center"/>
        <w:rPr>
          <w:b/>
          <w:color w:val="000000" w:themeColor="text1"/>
          <w:sz w:val="40"/>
          <w:szCs w:val="40"/>
        </w:rPr>
      </w:pPr>
    </w:p>
    <w:p w14:paraId="236A41F8" w14:textId="77777777" w:rsidR="00BD6299" w:rsidRDefault="00BD6299" w:rsidP="00BD6299">
      <w:pPr>
        <w:pStyle w:val="Header"/>
        <w:jc w:val="center"/>
        <w:rPr>
          <w:b/>
          <w:color w:val="000000" w:themeColor="text1"/>
          <w:sz w:val="40"/>
          <w:szCs w:val="40"/>
        </w:rPr>
      </w:pPr>
    </w:p>
    <w:p w14:paraId="3E7186C9" w14:textId="77777777" w:rsidR="00BD6299" w:rsidRDefault="00BD6299" w:rsidP="00BD6299">
      <w:pPr>
        <w:pStyle w:val="Header"/>
        <w:jc w:val="center"/>
        <w:rPr>
          <w:b/>
          <w:color w:val="000000" w:themeColor="text1"/>
          <w:sz w:val="40"/>
          <w:szCs w:val="40"/>
        </w:rPr>
      </w:pPr>
    </w:p>
    <w:p w14:paraId="244C8FA2" w14:textId="77777777" w:rsidR="00BD6299" w:rsidRDefault="00BD6299" w:rsidP="00BD6299">
      <w:pPr>
        <w:pStyle w:val="Header"/>
        <w:jc w:val="center"/>
        <w:rPr>
          <w:b/>
          <w:color w:val="000000" w:themeColor="text1"/>
          <w:sz w:val="40"/>
          <w:szCs w:val="40"/>
        </w:rPr>
      </w:pPr>
    </w:p>
    <w:p w14:paraId="282EFFB0" w14:textId="77777777" w:rsidR="00BD6299" w:rsidRDefault="00BD6299" w:rsidP="00BD6299">
      <w:pPr>
        <w:pStyle w:val="Header"/>
        <w:jc w:val="center"/>
        <w:rPr>
          <w:b/>
          <w:color w:val="000000" w:themeColor="text1"/>
          <w:sz w:val="40"/>
          <w:szCs w:val="40"/>
        </w:rPr>
      </w:pPr>
    </w:p>
    <w:p w14:paraId="59610D95" w14:textId="6754DF28" w:rsidR="00BD6299" w:rsidRPr="00872663" w:rsidRDefault="00BD6299" w:rsidP="00872663">
      <w:pPr>
        <w:pStyle w:val="Header"/>
        <w:jc w:val="center"/>
        <w:rPr>
          <w:b/>
          <w:color w:val="000000" w:themeColor="text1"/>
          <w:sz w:val="40"/>
          <w:szCs w:val="40"/>
        </w:rPr>
      </w:pPr>
      <w:r w:rsidRPr="00BD6299">
        <w:rPr>
          <w:b/>
          <w:color w:val="000000" w:themeColor="text1"/>
          <w:sz w:val="40"/>
          <w:szCs w:val="40"/>
        </w:rPr>
        <w:t>DISCRIMINATION AGAINST SEXUAL MINORITIES IN EDUCATION AND HOUSING:</w:t>
      </w:r>
    </w:p>
    <w:p w14:paraId="492431E8" w14:textId="3EE29308" w:rsidR="00BD6299" w:rsidRDefault="00BD6299" w:rsidP="00BD6299">
      <w:pPr>
        <w:pStyle w:val="Header"/>
        <w:jc w:val="center"/>
        <w:rPr>
          <w:b/>
          <w:color w:val="000000" w:themeColor="text1"/>
          <w:sz w:val="40"/>
          <w:szCs w:val="40"/>
        </w:rPr>
      </w:pPr>
      <w:r w:rsidRPr="00BD6299">
        <w:rPr>
          <w:b/>
          <w:color w:val="000000" w:themeColor="text1"/>
          <w:sz w:val="40"/>
          <w:szCs w:val="40"/>
        </w:rPr>
        <w:t>EVIDENCE FROM TWO FIELD EXPERIMENTS IN SERBIA</w:t>
      </w:r>
    </w:p>
    <w:p w14:paraId="516618DC" w14:textId="77777777" w:rsidR="003F27A0" w:rsidRDefault="003F27A0" w:rsidP="00BD6299">
      <w:pPr>
        <w:pStyle w:val="Header"/>
        <w:jc w:val="center"/>
        <w:rPr>
          <w:b/>
          <w:color w:val="000000" w:themeColor="text1"/>
          <w:sz w:val="40"/>
          <w:szCs w:val="40"/>
        </w:rPr>
      </w:pPr>
    </w:p>
    <w:p w14:paraId="54D48830" w14:textId="77777777" w:rsidR="003F27A0" w:rsidRDefault="003F27A0" w:rsidP="00BD6299">
      <w:pPr>
        <w:pStyle w:val="Header"/>
        <w:jc w:val="center"/>
        <w:rPr>
          <w:b/>
          <w:color w:val="000000" w:themeColor="text1"/>
          <w:sz w:val="40"/>
          <w:szCs w:val="40"/>
        </w:rPr>
      </w:pPr>
    </w:p>
    <w:p w14:paraId="78797239" w14:textId="77777777" w:rsidR="003F27A0" w:rsidRDefault="003F27A0" w:rsidP="00BD6299">
      <w:pPr>
        <w:pStyle w:val="Header"/>
        <w:jc w:val="center"/>
        <w:rPr>
          <w:b/>
          <w:color w:val="000000" w:themeColor="text1"/>
          <w:sz w:val="40"/>
          <w:szCs w:val="40"/>
        </w:rPr>
      </w:pPr>
    </w:p>
    <w:p w14:paraId="3BF49126" w14:textId="77777777" w:rsidR="003F27A0" w:rsidRDefault="003F27A0" w:rsidP="00BD6299">
      <w:pPr>
        <w:pStyle w:val="Header"/>
        <w:jc w:val="center"/>
        <w:rPr>
          <w:b/>
          <w:color w:val="000000" w:themeColor="text1"/>
          <w:sz w:val="24"/>
          <w:szCs w:val="24"/>
        </w:rPr>
      </w:pPr>
    </w:p>
    <w:p w14:paraId="307135A6" w14:textId="77777777" w:rsidR="003F27A0" w:rsidRDefault="003F27A0" w:rsidP="00BD6299">
      <w:pPr>
        <w:pStyle w:val="Header"/>
        <w:jc w:val="center"/>
        <w:rPr>
          <w:b/>
          <w:color w:val="000000" w:themeColor="text1"/>
          <w:sz w:val="24"/>
          <w:szCs w:val="24"/>
        </w:rPr>
      </w:pPr>
    </w:p>
    <w:p w14:paraId="0223E8CA" w14:textId="77777777" w:rsidR="003F27A0" w:rsidRDefault="003F27A0" w:rsidP="00BD6299">
      <w:pPr>
        <w:pStyle w:val="Header"/>
        <w:jc w:val="center"/>
        <w:rPr>
          <w:b/>
          <w:color w:val="000000" w:themeColor="text1"/>
          <w:sz w:val="24"/>
          <w:szCs w:val="24"/>
        </w:rPr>
      </w:pPr>
    </w:p>
    <w:p w14:paraId="36A64BCD" w14:textId="77777777" w:rsidR="003F27A0" w:rsidRDefault="003F27A0" w:rsidP="00BD6299">
      <w:pPr>
        <w:pStyle w:val="Header"/>
        <w:jc w:val="center"/>
        <w:rPr>
          <w:b/>
          <w:color w:val="000000" w:themeColor="text1"/>
          <w:sz w:val="24"/>
          <w:szCs w:val="24"/>
        </w:rPr>
      </w:pPr>
    </w:p>
    <w:p w14:paraId="24B6B6B7" w14:textId="77777777" w:rsidR="003F27A0" w:rsidRDefault="003F27A0" w:rsidP="00BD6299">
      <w:pPr>
        <w:pStyle w:val="Header"/>
        <w:jc w:val="center"/>
        <w:rPr>
          <w:b/>
          <w:color w:val="000000" w:themeColor="text1"/>
          <w:sz w:val="24"/>
          <w:szCs w:val="24"/>
        </w:rPr>
      </w:pPr>
    </w:p>
    <w:p w14:paraId="108C60A7" w14:textId="77777777" w:rsidR="003F27A0" w:rsidRDefault="003F27A0" w:rsidP="00BD6299">
      <w:pPr>
        <w:pStyle w:val="Header"/>
        <w:jc w:val="center"/>
        <w:rPr>
          <w:b/>
          <w:color w:val="000000" w:themeColor="text1"/>
          <w:sz w:val="24"/>
          <w:szCs w:val="24"/>
        </w:rPr>
      </w:pPr>
    </w:p>
    <w:p w14:paraId="746495CC" w14:textId="77777777" w:rsidR="003F27A0" w:rsidRDefault="003F27A0" w:rsidP="00BD6299">
      <w:pPr>
        <w:pStyle w:val="Header"/>
        <w:jc w:val="center"/>
        <w:rPr>
          <w:b/>
          <w:color w:val="000000" w:themeColor="text1"/>
          <w:sz w:val="24"/>
          <w:szCs w:val="24"/>
        </w:rPr>
      </w:pPr>
    </w:p>
    <w:p w14:paraId="51D3969D" w14:textId="77777777" w:rsidR="003F27A0" w:rsidRDefault="003F27A0" w:rsidP="00BD6299">
      <w:pPr>
        <w:pStyle w:val="Header"/>
        <w:jc w:val="center"/>
        <w:rPr>
          <w:b/>
          <w:color w:val="000000" w:themeColor="text1"/>
          <w:sz w:val="24"/>
          <w:szCs w:val="24"/>
        </w:rPr>
      </w:pPr>
    </w:p>
    <w:p w14:paraId="3D45E744" w14:textId="77777777" w:rsidR="003F27A0" w:rsidRDefault="003F27A0" w:rsidP="00BD6299">
      <w:pPr>
        <w:pStyle w:val="Header"/>
        <w:jc w:val="center"/>
        <w:rPr>
          <w:b/>
          <w:color w:val="000000" w:themeColor="text1"/>
          <w:sz w:val="24"/>
          <w:szCs w:val="24"/>
        </w:rPr>
      </w:pPr>
    </w:p>
    <w:p w14:paraId="3DC5FA90" w14:textId="77777777" w:rsidR="003F27A0" w:rsidRDefault="003F27A0" w:rsidP="00BD6299">
      <w:pPr>
        <w:pStyle w:val="Header"/>
        <w:jc w:val="center"/>
        <w:rPr>
          <w:b/>
          <w:color w:val="000000" w:themeColor="text1"/>
          <w:sz w:val="24"/>
          <w:szCs w:val="24"/>
        </w:rPr>
      </w:pPr>
    </w:p>
    <w:p w14:paraId="6F2A3E80" w14:textId="77777777" w:rsidR="003F27A0" w:rsidRDefault="003F27A0" w:rsidP="00BD6299">
      <w:pPr>
        <w:pStyle w:val="Header"/>
        <w:jc w:val="center"/>
        <w:rPr>
          <w:b/>
          <w:color w:val="000000" w:themeColor="text1"/>
          <w:sz w:val="24"/>
          <w:szCs w:val="24"/>
        </w:rPr>
      </w:pPr>
    </w:p>
    <w:p w14:paraId="42ACACAF" w14:textId="77777777" w:rsidR="003F27A0" w:rsidRDefault="003F27A0" w:rsidP="00BD6299">
      <w:pPr>
        <w:pStyle w:val="Header"/>
        <w:jc w:val="center"/>
        <w:rPr>
          <w:b/>
          <w:color w:val="000000" w:themeColor="text1"/>
          <w:sz w:val="24"/>
          <w:szCs w:val="24"/>
        </w:rPr>
      </w:pPr>
    </w:p>
    <w:p w14:paraId="75699CE6" w14:textId="77777777" w:rsidR="003F27A0" w:rsidRDefault="003F27A0" w:rsidP="00BD6299">
      <w:pPr>
        <w:pStyle w:val="Header"/>
        <w:jc w:val="center"/>
        <w:rPr>
          <w:b/>
          <w:color w:val="000000" w:themeColor="text1"/>
          <w:sz w:val="24"/>
          <w:szCs w:val="24"/>
        </w:rPr>
      </w:pPr>
    </w:p>
    <w:p w14:paraId="6FB50FE6" w14:textId="77777777" w:rsidR="003F27A0" w:rsidRDefault="003F27A0" w:rsidP="00BD6299">
      <w:pPr>
        <w:pStyle w:val="Header"/>
        <w:jc w:val="center"/>
        <w:rPr>
          <w:b/>
          <w:color w:val="000000" w:themeColor="text1"/>
          <w:sz w:val="24"/>
          <w:szCs w:val="24"/>
        </w:rPr>
      </w:pPr>
    </w:p>
    <w:p w14:paraId="102FDD93" w14:textId="77777777" w:rsidR="003F27A0" w:rsidRDefault="003F27A0" w:rsidP="00BD6299">
      <w:pPr>
        <w:pStyle w:val="Header"/>
        <w:jc w:val="center"/>
        <w:rPr>
          <w:b/>
          <w:color w:val="000000" w:themeColor="text1"/>
          <w:sz w:val="24"/>
          <w:szCs w:val="24"/>
        </w:rPr>
      </w:pPr>
    </w:p>
    <w:p w14:paraId="661FFE46" w14:textId="746AB026" w:rsidR="003F27A0" w:rsidRPr="003F27A0" w:rsidRDefault="003F27A0" w:rsidP="00BD6299">
      <w:pPr>
        <w:pStyle w:val="Header"/>
        <w:jc w:val="center"/>
        <w:rPr>
          <w:color w:val="000000" w:themeColor="text1"/>
          <w:sz w:val="24"/>
          <w:szCs w:val="24"/>
        </w:rPr>
      </w:pPr>
      <w:r w:rsidRPr="003F27A0">
        <w:rPr>
          <w:color w:val="000000" w:themeColor="text1"/>
          <w:sz w:val="24"/>
          <w:szCs w:val="24"/>
        </w:rPr>
        <w:t>April 2018</w:t>
      </w:r>
    </w:p>
    <w:p w14:paraId="66460A1D" w14:textId="77777777" w:rsidR="004A0E67" w:rsidRDefault="004A0E67">
      <w:pPr>
        <w:rPr>
          <w:rFonts w:ascii="Calibri" w:eastAsiaTheme="majorEastAsia" w:hAnsi="Calibri" w:cs="Calibri"/>
          <w:b/>
          <w:color w:val="002060"/>
          <w:kern w:val="28"/>
          <w:sz w:val="32"/>
          <w:szCs w:val="32"/>
          <w:lang w:val="en-GB"/>
        </w:rPr>
      </w:pPr>
      <w:r>
        <w:rPr>
          <w:rFonts w:ascii="Calibri" w:hAnsi="Calibri" w:cs="Calibri"/>
          <w:sz w:val="32"/>
          <w:szCs w:val="32"/>
          <w:lang w:val="en-GB"/>
        </w:rPr>
        <w:br w:type="page"/>
      </w:r>
    </w:p>
    <w:p w14:paraId="772585B5" w14:textId="5CA5F8C8" w:rsidR="00F63F94" w:rsidRDefault="00F63F94" w:rsidP="00316C10">
      <w:pPr>
        <w:pStyle w:val="Heading2"/>
        <w:contextualSpacing w:val="0"/>
        <w:jc w:val="both"/>
        <w:rPr>
          <w:rFonts w:cs="Arial"/>
          <w:color w:val="2F5496" w:themeColor="accent1" w:themeShade="BF"/>
          <w:spacing w:val="0"/>
          <w:kern w:val="0"/>
          <w:sz w:val="30"/>
          <w:szCs w:val="30"/>
        </w:rPr>
      </w:pPr>
      <w:r w:rsidRPr="00316C10">
        <w:rPr>
          <w:rFonts w:cs="Arial"/>
          <w:color w:val="2F5496" w:themeColor="accent1" w:themeShade="BF"/>
          <w:spacing w:val="0"/>
          <w:kern w:val="0"/>
          <w:sz w:val="30"/>
          <w:szCs w:val="30"/>
        </w:rPr>
        <w:lastRenderedPageBreak/>
        <w:t>Abstract</w:t>
      </w:r>
    </w:p>
    <w:p w14:paraId="0125B3B9" w14:textId="77777777" w:rsidR="00316C10" w:rsidRPr="00316C10" w:rsidRDefault="00316C10" w:rsidP="00316C10">
      <w:pPr>
        <w:pStyle w:val="Title"/>
        <w:rPr>
          <w:sz w:val="24"/>
          <w:szCs w:val="24"/>
        </w:rPr>
      </w:pPr>
    </w:p>
    <w:p w14:paraId="772585B6" w14:textId="77777777" w:rsidR="00F63F94" w:rsidRPr="00316C10" w:rsidRDefault="00F63F94" w:rsidP="00C2735A">
      <w:pPr>
        <w:spacing w:after="240" w:line="276" w:lineRule="auto"/>
        <w:jc w:val="both"/>
        <w:rPr>
          <w:rFonts w:ascii="Calibri" w:hAnsi="Calibri"/>
          <w:sz w:val="24"/>
          <w:szCs w:val="24"/>
        </w:rPr>
      </w:pPr>
      <w:r w:rsidRPr="00316C10">
        <w:rPr>
          <w:rFonts w:ascii="Calibri" w:hAnsi="Calibri"/>
          <w:sz w:val="24"/>
          <w:szCs w:val="24"/>
        </w:rPr>
        <w:t>Discrimination against lesbian, gay, bisexual, transgender, and intersex (LGBTI) people is widespread, and LGBTI exclusion from economic markets, vital services, and political spaces is entrenched. This is not just an individual problem; it is a development challenge; not only because discrimination is inherently unjust, but also because “there are substantial costs—social, political, and economic—to not addressing the exclusion of entire groups of people.”</w:t>
      </w:r>
      <w:r w:rsidRPr="00316C10">
        <w:rPr>
          <w:rStyle w:val="FootnoteReference"/>
          <w:rFonts w:ascii="Calibri" w:hAnsi="Calibri"/>
          <w:sz w:val="24"/>
          <w:szCs w:val="24"/>
        </w:rPr>
        <w:footnoteReference w:id="1"/>
      </w:r>
      <w:r w:rsidRPr="00316C10">
        <w:rPr>
          <w:rFonts w:ascii="Calibri" w:hAnsi="Calibri"/>
          <w:sz w:val="24"/>
          <w:szCs w:val="24"/>
        </w:rPr>
        <w:t xml:space="preserve"> Understanding the barriers LGBTI people face in accessing markets, services, and spaces is important for designing more inclusive policies and programs. This study documents, for the first time, discrimination against LGBTI people in access to education and housing in Serbia, using evidence from field experiments. In Serbia, “feminine boys,” widely perceived as being gay, were at least three times more likely to be refused enrollment in primary schools (15 %) compared to boys not perceived to be feminine (5 %). Eighteen percent of same-sex couples were refused apartment rentals by private landlords, while no heterosexual couples were. The research contributes to the growing body of evidence on the economic dimensions of LGBTI discrimination.</w:t>
      </w:r>
    </w:p>
    <w:p w14:paraId="772585B8" w14:textId="77777777" w:rsidR="00F63F94" w:rsidRDefault="00F63F94" w:rsidP="00316C10">
      <w:pPr>
        <w:pStyle w:val="Heading2"/>
        <w:contextualSpacing w:val="0"/>
        <w:jc w:val="both"/>
        <w:rPr>
          <w:rFonts w:cs="Arial"/>
          <w:color w:val="2F5496" w:themeColor="accent1" w:themeShade="BF"/>
          <w:spacing w:val="0"/>
          <w:kern w:val="0"/>
          <w:sz w:val="30"/>
          <w:szCs w:val="30"/>
        </w:rPr>
      </w:pPr>
      <w:r w:rsidRPr="00316C10">
        <w:rPr>
          <w:rFonts w:cs="Arial"/>
          <w:color w:val="2F5496" w:themeColor="accent1" w:themeShade="BF"/>
          <w:spacing w:val="0"/>
          <w:kern w:val="0"/>
          <w:sz w:val="30"/>
          <w:szCs w:val="30"/>
        </w:rPr>
        <w:t>Acknowledgments</w:t>
      </w:r>
    </w:p>
    <w:p w14:paraId="34F048CD" w14:textId="77777777" w:rsidR="00316C10" w:rsidRPr="00316C10" w:rsidRDefault="00316C10" w:rsidP="00316C10">
      <w:pPr>
        <w:pStyle w:val="Title"/>
        <w:rPr>
          <w:sz w:val="24"/>
          <w:szCs w:val="24"/>
        </w:rPr>
      </w:pPr>
    </w:p>
    <w:p w14:paraId="772585B9" w14:textId="460F1CF6" w:rsidR="00F63F94" w:rsidRPr="00316C10" w:rsidRDefault="00F63F94" w:rsidP="00C2735A">
      <w:pPr>
        <w:spacing w:after="240" w:line="276" w:lineRule="auto"/>
        <w:jc w:val="both"/>
        <w:rPr>
          <w:rFonts w:ascii="Calibri" w:hAnsi="Calibri"/>
          <w:sz w:val="24"/>
          <w:szCs w:val="24"/>
        </w:rPr>
      </w:pPr>
      <w:r w:rsidRPr="00316C10">
        <w:rPr>
          <w:rFonts w:ascii="Calibri" w:hAnsi="Calibri"/>
          <w:sz w:val="24"/>
          <w:szCs w:val="24"/>
        </w:rPr>
        <w:t>This study is part of a large World Bank LGBTI data collection initiative in the Western Balkans led by Dominik Koehler, Georg</w:t>
      </w:r>
      <w:r w:rsidR="00E12469" w:rsidRPr="00316C10">
        <w:rPr>
          <w:rFonts w:ascii="Calibri" w:hAnsi="Calibri"/>
          <w:sz w:val="24"/>
          <w:szCs w:val="24"/>
        </w:rPr>
        <w:t>ia Harley, Nicholas Menzies,</w:t>
      </w:r>
      <w:r w:rsidRPr="00316C10">
        <w:rPr>
          <w:rFonts w:ascii="Calibri" w:hAnsi="Calibri"/>
          <w:sz w:val="24"/>
          <w:szCs w:val="24"/>
        </w:rPr>
        <w:t xml:space="preserve"> Runyararo Gladys Senderayi</w:t>
      </w:r>
      <w:r w:rsidR="00E12469" w:rsidRPr="00316C10">
        <w:rPr>
          <w:rFonts w:ascii="Calibri" w:hAnsi="Calibri"/>
          <w:sz w:val="24"/>
          <w:szCs w:val="24"/>
        </w:rPr>
        <w:t xml:space="preserve"> and Marko </w:t>
      </w:r>
      <w:r w:rsidR="00474D47" w:rsidRPr="00316C10">
        <w:rPr>
          <w:rFonts w:ascii="Calibri" w:hAnsi="Calibri"/>
          <w:sz w:val="24"/>
          <w:szCs w:val="24"/>
        </w:rPr>
        <w:t>Karadzic</w:t>
      </w:r>
      <w:r w:rsidRPr="00316C10">
        <w:rPr>
          <w:rFonts w:ascii="Calibri" w:hAnsi="Calibri"/>
          <w:sz w:val="24"/>
          <w:szCs w:val="24"/>
        </w:rPr>
        <w:t xml:space="preserve">. IPSOS Strategic Marketing conducted the field experiments under the leadership of Svetlana Logar. This project could not have been possible without the support from Andrew Park and Andrew Flores from the Williams Institute at UCLA, as well as Dragana Todorovic and Amarildo Fecanji from the LGBTI Equal Rights Association for Western Balkans and Turkey. The authors would like to thank the following for thoughtful guidance and comments: </w:t>
      </w:r>
      <w:r w:rsidRPr="00316C10">
        <w:rPr>
          <w:sz w:val="24"/>
          <w:szCs w:val="24"/>
        </w:rPr>
        <w:t>Linda Van Gelder, Lada Strelkova, Adrian Fozzard, Roby Senderowitsch, Clifton Cortez, Mattias K. A. Lundberg and Bojana Naceva</w:t>
      </w:r>
      <w:r w:rsidRPr="00316C10">
        <w:rPr>
          <w:rFonts w:ascii="Calibri" w:hAnsi="Calibri"/>
          <w:sz w:val="24"/>
          <w:szCs w:val="24"/>
        </w:rPr>
        <w:t xml:space="preserve">. </w:t>
      </w:r>
    </w:p>
    <w:p w14:paraId="772585BA" w14:textId="77777777" w:rsidR="00F63F94" w:rsidRPr="00316C10" w:rsidRDefault="00F63F94" w:rsidP="00C2735A">
      <w:pPr>
        <w:spacing w:after="240" w:line="276" w:lineRule="auto"/>
        <w:jc w:val="both"/>
        <w:rPr>
          <w:rFonts w:ascii="Calibri" w:hAnsi="Calibri"/>
          <w:sz w:val="24"/>
          <w:szCs w:val="24"/>
        </w:rPr>
      </w:pPr>
      <w:r w:rsidRPr="00316C10">
        <w:rPr>
          <w:rFonts w:ascii="Calibri" w:hAnsi="Calibri"/>
          <w:sz w:val="24"/>
          <w:szCs w:val="24"/>
        </w:rPr>
        <w:t xml:space="preserve">All errors are the authors’ alone, and the views expressed herein do not represent the position of the World Bank or its </w:t>
      </w:r>
      <w:r w:rsidRPr="00316C10">
        <w:rPr>
          <w:rFonts w:ascii="Calibri" w:hAnsi="Calibri"/>
          <w:noProof/>
          <w:sz w:val="24"/>
          <w:szCs w:val="24"/>
        </w:rPr>
        <w:t>Executive</w:t>
      </w:r>
      <w:r w:rsidRPr="00316C10">
        <w:rPr>
          <w:rFonts w:ascii="Calibri" w:hAnsi="Calibri"/>
          <w:sz w:val="24"/>
          <w:szCs w:val="24"/>
        </w:rPr>
        <w:t xml:space="preserve"> Directors.</w:t>
      </w:r>
    </w:p>
    <w:p w14:paraId="772585BB" w14:textId="77777777" w:rsidR="00F63F94" w:rsidRPr="00316C10" w:rsidRDefault="00F63F94" w:rsidP="00C2735A">
      <w:pPr>
        <w:spacing w:after="240"/>
        <w:rPr>
          <w:sz w:val="24"/>
          <w:szCs w:val="24"/>
        </w:rPr>
      </w:pPr>
      <w:r w:rsidRPr="00316C10">
        <w:rPr>
          <w:sz w:val="24"/>
          <w:szCs w:val="24"/>
        </w:rPr>
        <w:t>Funding for this work was generously provided by the Nordic Trust Fund, a knowledge and learning platform promoting human rights-based approaches to development.</w:t>
      </w:r>
    </w:p>
    <w:p w14:paraId="772585BD" w14:textId="6CBA43F7" w:rsidR="00F63F94" w:rsidRPr="00316C10" w:rsidRDefault="00F63F94" w:rsidP="00F63F94">
      <w:pPr>
        <w:spacing w:line="276" w:lineRule="auto"/>
        <w:jc w:val="both"/>
        <w:rPr>
          <w:rFonts w:ascii="Calibri" w:hAnsi="Calibri"/>
          <w:sz w:val="24"/>
          <w:szCs w:val="24"/>
        </w:rPr>
      </w:pPr>
      <w:r w:rsidRPr="00316C10">
        <w:rPr>
          <w:rFonts w:ascii="Calibri" w:hAnsi="Calibri"/>
          <w:sz w:val="24"/>
          <w:szCs w:val="24"/>
        </w:rPr>
        <w:t xml:space="preserve">The authors can be contacted </w:t>
      </w:r>
      <w:r w:rsidRPr="00316C10">
        <w:rPr>
          <w:rFonts w:ascii="Calibri" w:hAnsi="Calibri"/>
          <w:noProof/>
          <w:sz w:val="24"/>
          <w:szCs w:val="24"/>
        </w:rPr>
        <w:t>at</w:t>
      </w:r>
      <w:r w:rsidRPr="00316C10">
        <w:rPr>
          <w:rFonts w:ascii="Calibri" w:hAnsi="Calibri"/>
          <w:sz w:val="24"/>
          <w:szCs w:val="24"/>
        </w:rPr>
        <w:t xml:space="preserve"> </w:t>
      </w:r>
      <w:hyperlink r:id="rId8" w:history="1">
        <w:r w:rsidRPr="00316C10">
          <w:rPr>
            <w:rStyle w:val="Hyperlink"/>
            <w:rFonts w:ascii="Calibri" w:hAnsi="Calibri"/>
            <w:sz w:val="24"/>
            <w:szCs w:val="24"/>
          </w:rPr>
          <w:t>dkohler@worldbank.org</w:t>
        </w:r>
      </w:hyperlink>
      <w:r w:rsidR="00643FEA" w:rsidRPr="00316C10">
        <w:rPr>
          <w:rStyle w:val="Hyperlink"/>
          <w:rFonts w:ascii="Calibri" w:hAnsi="Calibri"/>
          <w:sz w:val="24"/>
          <w:szCs w:val="24"/>
        </w:rPr>
        <w:t>.</w:t>
      </w:r>
    </w:p>
    <w:p w14:paraId="772585BE" w14:textId="77777777" w:rsidR="00F63F94" w:rsidRDefault="00F63F94" w:rsidP="00F63F94">
      <w:pPr>
        <w:spacing w:after="120" w:line="240" w:lineRule="auto"/>
        <w:jc w:val="both"/>
        <w:rPr>
          <w:rFonts w:ascii="Calibri" w:hAnsi="Calibri" w:cs="Calibri"/>
          <w:b/>
          <w:sz w:val="32"/>
          <w:szCs w:val="32"/>
          <w:lang w:val="en-GB"/>
        </w:rPr>
      </w:pPr>
    </w:p>
    <w:p w14:paraId="2F2736E7" w14:textId="77777777" w:rsidR="00D56470" w:rsidRDefault="00D56470" w:rsidP="000C09DD">
      <w:pPr>
        <w:pStyle w:val="Heading1"/>
        <w:spacing w:before="40"/>
        <w:contextualSpacing w:val="0"/>
        <w:rPr>
          <w:rFonts w:cs="Arial"/>
          <w:color w:val="2F5496" w:themeColor="accent1" w:themeShade="BF"/>
          <w:spacing w:val="0"/>
          <w:kern w:val="0"/>
          <w:sz w:val="36"/>
          <w:szCs w:val="36"/>
          <w:lang w:val="en-US"/>
        </w:rPr>
        <w:sectPr w:rsidR="00D56470" w:rsidSect="00C92BA8">
          <w:footerReference w:type="even" r:id="rId9"/>
          <w:footerReference w:type="default" r:id="rId10"/>
          <w:type w:val="continuous"/>
          <w:pgSz w:w="11900" w:h="16840" w:code="9"/>
          <w:pgMar w:top="1440" w:right="1440" w:bottom="1440" w:left="1440" w:header="720" w:footer="720" w:gutter="0"/>
          <w:cols w:space="720"/>
          <w:docGrid w:linePitch="360"/>
        </w:sectPr>
      </w:pPr>
    </w:p>
    <w:p w14:paraId="772585C0" w14:textId="27FEE53C" w:rsidR="00F63F94" w:rsidRPr="000C09DD" w:rsidRDefault="000C09DD" w:rsidP="000C09DD">
      <w:pPr>
        <w:pStyle w:val="Heading1"/>
        <w:spacing w:before="40"/>
        <w:contextualSpacing w:val="0"/>
        <w:rPr>
          <w:rFonts w:cs="Arial"/>
          <w:color w:val="2F5496" w:themeColor="accent1" w:themeShade="BF"/>
          <w:spacing w:val="0"/>
          <w:kern w:val="0"/>
          <w:sz w:val="36"/>
          <w:szCs w:val="36"/>
          <w:lang w:val="en-US"/>
        </w:rPr>
      </w:pPr>
      <w:r>
        <w:rPr>
          <w:rFonts w:cs="Arial"/>
          <w:color w:val="2F5496" w:themeColor="accent1" w:themeShade="BF"/>
          <w:spacing w:val="0"/>
          <w:kern w:val="0"/>
          <w:sz w:val="36"/>
          <w:szCs w:val="36"/>
          <w:lang w:val="en-US"/>
        </w:rPr>
        <w:lastRenderedPageBreak/>
        <w:t>Table of Contents</w:t>
      </w:r>
      <w:r>
        <w:rPr>
          <w:rFonts w:cs="Arial"/>
          <w:color w:val="2F5496" w:themeColor="accent1" w:themeShade="BF"/>
          <w:spacing w:val="0"/>
          <w:kern w:val="0"/>
          <w:sz w:val="36"/>
          <w:szCs w:val="36"/>
          <w:lang w:val="en-US"/>
        </w:rPr>
        <w:br/>
      </w:r>
    </w:p>
    <w:p w14:paraId="772585C1" w14:textId="35664961" w:rsidR="00F63F94" w:rsidRPr="00803B7C" w:rsidRDefault="00F63F94" w:rsidP="00F63F94">
      <w:pPr>
        <w:pStyle w:val="TOC1"/>
        <w:rPr>
          <w:rFonts w:eastAsiaTheme="minorEastAsia"/>
          <w:noProof/>
          <w:sz w:val="24"/>
          <w:szCs w:val="24"/>
        </w:rPr>
      </w:pPr>
      <w:r w:rsidRPr="00803B7C">
        <w:rPr>
          <w:rFonts w:ascii="Calibri" w:hAnsi="Calibri" w:cs="Calibri"/>
          <w:sz w:val="24"/>
          <w:szCs w:val="24"/>
          <w:lang w:val="en-GB"/>
        </w:rPr>
        <w:fldChar w:fldCharType="begin"/>
      </w:r>
      <w:r w:rsidRPr="00803B7C">
        <w:rPr>
          <w:rFonts w:ascii="Calibri" w:hAnsi="Calibri" w:cs="Calibri"/>
          <w:sz w:val="24"/>
          <w:szCs w:val="24"/>
          <w:lang w:val="en-GB"/>
        </w:rPr>
        <w:instrText xml:space="preserve"> TOC \o "1-4" \h \z \u </w:instrText>
      </w:r>
      <w:r w:rsidRPr="00803B7C">
        <w:rPr>
          <w:rFonts w:ascii="Calibri" w:hAnsi="Calibri" w:cs="Calibri"/>
          <w:sz w:val="24"/>
          <w:szCs w:val="24"/>
          <w:lang w:val="en-GB"/>
        </w:rPr>
        <w:fldChar w:fldCharType="separate"/>
      </w:r>
      <w:hyperlink w:anchor="_Toc508872560" w:history="1">
        <w:r w:rsidRPr="00803B7C">
          <w:rPr>
            <w:rStyle w:val="Hyperlink"/>
            <w:rFonts w:ascii="Calibri" w:hAnsi="Calibri" w:cs="Calibri"/>
            <w:noProof/>
            <w:sz w:val="24"/>
            <w:szCs w:val="24"/>
          </w:rPr>
          <w:t>Executive Summary</w:t>
        </w:r>
        <w:r w:rsidRPr="00803B7C">
          <w:rPr>
            <w:noProof/>
            <w:webHidden/>
            <w:sz w:val="24"/>
            <w:szCs w:val="24"/>
          </w:rPr>
          <w:tab/>
        </w:r>
        <w:r w:rsidRPr="00803B7C">
          <w:rPr>
            <w:noProof/>
            <w:webHidden/>
            <w:sz w:val="24"/>
            <w:szCs w:val="24"/>
          </w:rPr>
          <w:fldChar w:fldCharType="begin"/>
        </w:r>
        <w:r w:rsidRPr="00803B7C">
          <w:rPr>
            <w:noProof/>
            <w:webHidden/>
            <w:sz w:val="24"/>
            <w:szCs w:val="24"/>
          </w:rPr>
          <w:instrText xml:space="preserve"> PAGEREF _Toc508872560 \h </w:instrText>
        </w:r>
        <w:r w:rsidRPr="00803B7C">
          <w:rPr>
            <w:noProof/>
            <w:webHidden/>
            <w:sz w:val="24"/>
            <w:szCs w:val="24"/>
          </w:rPr>
        </w:r>
        <w:r w:rsidRPr="00803B7C">
          <w:rPr>
            <w:noProof/>
            <w:webHidden/>
            <w:sz w:val="24"/>
            <w:szCs w:val="24"/>
          </w:rPr>
          <w:fldChar w:fldCharType="separate"/>
        </w:r>
        <w:r w:rsidR="0066198F">
          <w:rPr>
            <w:noProof/>
            <w:webHidden/>
            <w:sz w:val="24"/>
            <w:szCs w:val="24"/>
          </w:rPr>
          <w:t>1</w:t>
        </w:r>
        <w:r w:rsidRPr="00803B7C">
          <w:rPr>
            <w:noProof/>
            <w:webHidden/>
            <w:sz w:val="24"/>
            <w:szCs w:val="24"/>
          </w:rPr>
          <w:fldChar w:fldCharType="end"/>
        </w:r>
      </w:hyperlink>
    </w:p>
    <w:p w14:paraId="772585C2" w14:textId="69991F16" w:rsidR="00F63F94" w:rsidRPr="00803B7C" w:rsidRDefault="004F2757" w:rsidP="00F63F94">
      <w:pPr>
        <w:pStyle w:val="TOC2"/>
        <w:tabs>
          <w:tab w:val="right" w:leader="dot" w:pos="9350"/>
        </w:tabs>
        <w:rPr>
          <w:rFonts w:eastAsiaTheme="minorEastAsia"/>
          <w:noProof/>
          <w:sz w:val="24"/>
          <w:szCs w:val="24"/>
        </w:rPr>
      </w:pPr>
      <w:hyperlink w:anchor="_Toc508872561" w:history="1">
        <w:r w:rsidR="00F63F94" w:rsidRPr="00803B7C">
          <w:rPr>
            <w:rStyle w:val="Hyperlink"/>
            <w:rFonts w:ascii="Calibri" w:hAnsi="Calibri" w:cs="Calibri"/>
            <w:noProof/>
            <w:sz w:val="24"/>
            <w:szCs w:val="24"/>
            <w:lang w:val="en-GB"/>
          </w:rPr>
          <w:t>Background and Study Objectives</w:t>
        </w:r>
        <w:r w:rsidR="00F63F94" w:rsidRPr="00803B7C">
          <w:rPr>
            <w:noProof/>
            <w:webHidden/>
            <w:sz w:val="24"/>
            <w:szCs w:val="24"/>
          </w:rPr>
          <w:tab/>
        </w:r>
        <w:r w:rsidR="00F63F94" w:rsidRPr="00803B7C">
          <w:rPr>
            <w:noProof/>
            <w:webHidden/>
            <w:sz w:val="24"/>
            <w:szCs w:val="24"/>
          </w:rPr>
          <w:fldChar w:fldCharType="begin"/>
        </w:r>
        <w:r w:rsidR="00F63F94" w:rsidRPr="00803B7C">
          <w:rPr>
            <w:noProof/>
            <w:webHidden/>
            <w:sz w:val="24"/>
            <w:szCs w:val="24"/>
          </w:rPr>
          <w:instrText xml:space="preserve"> PAGEREF _Toc508872561 \h </w:instrText>
        </w:r>
        <w:r w:rsidR="00F63F94" w:rsidRPr="00803B7C">
          <w:rPr>
            <w:noProof/>
            <w:webHidden/>
            <w:sz w:val="24"/>
            <w:szCs w:val="24"/>
          </w:rPr>
        </w:r>
        <w:r w:rsidR="00F63F94" w:rsidRPr="00803B7C">
          <w:rPr>
            <w:noProof/>
            <w:webHidden/>
            <w:sz w:val="24"/>
            <w:szCs w:val="24"/>
          </w:rPr>
          <w:fldChar w:fldCharType="separate"/>
        </w:r>
        <w:r w:rsidR="0066198F">
          <w:rPr>
            <w:noProof/>
            <w:webHidden/>
            <w:sz w:val="24"/>
            <w:szCs w:val="24"/>
          </w:rPr>
          <w:t>3</w:t>
        </w:r>
        <w:r w:rsidR="00F63F94" w:rsidRPr="00803B7C">
          <w:rPr>
            <w:noProof/>
            <w:webHidden/>
            <w:sz w:val="24"/>
            <w:szCs w:val="24"/>
          </w:rPr>
          <w:fldChar w:fldCharType="end"/>
        </w:r>
      </w:hyperlink>
    </w:p>
    <w:p w14:paraId="772585C3" w14:textId="6F89F82C" w:rsidR="00F63F94" w:rsidRPr="00803B7C" w:rsidRDefault="004F2757" w:rsidP="00F63F94">
      <w:pPr>
        <w:pStyle w:val="TOC2"/>
        <w:tabs>
          <w:tab w:val="right" w:leader="dot" w:pos="9350"/>
        </w:tabs>
        <w:rPr>
          <w:rFonts w:eastAsiaTheme="minorEastAsia"/>
          <w:noProof/>
          <w:sz w:val="24"/>
          <w:szCs w:val="24"/>
        </w:rPr>
      </w:pPr>
      <w:hyperlink w:anchor="_Toc508872562" w:history="1">
        <w:r w:rsidR="00F63F94" w:rsidRPr="00803B7C">
          <w:rPr>
            <w:rStyle w:val="Hyperlink"/>
            <w:rFonts w:ascii="Calibri" w:hAnsi="Calibri" w:cs="Calibri"/>
            <w:noProof/>
            <w:sz w:val="24"/>
            <w:szCs w:val="24"/>
            <w:lang w:val="en-GB"/>
          </w:rPr>
          <w:t>Choosing the Research Areas and Methods</w:t>
        </w:r>
        <w:r w:rsidR="00F63F94" w:rsidRPr="00803B7C">
          <w:rPr>
            <w:noProof/>
            <w:webHidden/>
            <w:sz w:val="24"/>
            <w:szCs w:val="24"/>
          </w:rPr>
          <w:tab/>
        </w:r>
        <w:r w:rsidR="00F63F94" w:rsidRPr="00803B7C">
          <w:rPr>
            <w:noProof/>
            <w:webHidden/>
            <w:sz w:val="24"/>
            <w:szCs w:val="24"/>
          </w:rPr>
          <w:fldChar w:fldCharType="begin"/>
        </w:r>
        <w:r w:rsidR="00F63F94" w:rsidRPr="00803B7C">
          <w:rPr>
            <w:noProof/>
            <w:webHidden/>
            <w:sz w:val="24"/>
            <w:szCs w:val="24"/>
          </w:rPr>
          <w:instrText xml:space="preserve"> PAGEREF _Toc508872562 \h </w:instrText>
        </w:r>
        <w:r w:rsidR="00F63F94" w:rsidRPr="00803B7C">
          <w:rPr>
            <w:noProof/>
            <w:webHidden/>
            <w:sz w:val="24"/>
            <w:szCs w:val="24"/>
          </w:rPr>
        </w:r>
        <w:r w:rsidR="00F63F94" w:rsidRPr="00803B7C">
          <w:rPr>
            <w:noProof/>
            <w:webHidden/>
            <w:sz w:val="24"/>
            <w:szCs w:val="24"/>
          </w:rPr>
          <w:fldChar w:fldCharType="separate"/>
        </w:r>
        <w:r w:rsidR="0066198F">
          <w:rPr>
            <w:noProof/>
            <w:webHidden/>
            <w:sz w:val="24"/>
            <w:szCs w:val="24"/>
          </w:rPr>
          <w:t>5</w:t>
        </w:r>
        <w:r w:rsidR="00F63F94" w:rsidRPr="00803B7C">
          <w:rPr>
            <w:noProof/>
            <w:webHidden/>
            <w:sz w:val="24"/>
            <w:szCs w:val="24"/>
          </w:rPr>
          <w:fldChar w:fldCharType="end"/>
        </w:r>
      </w:hyperlink>
    </w:p>
    <w:p w14:paraId="772585C4" w14:textId="4F87661F" w:rsidR="00F63F94" w:rsidRPr="00803B7C" w:rsidRDefault="004F2757" w:rsidP="00F63F94">
      <w:pPr>
        <w:pStyle w:val="TOC1"/>
        <w:tabs>
          <w:tab w:val="left" w:pos="440"/>
        </w:tabs>
        <w:rPr>
          <w:rFonts w:eastAsiaTheme="minorEastAsia"/>
          <w:noProof/>
          <w:sz w:val="24"/>
          <w:szCs w:val="24"/>
        </w:rPr>
      </w:pPr>
      <w:hyperlink w:anchor="_Toc508872563" w:history="1">
        <w:r w:rsidR="00F63F94" w:rsidRPr="00803B7C">
          <w:rPr>
            <w:rStyle w:val="Hyperlink"/>
            <w:rFonts w:ascii="Calibri" w:hAnsi="Calibri" w:cs="Calibri"/>
            <w:noProof/>
            <w:sz w:val="24"/>
            <w:szCs w:val="24"/>
          </w:rPr>
          <w:t>1.</w:t>
        </w:r>
        <w:r w:rsidR="00F63F94" w:rsidRPr="00803B7C">
          <w:rPr>
            <w:rFonts w:eastAsiaTheme="minorEastAsia"/>
            <w:noProof/>
            <w:sz w:val="24"/>
            <w:szCs w:val="24"/>
          </w:rPr>
          <w:tab/>
        </w:r>
        <w:r w:rsidR="00F63F94" w:rsidRPr="00803B7C">
          <w:rPr>
            <w:rStyle w:val="Hyperlink"/>
            <w:rFonts w:ascii="Calibri" w:hAnsi="Calibri" w:cs="Calibri"/>
            <w:noProof/>
            <w:sz w:val="24"/>
            <w:szCs w:val="24"/>
          </w:rPr>
          <w:t>Access to Primary School Education for Students Perceived to be Gay</w:t>
        </w:r>
        <w:r w:rsidR="00F63F94" w:rsidRPr="00803B7C">
          <w:rPr>
            <w:noProof/>
            <w:webHidden/>
            <w:sz w:val="24"/>
            <w:szCs w:val="24"/>
          </w:rPr>
          <w:tab/>
        </w:r>
        <w:r w:rsidR="00F63F94" w:rsidRPr="00803B7C">
          <w:rPr>
            <w:noProof/>
            <w:webHidden/>
            <w:sz w:val="24"/>
            <w:szCs w:val="24"/>
          </w:rPr>
          <w:fldChar w:fldCharType="begin"/>
        </w:r>
        <w:r w:rsidR="00F63F94" w:rsidRPr="00803B7C">
          <w:rPr>
            <w:noProof/>
            <w:webHidden/>
            <w:sz w:val="24"/>
            <w:szCs w:val="24"/>
          </w:rPr>
          <w:instrText xml:space="preserve"> PAGEREF _Toc508872563 \h </w:instrText>
        </w:r>
        <w:r w:rsidR="00F63F94" w:rsidRPr="00803B7C">
          <w:rPr>
            <w:noProof/>
            <w:webHidden/>
            <w:sz w:val="24"/>
            <w:szCs w:val="24"/>
          </w:rPr>
        </w:r>
        <w:r w:rsidR="00F63F94" w:rsidRPr="00803B7C">
          <w:rPr>
            <w:noProof/>
            <w:webHidden/>
            <w:sz w:val="24"/>
            <w:szCs w:val="24"/>
          </w:rPr>
          <w:fldChar w:fldCharType="separate"/>
        </w:r>
        <w:r w:rsidR="0066198F">
          <w:rPr>
            <w:noProof/>
            <w:webHidden/>
            <w:sz w:val="24"/>
            <w:szCs w:val="24"/>
          </w:rPr>
          <w:t>6</w:t>
        </w:r>
        <w:r w:rsidR="00F63F94" w:rsidRPr="00803B7C">
          <w:rPr>
            <w:noProof/>
            <w:webHidden/>
            <w:sz w:val="24"/>
            <w:szCs w:val="24"/>
          </w:rPr>
          <w:fldChar w:fldCharType="end"/>
        </w:r>
      </w:hyperlink>
    </w:p>
    <w:p w14:paraId="772585C5" w14:textId="099E1EBC" w:rsidR="00F63F94" w:rsidRPr="00803B7C" w:rsidRDefault="004F2757" w:rsidP="00F63F94">
      <w:pPr>
        <w:pStyle w:val="TOC1"/>
        <w:tabs>
          <w:tab w:val="left" w:pos="660"/>
        </w:tabs>
        <w:rPr>
          <w:rFonts w:eastAsiaTheme="minorEastAsia"/>
          <w:noProof/>
          <w:sz w:val="24"/>
          <w:szCs w:val="24"/>
        </w:rPr>
      </w:pPr>
      <w:hyperlink w:anchor="_Toc508872564" w:history="1">
        <w:r w:rsidR="00F63F94" w:rsidRPr="00803B7C">
          <w:rPr>
            <w:rStyle w:val="Hyperlink"/>
            <w:rFonts w:ascii="Calibri" w:hAnsi="Calibri" w:cs="Calibri"/>
            <w:noProof/>
            <w:sz w:val="24"/>
            <w:szCs w:val="24"/>
          </w:rPr>
          <w:t>1.1.</w:t>
        </w:r>
        <w:r w:rsidR="00F63F94" w:rsidRPr="00803B7C">
          <w:rPr>
            <w:rFonts w:eastAsiaTheme="minorEastAsia"/>
            <w:noProof/>
            <w:sz w:val="24"/>
            <w:szCs w:val="24"/>
          </w:rPr>
          <w:tab/>
        </w:r>
        <w:r w:rsidR="00F63F94" w:rsidRPr="00803B7C">
          <w:rPr>
            <w:rStyle w:val="Hyperlink"/>
            <w:rFonts w:ascii="Calibri" w:hAnsi="Calibri" w:cs="Calibri"/>
            <w:noProof/>
            <w:sz w:val="24"/>
            <w:szCs w:val="24"/>
          </w:rPr>
          <w:t>Methodology</w:t>
        </w:r>
        <w:r w:rsidR="00F63F94" w:rsidRPr="00803B7C">
          <w:rPr>
            <w:noProof/>
            <w:webHidden/>
            <w:sz w:val="24"/>
            <w:szCs w:val="24"/>
          </w:rPr>
          <w:tab/>
        </w:r>
        <w:r w:rsidR="00F63F94" w:rsidRPr="00803B7C">
          <w:rPr>
            <w:noProof/>
            <w:webHidden/>
            <w:sz w:val="24"/>
            <w:szCs w:val="24"/>
          </w:rPr>
          <w:fldChar w:fldCharType="begin"/>
        </w:r>
        <w:r w:rsidR="00F63F94" w:rsidRPr="00803B7C">
          <w:rPr>
            <w:noProof/>
            <w:webHidden/>
            <w:sz w:val="24"/>
            <w:szCs w:val="24"/>
          </w:rPr>
          <w:instrText xml:space="preserve"> PAGEREF _Toc508872564 \h </w:instrText>
        </w:r>
        <w:r w:rsidR="00F63F94" w:rsidRPr="00803B7C">
          <w:rPr>
            <w:noProof/>
            <w:webHidden/>
            <w:sz w:val="24"/>
            <w:szCs w:val="24"/>
          </w:rPr>
        </w:r>
        <w:r w:rsidR="00F63F94" w:rsidRPr="00803B7C">
          <w:rPr>
            <w:noProof/>
            <w:webHidden/>
            <w:sz w:val="24"/>
            <w:szCs w:val="24"/>
          </w:rPr>
          <w:fldChar w:fldCharType="separate"/>
        </w:r>
        <w:r w:rsidR="0066198F">
          <w:rPr>
            <w:noProof/>
            <w:webHidden/>
            <w:sz w:val="24"/>
            <w:szCs w:val="24"/>
          </w:rPr>
          <w:t>6</w:t>
        </w:r>
        <w:r w:rsidR="00F63F94" w:rsidRPr="00803B7C">
          <w:rPr>
            <w:noProof/>
            <w:webHidden/>
            <w:sz w:val="24"/>
            <w:szCs w:val="24"/>
          </w:rPr>
          <w:fldChar w:fldCharType="end"/>
        </w:r>
      </w:hyperlink>
    </w:p>
    <w:p w14:paraId="772585C6" w14:textId="3623E632" w:rsidR="00F63F94" w:rsidRPr="00803B7C" w:rsidRDefault="004F2757" w:rsidP="00F63F94">
      <w:pPr>
        <w:pStyle w:val="TOC3"/>
        <w:rPr>
          <w:rFonts w:eastAsiaTheme="minorEastAsia"/>
          <w:noProof/>
          <w:sz w:val="24"/>
          <w:szCs w:val="24"/>
        </w:rPr>
      </w:pPr>
      <w:hyperlink w:anchor="_Toc508872565" w:history="1">
        <w:r w:rsidR="00F63F94" w:rsidRPr="00803B7C">
          <w:rPr>
            <w:rStyle w:val="Hyperlink"/>
            <w:rFonts w:ascii="Calibri" w:hAnsi="Calibri" w:cs="Calibri"/>
            <w:noProof/>
            <w:sz w:val="24"/>
            <w:szCs w:val="24"/>
            <w:lang w:val="en-GB"/>
          </w:rPr>
          <w:t>Experimental Scenario</w:t>
        </w:r>
        <w:r w:rsidR="00F63F94" w:rsidRPr="00803B7C">
          <w:rPr>
            <w:noProof/>
            <w:webHidden/>
            <w:sz w:val="24"/>
            <w:szCs w:val="24"/>
          </w:rPr>
          <w:tab/>
        </w:r>
        <w:r w:rsidR="00F63F94" w:rsidRPr="00803B7C">
          <w:rPr>
            <w:noProof/>
            <w:webHidden/>
            <w:sz w:val="24"/>
            <w:szCs w:val="24"/>
          </w:rPr>
          <w:fldChar w:fldCharType="begin"/>
        </w:r>
        <w:r w:rsidR="00F63F94" w:rsidRPr="00803B7C">
          <w:rPr>
            <w:noProof/>
            <w:webHidden/>
            <w:sz w:val="24"/>
            <w:szCs w:val="24"/>
          </w:rPr>
          <w:instrText xml:space="preserve"> PAGEREF _Toc508872565 \h </w:instrText>
        </w:r>
        <w:r w:rsidR="00F63F94" w:rsidRPr="00803B7C">
          <w:rPr>
            <w:noProof/>
            <w:webHidden/>
            <w:sz w:val="24"/>
            <w:szCs w:val="24"/>
          </w:rPr>
        </w:r>
        <w:r w:rsidR="00F63F94" w:rsidRPr="00803B7C">
          <w:rPr>
            <w:noProof/>
            <w:webHidden/>
            <w:sz w:val="24"/>
            <w:szCs w:val="24"/>
          </w:rPr>
          <w:fldChar w:fldCharType="separate"/>
        </w:r>
        <w:r w:rsidR="0066198F">
          <w:rPr>
            <w:noProof/>
            <w:webHidden/>
            <w:sz w:val="24"/>
            <w:szCs w:val="24"/>
          </w:rPr>
          <w:t>6</w:t>
        </w:r>
        <w:r w:rsidR="00F63F94" w:rsidRPr="00803B7C">
          <w:rPr>
            <w:noProof/>
            <w:webHidden/>
            <w:sz w:val="24"/>
            <w:szCs w:val="24"/>
          </w:rPr>
          <w:fldChar w:fldCharType="end"/>
        </w:r>
      </w:hyperlink>
    </w:p>
    <w:p w14:paraId="772585C7" w14:textId="138725A6" w:rsidR="00F63F94" w:rsidRPr="00803B7C" w:rsidRDefault="004F2757" w:rsidP="00F63F94">
      <w:pPr>
        <w:pStyle w:val="TOC3"/>
        <w:rPr>
          <w:rFonts w:eastAsiaTheme="minorEastAsia"/>
          <w:noProof/>
          <w:sz w:val="24"/>
          <w:szCs w:val="24"/>
        </w:rPr>
      </w:pPr>
      <w:hyperlink w:anchor="_Toc508872566" w:history="1">
        <w:r w:rsidR="00F63F94" w:rsidRPr="00803B7C">
          <w:rPr>
            <w:rStyle w:val="Hyperlink"/>
            <w:rFonts w:ascii="Calibri" w:hAnsi="Calibri" w:cs="Calibri"/>
            <w:noProof/>
            <w:sz w:val="24"/>
            <w:szCs w:val="24"/>
            <w:lang w:val="en-GB"/>
          </w:rPr>
          <w:t>Sampling of Schools</w:t>
        </w:r>
        <w:r w:rsidR="00F63F94" w:rsidRPr="00803B7C">
          <w:rPr>
            <w:noProof/>
            <w:webHidden/>
            <w:sz w:val="24"/>
            <w:szCs w:val="24"/>
          </w:rPr>
          <w:tab/>
        </w:r>
        <w:r w:rsidR="00F63F94" w:rsidRPr="00803B7C">
          <w:rPr>
            <w:noProof/>
            <w:webHidden/>
            <w:sz w:val="24"/>
            <w:szCs w:val="24"/>
          </w:rPr>
          <w:fldChar w:fldCharType="begin"/>
        </w:r>
        <w:r w:rsidR="00F63F94" w:rsidRPr="00803B7C">
          <w:rPr>
            <w:noProof/>
            <w:webHidden/>
            <w:sz w:val="24"/>
            <w:szCs w:val="24"/>
          </w:rPr>
          <w:instrText xml:space="preserve"> PAGEREF _Toc508872566 \h </w:instrText>
        </w:r>
        <w:r w:rsidR="00F63F94" w:rsidRPr="00803B7C">
          <w:rPr>
            <w:noProof/>
            <w:webHidden/>
            <w:sz w:val="24"/>
            <w:szCs w:val="24"/>
          </w:rPr>
        </w:r>
        <w:r w:rsidR="00F63F94" w:rsidRPr="00803B7C">
          <w:rPr>
            <w:noProof/>
            <w:webHidden/>
            <w:sz w:val="24"/>
            <w:szCs w:val="24"/>
          </w:rPr>
          <w:fldChar w:fldCharType="separate"/>
        </w:r>
        <w:r w:rsidR="0066198F">
          <w:rPr>
            <w:noProof/>
            <w:webHidden/>
            <w:sz w:val="24"/>
            <w:szCs w:val="24"/>
          </w:rPr>
          <w:t>7</w:t>
        </w:r>
        <w:r w:rsidR="00F63F94" w:rsidRPr="00803B7C">
          <w:rPr>
            <w:noProof/>
            <w:webHidden/>
            <w:sz w:val="24"/>
            <w:szCs w:val="24"/>
          </w:rPr>
          <w:fldChar w:fldCharType="end"/>
        </w:r>
      </w:hyperlink>
    </w:p>
    <w:p w14:paraId="772585C8" w14:textId="45E4723A" w:rsidR="00F63F94" w:rsidRPr="00803B7C" w:rsidRDefault="004F2757" w:rsidP="00F63F94">
      <w:pPr>
        <w:pStyle w:val="TOC3"/>
        <w:rPr>
          <w:rFonts w:eastAsiaTheme="minorEastAsia"/>
          <w:noProof/>
          <w:sz w:val="24"/>
          <w:szCs w:val="24"/>
        </w:rPr>
      </w:pPr>
      <w:hyperlink w:anchor="_Toc508872567" w:history="1">
        <w:r w:rsidR="00F63F94" w:rsidRPr="00803B7C">
          <w:rPr>
            <w:rStyle w:val="Hyperlink"/>
            <w:rFonts w:ascii="Calibri" w:hAnsi="Calibri" w:cs="Calibri"/>
            <w:noProof/>
            <w:sz w:val="24"/>
            <w:szCs w:val="24"/>
            <w:lang w:val="en-GB"/>
          </w:rPr>
          <w:t>Measurement</w:t>
        </w:r>
        <w:r w:rsidR="00F63F94" w:rsidRPr="00803B7C">
          <w:rPr>
            <w:noProof/>
            <w:webHidden/>
            <w:sz w:val="24"/>
            <w:szCs w:val="24"/>
          </w:rPr>
          <w:tab/>
        </w:r>
        <w:r w:rsidR="00F63F94" w:rsidRPr="00803B7C">
          <w:rPr>
            <w:noProof/>
            <w:webHidden/>
            <w:sz w:val="24"/>
            <w:szCs w:val="24"/>
          </w:rPr>
          <w:fldChar w:fldCharType="begin"/>
        </w:r>
        <w:r w:rsidR="00F63F94" w:rsidRPr="00803B7C">
          <w:rPr>
            <w:noProof/>
            <w:webHidden/>
            <w:sz w:val="24"/>
            <w:szCs w:val="24"/>
          </w:rPr>
          <w:instrText xml:space="preserve"> PAGEREF _Toc508872567 \h </w:instrText>
        </w:r>
        <w:r w:rsidR="00F63F94" w:rsidRPr="00803B7C">
          <w:rPr>
            <w:noProof/>
            <w:webHidden/>
            <w:sz w:val="24"/>
            <w:szCs w:val="24"/>
          </w:rPr>
        </w:r>
        <w:r w:rsidR="00F63F94" w:rsidRPr="00803B7C">
          <w:rPr>
            <w:noProof/>
            <w:webHidden/>
            <w:sz w:val="24"/>
            <w:szCs w:val="24"/>
          </w:rPr>
          <w:fldChar w:fldCharType="separate"/>
        </w:r>
        <w:r w:rsidR="0066198F">
          <w:rPr>
            <w:noProof/>
            <w:webHidden/>
            <w:sz w:val="24"/>
            <w:szCs w:val="24"/>
          </w:rPr>
          <w:t>7</w:t>
        </w:r>
        <w:r w:rsidR="00F63F94" w:rsidRPr="00803B7C">
          <w:rPr>
            <w:noProof/>
            <w:webHidden/>
            <w:sz w:val="24"/>
            <w:szCs w:val="24"/>
          </w:rPr>
          <w:fldChar w:fldCharType="end"/>
        </w:r>
      </w:hyperlink>
    </w:p>
    <w:p w14:paraId="772585C9" w14:textId="3D1468A6" w:rsidR="00F63F94" w:rsidRPr="00803B7C" w:rsidRDefault="004F2757" w:rsidP="00F63F94">
      <w:pPr>
        <w:pStyle w:val="TOC1"/>
        <w:tabs>
          <w:tab w:val="left" w:pos="660"/>
        </w:tabs>
        <w:rPr>
          <w:rFonts w:eastAsiaTheme="minorEastAsia"/>
          <w:noProof/>
          <w:sz w:val="24"/>
          <w:szCs w:val="24"/>
        </w:rPr>
      </w:pPr>
      <w:hyperlink w:anchor="_Toc508872568" w:history="1">
        <w:r w:rsidR="00F63F94" w:rsidRPr="00803B7C">
          <w:rPr>
            <w:rStyle w:val="Hyperlink"/>
            <w:rFonts w:ascii="Calibri" w:hAnsi="Calibri" w:cs="Calibri"/>
            <w:noProof/>
            <w:sz w:val="24"/>
            <w:szCs w:val="24"/>
          </w:rPr>
          <w:t>1.2.</w:t>
        </w:r>
        <w:r w:rsidR="00F63F94" w:rsidRPr="00803B7C">
          <w:rPr>
            <w:rFonts w:eastAsiaTheme="minorEastAsia"/>
            <w:noProof/>
            <w:sz w:val="24"/>
            <w:szCs w:val="24"/>
          </w:rPr>
          <w:tab/>
        </w:r>
        <w:r w:rsidR="00F63F94" w:rsidRPr="00803B7C">
          <w:rPr>
            <w:rStyle w:val="Hyperlink"/>
            <w:rFonts w:ascii="Calibri" w:hAnsi="Calibri" w:cs="Calibri"/>
            <w:noProof/>
            <w:sz w:val="24"/>
            <w:szCs w:val="24"/>
          </w:rPr>
          <w:t>Results</w:t>
        </w:r>
        <w:r w:rsidR="00F63F94" w:rsidRPr="00803B7C">
          <w:rPr>
            <w:noProof/>
            <w:webHidden/>
            <w:sz w:val="24"/>
            <w:szCs w:val="24"/>
          </w:rPr>
          <w:tab/>
        </w:r>
        <w:r w:rsidR="00F63F94" w:rsidRPr="00803B7C">
          <w:rPr>
            <w:noProof/>
            <w:webHidden/>
            <w:sz w:val="24"/>
            <w:szCs w:val="24"/>
          </w:rPr>
          <w:fldChar w:fldCharType="begin"/>
        </w:r>
        <w:r w:rsidR="00F63F94" w:rsidRPr="00803B7C">
          <w:rPr>
            <w:noProof/>
            <w:webHidden/>
            <w:sz w:val="24"/>
            <w:szCs w:val="24"/>
          </w:rPr>
          <w:instrText xml:space="preserve"> PAGEREF _Toc508872568 \h </w:instrText>
        </w:r>
        <w:r w:rsidR="00F63F94" w:rsidRPr="00803B7C">
          <w:rPr>
            <w:noProof/>
            <w:webHidden/>
            <w:sz w:val="24"/>
            <w:szCs w:val="24"/>
          </w:rPr>
        </w:r>
        <w:r w:rsidR="00F63F94" w:rsidRPr="00803B7C">
          <w:rPr>
            <w:noProof/>
            <w:webHidden/>
            <w:sz w:val="24"/>
            <w:szCs w:val="24"/>
          </w:rPr>
          <w:fldChar w:fldCharType="separate"/>
        </w:r>
        <w:r w:rsidR="0066198F">
          <w:rPr>
            <w:noProof/>
            <w:webHidden/>
            <w:sz w:val="24"/>
            <w:szCs w:val="24"/>
          </w:rPr>
          <w:t>8</w:t>
        </w:r>
        <w:r w:rsidR="00F63F94" w:rsidRPr="00803B7C">
          <w:rPr>
            <w:noProof/>
            <w:webHidden/>
            <w:sz w:val="24"/>
            <w:szCs w:val="24"/>
          </w:rPr>
          <w:fldChar w:fldCharType="end"/>
        </w:r>
      </w:hyperlink>
    </w:p>
    <w:p w14:paraId="772585CA" w14:textId="31166142" w:rsidR="00F63F94" w:rsidRPr="00803B7C" w:rsidRDefault="004F2757" w:rsidP="00F63F94">
      <w:pPr>
        <w:pStyle w:val="TOC3"/>
        <w:rPr>
          <w:rFonts w:eastAsiaTheme="minorEastAsia"/>
          <w:noProof/>
          <w:sz w:val="24"/>
          <w:szCs w:val="24"/>
        </w:rPr>
      </w:pPr>
      <w:hyperlink w:anchor="_Toc508872569" w:history="1">
        <w:r w:rsidR="00F63F94" w:rsidRPr="00803B7C">
          <w:rPr>
            <w:rStyle w:val="Hyperlink"/>
            <w:rFonts w:ascii="Calibri" w:hAnsi="Calibri" w:cs="Calibri"/>
            <w:noProof/>
            <w:sz w:val="24"/>
            <w:szCs w:val="24"/>
          </w:rPr>
          <w:t>Feminine</w:t>
        </w:r>
        <w:r w:rsidR="00F63F94" w:rsidRPr="00803B7C">
          <w:rPr>
            <w:rStyle w:val="Hyperlink"/>
            <w:rFonts w:ascii="Calibri" w:hAnsi="Calibri" w:cs="Calibri"/>
            <w:noProof/>
            <w:sz w:val="24"/>
            <w:szCs w:val="24"/>
            <w:lang w:val="en-GB"/>
          </w:rPr>
          <w:t xml:space="preserve"> Boys Have More Limited Access to Primary Schools</w:t>
        </w:r>
        <w:r w:rsidR="00F63F94" w:rsidRPr="00803B7C">
          <w:rPr>
            <w:noProof/>
            <w:webHidden/>
            <w:sz w:val="24"/>
            <w:szCs w:val="24"/>
          </w:rPr>
          <w:tab/>
        </w:r>
        <w:r w:rsidR="00F63F94" w:rsidRPr="00803B7C">
          <w:rPr>
            <w:noProof/>
            <w:webHidden/>
            <w:sz w:val="24"/>
            <w:szCs w:val="24"/>
          </w:rPr>
          <w:fldChar w:fldCharType="begin"/>
        </w:r>
        <w:r w:rsidR="00F63F94" w:rsidRPr="00803B7C">
          <w:rPr>
            <w:noProof/>
            <w:webHidden/>
            <w:sz w:val="24"/>
            <w:szCs w:val="24"/>
          </w:rPr>
          <w:instrText xml:space="preserve"> PAGEREF _Toc508872569 \h </w:instrText>
        </w:r>
        <w:r w:rsidR="00F63F94" w:rsidRPr="00803B7C">
          <w:rPr>
            <w:noProof/>
            <w:webHidden/>
            <w:sz w:val="24"/>
            <w:szCs w:val="24"/>
          </w:rPr>
        </w:r>
        <w:r w:rsidR="00F63F94" w:rsidRPr="00803B7C">
          <w:rPr>
            <w:noProof/>
            <w:webHidden/>
            <w:sz w:val="24"/>
            <w:szCs w:val="24"/>
          </w:rPr>
          <w:fldChar w:fldCharType="separate"/>
        </w:r>
        <w:r w:rsidR="0066198F">
          <w:rPr>
            <w:noProof/>
            <w:webHidden/>
            <w:sz w:val="24"/>
            <w:szCs w:val="24"/>
          </w:rPr>
          <w:t>8</w:t>
        </w:r>
        <w:r w:rsidR="00F63F94" w:rsidRPr="00803B7C">
          <w:rPr>
            <w:noProof/>
            <w:webHidden/>
            <w:sz w:val="24"/>
            <w:szCs w:val="24"/>
          </w:rPr>
          <w:fldChar w:fldCharType="end"/>
        </w:r>
      </w:hyperlink>
    </w:p>
    <w:p w14:paraId="772585CB" w14:textId="40B7A097" w:rsidR="00F63F94" w:rsidRPr="00803B7C" w:rsidRDefault="004F2757" w:rsidP="00F63F94">
      <w:pPr>
        <w:pStyle w:val="TOC3"/>
        <w:rPr>
          <w:rFonts w:eastAsiaTheme="minorEastAsia"/>
          <w:noProof/>
          <w:sz w:val="24"/>
          <w:szCs w:val="24"/>
        </w:rPr>
      </w:pPr>
      <w:hyperlink w:anchor="_Toc508872570" w:history="1">
        <w:r w:rsidR="00F63F94" w:rsidRPr="00803B7C">
          <w:rPr>
            <w:rStyle w:val="Hyperlink"/>
            <w:rFonts w:ascii="Calibri" w:hAnsi="Calibri" w:cs="Calibri"/>
            <w:noProof/>
            <w:sz w:val="24"/>
            <w:szCs w:val="24"/>
            <w:lang w:val="en-GB"/>
          </w:rPr>
          <w:t>Reasons for Rejections</w:t>
        </w:r>
        <w:r w:rsidR="00F63F94" w:rsidRPr="00803B7C">
          <w:rPr>
            <w:noProof/>
            <w:webHidden/>
            <w:sz w:val="24"/>
            <w:szCs w:val="24"/>
          </w:rPr>
          <w:tab/>
        </w:r>
        <w:r w:rsidR="00F63F94" w:rsidRPr="00803B7C">
          <w:rPr>
            <w:noProof/>
            <w:webHidden/>
            <w:sz w:val="24"/>
            <w:szCs w:val="24"/>
          </w:rPr>
          <w:fldChar w:fldCharType="begin"/>
        </w:r>
        <w:r w:rsidR="00F63F94" w:rsidRPr="00803B7C">
          <w:rPr>
            <w:noProof/>
            <w:webHidden/>
            <w:sz w:val="24"/>
            <w:szCs w:val="24"/>
          </w:rPr>
          <w:instrText xml:space="preserve"> PAGEREF _Toc508872570 \h </w:instrText>
        </w:r>
        <w:r w:rsidR="00F63F94" w:rsidRPr="00803B7C">
          <w:rPr>
            <w:noProof/>
            <w:webHidden/>
            <w:sz w:val="24"/>
            <w:szCs w:val="24"/>
          </w:rPr>
        </w:r>
        <w:r w:rsidR="00F63F94" w:rsidRPr="00803B7C">
          <w:rPr>
            <w:noProof/>
            <w:webHidden/>
            <w:sz w:val="24"/>
            <w:szCs w:val="24"/>
          </w:rPr>
          <w:fldChar w:fldCharType="separate"/>
        </w:r>
        <w:r w:rsidR="0066198F">
          <w:rPr>
            <w:noProof/>
            <w:webHidden/>
            <w:sz w:val="24"/>
            <w:szCs w:val="24"/>
          </w:rPr>
          <w:t>10</w:t>
        </w:r>
        <w:r w:rsidR="00F63F94" w:rsidRPr="00803B7C">
          <w:rPr>
            <w:noProof/>
            <w:webHidden/>
            <w:sz w:val="24"/>
            <w:szCs w:val="24"/>
          </w:rPr>
          <w:fldChar w:fldCharType="end"/>
        </w:r>
      </w:hyperlink>
    </w:p>
    <w:p w14:paraId="772585CC" w14:textId="7D22C872" w:rsidR="00F63F94" w:rsidRPr="00803B7C" w:rsidRDefault="004F2757" w:rsidP="00F63F94">
      <w:pPr>
        <w:pStyle w:val="TOC3"/>
        <w:rPr>
          <w:rFonts w:eastAsiaTheme="minorEastAsia"/>
          <w:noProof/>
          <w:sz w:val="24"/>
          <w:szCs w:val="24"/>
        </w:rPr>
      </w:pPr>
      <w:hyperlink w:anchor="_Toc508872571" w:history="1">
        <w:r w:rsidR="00F63F94" w:rsidRPr="00803B7C">
          <w:rPr>
            <w:rStyle w:val="Hyperlink"/>
            <w:rFonts w:ascii="Calibri" w:hAnsi="Calibri" w:cs="Calibri"/>
            <w:noProof/>
            <w:sz w:val="24"/>
            <w:szCs w:val="24"/>
            <w:lang w:val="en-GB"/>
          </w:rPr>
          <w:t>Reasons for Hesitation in Enrollment</w:t>
        </w:r>
        <w:r w:rsidR="00F63F94" w:rsidRPr="00803B7C">
          <w:rPr>
            <w:noProof/>
            <w:webHidden/>
            <w:sz w:val="24"/>
            <w:szCs w:val="24"/>
          </w:rPr>
          <w:tab/>
        </w:r>
        <w:r w:rsidR="00F63F94" w:rsidRPr="00803B7C">
          <w:rPr>
            <w:noProof/>
            <w:webHidden/>
            <w:sz w:val="24"/>
            <w:szCs w:val="24"/>
          </w:rPr>
          <w:fldChar w:fldCharType="begin"/>
        </w:r>
        <w:r w:rsidR="00F63F94" w:rsidRPr="00803B7C">
          <w:rPr>
            <w:noProof/>
            <w:webHidden/>
            <w:sz w:val="24"/>
            <w:szCs w:val="24"/>
          </w:rPr>
          <w:instrText xml:space="preserve"> PAGEREF _Toc508872571 \h </w:instrText>
        </w:r>
        <w:r w:rsidR="00F63F94" w:rsidRPr="00803B7C">
          <w:rPr>
            <w:noProof/>
            <w:webHidden/>
            <w:sz w:val="24"/>
            <w:szCs w:val="24"/>
          </w:rPr>
        </w:r>
        <w:r w:rsidR="00F63F94" w:rsidRPr="00803B7C">
          <w:rPr>
            <w:noProof/>
            <w:webHidden/>
            <w:sz w:val="24"/>
            <w:szCs w:val="24"/>
          </w:rPr>
          <w:fldChar w:fldCharType="separate"/>
        </w:r>
        <w:r w:rsidR="0066198F">
          <w:rPr>
            <w:noProof/>
            <w:webHidden/>
            <w:sz w:val="24"/>
            <w:szCs w:val="24"/>
          </w:rPr>
          <w:t>10</w:t>
        </w:r>
        <w:r w:rsidR="00F63F94" w:rsidRPr="00803B7C">
          <w:rPr>
            <w:noProof/>
            <w:webHidden/>
            <w:sz w:val="24"/>
            <w:szCs w:val="24"/>
          </w:rPr>
          <w:fldChar w:fldCharType="end"/>
        </w:r>
      </w:hyperlink>
    </w:p>
    <w:p w14:paraId="772585CD" w14:textId="0EE86D99" w:rsidR="00F63F94" w:rsidRPr="00803B7C" w:rsidRDefault="004F2757" w:rsidP="00F63F94">
      <w:pPr>
        <w:pStyle w:val="TOC1"/>
        <w:tabs>
          <w:tab w:val="left" w:pos="440"/>
        </w:tabs>
        <w:rPr>
          <w:rFonts w:eastAsiaTheme="minorEastAsia"/>
          <w:noProof/>
          <w:sz w:val="24"/>
          <w:szCs w:val="24"/>
        </w:rPr>
      </w:pPr>
      <w:hyperlink w:anchor="_Toc508872572" w:history="1">
        <w:r w:rsidR="00F63F94" w:rsidRPr="00803B7C">
          <w:rPr>
            <w:rStyle w:val="Hyperlink"/>
            <w:rFonts w:ascii="Calibri" w:hAnsi="Calibri" w:cs="Calibri"/>
            <w:noProof/>
            <w:sz w:val="24"/>
            <w:szCs w:val="24"/>
          </w:rPr>
          <w:t>2.</w:t>
        </w:r>
        <w:r w:rsidR="00F63F94" w:rsidRPr="00803B7C">
          <w:rPr>
            <w:rFonts w:eastAsiaTheme="minorEastAsia"/>
            <w:noProof/>
            <w:sz w:val="24"/>
            <w:szCs w:val="24"/>
          </w:rPr>
          <w:tab/>
        </w:r>
        <w:r w:rsidR="00F63F94" w:rsidRPr="00803B7C">
          <w:rPr>
            <w:rStyle w:val="Hyperlink"/>
            <w:rFonts w:ascii="Calibri" w:hAnsi="Calibri" w:cs="Calibri"/>
            <w:noProof/>
            <w:sz w:val="24"/>
            <w:szCs w:val="24"/>
          </w:rPr>
          <w:t>Access to Housing for Gay and Lesbian Couples</w:t>
        </w:r>
        <w:r w:rsidR="00F63F94" w:rsidRPr="00803B7C">
          <w:rPr>
            <w:noProof/>
            <w:webHidden/>
            <w:sz w:val="24"/>
            <w:szCs w:val="24"/>
          </w:rPr>
          <w:tab/>
        </w:r>
        <w:r w:rsidR="00F63F94" w:rsidRPr="00803B7C">
          <w:rPr>
            <w:noProof/>
            <w:webHidden/>
            <w:sz w:val="24"/>
            <w:szCs w:val="24"/>
          </w:rPr>
          <w:fldChar w:fldCharType="begin"/>
        </w:r>
        <w:r w:rsidR="00F63F94" w:rsidRPr="00803B7C">
          <w:rPr>
            <w:noProof/>
            <w:webHidden/>
            <w:sz w:val="24"/>
            <w:szCs w:val="24"/>
          </w:rPr>
          <w:instrText xml:space="preserve"> PAGEREF _Toc508872572 \h </w:instrText>
        </w:r>
        <w:r w:rsidR="00F63F94" w:rsidRPr="00803B7C">
          <w:rPr>
            <w:noProof/>
            <w:webHidden/>
            <w:sz w:val="24"/>
            <w:szCs w:val="24"/>
          </w:rPr>
        </w:r>
        <w:r w:rsidR="00F63F94" w:rsidRPr="00803B7C">
          <w:rPr>
            <w:noProof/>
            <w:webHidden/>
            <w:sz w:val="24"/>
            <w:szCs w:val="24"/>
          </w:rPr>
          <w:fldChar w:fldCharType="separate"/>
        </w:r>
        <w:r w:rsidR="0066198F">
          <w:rPr>
            <w:noProof/>
            <w:webHidden/>
            <w:sz w:val="24"/>
            <w:szCs w:val="24"/>
          </w:rPr>
          <w:t>12</w:t>
        </w:r>
        <w:r w:rsidR="00F63F94" w:rsidRPr="00803B7C">
          <w:rPr>
            <w:noProof/>
            <w:webHidden/>
            <w:sz w:val="24"/>
            <w:szCs w:val="24"/>
          </w:rPr>
          <w:fldChar w:fldCharType="end"/>
        </w:r>
      </w:hyperlink>
    </w:p>
    <w:p w14:paraId="772585CE" w14:textId="6324A8DE" w:rsidR="00F63F94" w:rsidRPr="00803B7C" w:rsidRDefault="004F2757" w:rsidP="00F63F94">
      <w:pPr>
        <w:pStyle w:val="TOC2"/>
        <w:tabs>
          <w:tab w:val="left" w:pos="880"/>
          <w:tab w:val="right" w:leader="dot" w:pos="9350"/>
        </w:tabs>
        <w:rPr>
          <w:rFonts w:eastAsiaTheme="minorEastAsia"/>
          <w:noProof/>
          <w:sz w:val="24"/>
          <w:szCs w:val="24"/>
        </w:rPr>
      </w:pPr>
      <w:hyperlink w:anchor="_Toc508872574" w:history="1">
        <w:r w:rsidR="00F63F94" w:rsidRPr="00803B7C">
          <w:rPr>
            <w:rStyle w:val="Hyperlink"/>
            <w:rFonts w:ascii="Calibri" w:hAnsi="Calibri" w:cs="Calibri"/>
            <w:noProof/>
            <w:sz w:val="24"/>
            <w:szCs w:val="24"/>
            <w:lang w:val="en-GB"/>
          </w:rPr>
          <w:t>2.1.</w:t>
        </w:r>
        <w:r w:rsidR="00F63F94" w:rsidRPr="00803B7C">
          <w:rPr>
            <w:rFonts w:eastAsiaTheme="minorEastAsia"/>
            <w:noProof/>
            <w:sz w:val="24"/>
            <w:szCs w:val="24"/>
          </w:rPr>
          <w:tab/>
        </w:r>
        <w:r w:rsidR="00F63F94" w:rsidRPr="00803B7C">
          <w:rPr>
            <w:rStyle w:val="Hyperlink"/>
            <w:rFonts w:ascii="Calibri" w:hAnsi="Calibri" w:cs="Calibri"/>
            <w:noProof/>
            <w:sz w:val="24"/>
            <w:szCs w:val="24"/>
            <w:lang w:val="en-GB"/>
          </w:rPr>
          <w:t>Methodology</w:t>
        </w:r>
        <w:r w:rsidR="00F63F94" w:rsidRPr="00803B7C">
          <w:rPr>
            <w:noProof/>
            <w:webHidden/>
            <w:sz w:val="24"/>
            <w:szCs w:val="24"/>
          </w:rPr>
          <w:tab/>
        </w:r>
        <w:r w:rsidR="00F63F94" w:rsidRPr="00803B7C">
          <w:rPr>
            <w:noProof/>
            <w:webHidden/>
            <w:sz w:val="24"/>
            <w:szCs w:val="24"/>
          </w:rPr>
          <w:fldChar w:fldCharType="begin"/>
        </w:r>
        <w:r w:rsidR="00F63F94" w:rsidRPr="00803B7C">
          <w:rPr>
            <w:noProof/>
            <w:webHidden/>
            <w:sz w:val="24"/>
            <w:szCs w:val="24"/>
          </w:rPr>
          <w:instrText xml:space="preserve"> PAGEREF _Toc508872574 \h </w:instrText>
        </w:r>
        <w:r w:rsidR="00F63F94" w:rsidRPr="00803B7C">
          <w:rPr>
            <w:noProof/>
            <w:webHidden/>
            <w:sz w:val="24"/>
            <w:szCs w:val="24"/>
          </w:rPr>
        </w:r>
        <w:r w:rsidR="00F63F94" w:rsidRPr="00803B7C">
          <w:rPr>
            <w:noProof/>
            <w:webHidden/>
            <w:sz w:val="24"/>
            <w:szCs w:val="24"/>
          </w:rPr>
          <w:fldChar w:fldCharType="separate"/>
        </w:r>
        <w:r w:rsidR="0066198F">
          <w:rPr>
            <w:noProof/>
            <w:webHidden/>
            <w:sz w:val="24"/>
            <w:szCs w:val="24"/>
          </w:rPr>
          <w:t>12</w:t>
        </w:r>
        <w:r w:rsidR="00F63F94" w:rsidRPr="00803B7C">
          <w:rPr>
            <w:noProof/>
            <w:webHidden/>
            <w:sz w:val="24"/>
            <w:szCs w:val="24"/>
          </w:rPr>
          <w:fldChar w:fldCharType="end"/>
        </w:r>
      </w:hyperlink>
    </w:p>
    <w:p w14:paraId="772585CF" w14:textId="142FAF0F" w:rsidR="00F63F94" w:rsidRPr="00803B7C" w:rsidRDefault="004F2757" w:rsidP="00F63F94">
      <w:pPr>
        <w:pStyle w:val="TOC3"/>
        <w:rPr>
          <w:rFonts w:eastAsiaTheme="minorEastAsia"/>
          <w:noProof/>
          <w:sz w:val="24"/>
          <w:szCs w:val="24"/>
        </w:rPr>
      </w:pPr>
      <w:hyperlink w:anchor="_Toc508872575" w:history="1">
        <w:r w:rsidR="00F63F94" w:rsidRPr="00803B7C">
          <w:rPr>
            <w:rStyle w:val="Hyperlink"/>
            <w:rFonts w:ascii="Calibri" w:hAnsi="Calibri" w:cs="Calibri"/>
            <w:noProof/>
            <w:sz w:val="24"/>
            <w:szCs w:val="24"/>
            <w:lang w:val="en-GB"/>
          </w:rPr>
          <w:t>Experimental scenario</w:t>
        </w:r>
        <w:r w:rsidR="00F63F94" w:rsidRPr="00803B7C">
          <w:rPr>
            <w:noProof/>
            <w:webHidden/>
            <w:sz w:val="24"/>
            <w:szCs w:val="24"/>
          </w:rPr>
          <w:tab/>
        </w:r>
        <w:r w:rsidR="00F63F94" w:rsidRPr="00803B7C">
          <w:rPr>
            <w:noProof/>
            <w:webHidden/>
            <w:sz w:val="24"/>
            <w:szCs w:val="24"/>
          </w:rPr>
          <w:fldChar w:fldCharType="begin"/>
        </w:r>
        <w:r w:rsidR="00F63F94" w:rsidRPr="00803B7C">
          <w:rPr>
            <w:noProof/>
            <w:webHidden/>
            <w:sz w:val="24"/>
            <w:szCs w:val="24"/>
          </w:rPr>
          <w:instrText xml:space="preserve"> PAGEREF _Toc508872575 \h </w:instrText>
        </w:r>
        <w:r w:rsidR="00F63F94" w:rsidRPr="00803B7C">
          <w:rPr>
            <w:noProof/>
            <w:webHidden/>
            <w:sz w:val="24"/>
            <w:szCs w:val="24"/>
          </w:rPr>
        </w:r>
        <w:r w:rsidR="00F63F94" w:rsidRPr="00803B7C">
          <w:rPr>
            <w:noProof/>
            <w:webHidden/>
            <w:sz w:val="24"/>
            <w:szCs w:val="24"/>
          </w:rPr>
          <w:fldChar w:fldCharType="separate"/>
        </w:r>
        <w:r w:rsidR="0066198F">
          <w:rPr>
            <w:noProof/>
            <w:webHidden/>
            <w:sz w:val="24"/>
            <w:szCs w:val="24"/>
          </w:rPr>
          <w:t>12</w:t>
        </w:r>
        <w:r w:rsidR="00F63F94" w:rsidRPr="00803B7C">
          <w:rPr>
            <w:noProof/>
            <w:webHidden/>
            <w:sz w:val="24"/>
            <w:szCs w:val="24"/>
          </w:rPr>
          <w:fldChar w:fldCharType="end"/>
        </w:r>
      </w:hyperlink>
    </w:p>
    <w:p w14:paraId="772585D0" w14:textId="462AC6E6" w:rsidR="00F63F94" w:rsidRPr="00803B7C" w:rsidRDefault="004F2757" w:rsidP="00F63F94">
      <w:pPr>
        <w:pStyle w:val="TOC3"/>
        <w:rPr>
          <w:rFonts w:eastAsiaTheme="minorEastAsia"/>
          <w:noProof/>
          <w:sz w:val="24"/>
          <w:szCs w:val="24"/>
        </w:rPr>
      </w:pPr>
      <w:hyperlink w:anchor="_Toc508872576" w:history="1">
        <w:r w:rsidR="00F63F94" w:rsidRPr="00803B7C">
          <w:rPr>
            <w:rStyle w:val="Hyperlink"/>
            <w:rFonts w:ascii="Calibri" w:hAnsi="Calibri" w:cs="Calibri"/>
            <w:noProof/>
            <w:sz w:val="24"/>
            <w:szCs w:val="24"/>
            <w:lang w:val="en-GB"/>
          </w:rPr>
          <w:t>Sampling of Landlords</w:t>
        </w:r>
        <w:r w:rsidR="00F63F94" w:rsidRPr="00803B7C">
          <w:rPr>
            <w:noProof/>
            <w:webHidden/>
            <w:sz w:val="24"/>
            <w:szCs w:val="24"/>
          </w:rPr>
          <w:tab/>
        </w:r>
        <w:r w:rsidR="00F63F94" w:rsidRPr="00803B7C">
          <w:rPr>
            <w:noProof/>
            <w:webHidden/>
            <w:sz w:val="24"/>
            <w:szCs w:val="24"/>
          </w:rPr>
          <w:fldChar w:fldCharType="begin"/>
        </w:r>
        <w:r w:rsidR="00F63F94" w:rsidRPr="00803B7C">
          <w:rPr>
            <w:noProof/>
            <w:webHidden/>
            <w:sz w:val="24"/>
            <w:szCs w:val="24"/>
          </w:rPr>
          <w:instrText xml:space="preserve"> PAGEREF _Toc508872576 \h </w:instrText>
        </w:r>
        <w:r w:rsidR="00F63F94" w:rsidRPr="00803B7C">
          <w:rPr>
            <w:noProof/>
            <w:webHidden/>
            <w:sz w:val="24"/>
            <w:szCs w:val="24"/>
          </w:rPr>
        </w:r>
        <w:r w:rsidR="00F63F94" w:rsidRPr="00803B7C">
          <w:rPr>
            <w:noProof/>
            <w:webHidden/>
            <w:sz w:val="24"/>
            <w:szCs w:val="24"/>
          </w:rPr>
          <w:fldChar w:fldCharType="separate"/>
        </w:r>
        <w:r w:rsidR="0066198F">
          <w:rPr>
            <w:noProof/>
            <w:webHidden/>
            <w:sz w:val="24"/>
            <w:szCs w:val="24"/>
          </w:rPr>
          <w:t>12</w:t>
        </w:r>
        <w:r w:rsidR="00F63F94" w:rsidRPr="00803B7C">
          <w:rPr>
            <w:noProof/>
            <w:webHidden/>
            <w:sz w:val="24"/>
            <w:szCs w:val="24"/>
          </w:rPr>
          <w:fldChar w:fldCharType="end"/>
        </w:r>
      </w:hyperlink>
    </w:p>
    <w:p w14:paraId="772585D1" w14:textId="67A2B106" w:rsidR="00F63F94" w:rsidRPr="00803B7C" w:rsidRDefault="004F2757" w:rsidP="00F63F94">
      <w:pPr>
        <w:pStyle w:val="TOC3"/>
        <w:rPr>
          <w:rFonts w:eastAsiaTheme="minorEastAsia"/>
          <w:noProof/>
          <w:sz w:val="24"/>
          <w:szCs w:val="24"/>
        </w:rPr>
      </w:pPr>
      <w:hyperlink w:anchor="_Toc508872577" w:history="1">
        <w:r w:rsidR="00F63F94" w:rsidRPr="00803B7C">
          <w:rPr>
            <w:rStyle w:val="Hyperlink"/>
            <w:rFonts w:ascii="Calibri" w:hAnsi="Calibri" w:cs="Calibri"/>
            <w:noProof/>
            <w:sz w:val="24"/>
            <w:szCs w:val="24"/>
            <w:lang w:val="en-GB"/>
          </w:rPr>
          <w:t>Measurement</w:t>
        </w:r>
        <w:r w:rsidR="00F63F94" w:rsidRPr="00803B7C">
          <w:rPr>
            <w:noProof/>
            <w:webHidden/>
            <w:sz w:val="24"/>
            <w:szCs w:val="24"/>
          </w:rPr>
          <w:tab/>
        </w:r>
        <w:r w:rsidR="00F63F94" w:rsidRPr="00803B7C">
          <w:rPr>
            <w:noProof/>
            <w:webHidden/>
            <w:sz w:val="24"/>
            <w:szCs w:val="24"/>
          </w:rPr>
          <w:fldChar w:fldCharType="begin"/>
        </w:r>
        <w:r w:rsidR="00F63F94" w:rsidRPr="00803B7C">
          <w:rPr>
            <w:noProof/>
            <w:webHidden/>
            <w:sz w:val="24"/>
            <w:szCs w:val="24"/>
          </w:rPr>
          <w:instrText xml:space="preserve"> PAGEREF _Toc508872577 \h </w:instrText>
        </w:r>
        <w:r w:rsidR="00F63F94" w:rsidRPr="00803B7C">
          <w:rPr>
            <w:noProof/>
            <w:webHidden/>
            <w:sz w:val="24"/>
            <w:szCs w:val="24"/>
          </w:rPr>
        </w:r>
        <w:r w:rsidR="00F63F94" w:rsidRPr="00803B7C">
          <w:rPr>
            <w:noProof/>
            <w:webHidden/>
            <w:sz w:val="24"/>
            <w:szCs w:val="24"/>
          </w:rPr>
          <w:fldChar w:fldCharType="separate"/>
        </w:r>
        <w:r w:rsidR="0066198F">
          <w:rPr>
            <w:noProof/>
            <w:webHidden/>
            <w:sz w:val="24"/>
            <w:szCs w:val="24"/>
          </w:rPr>
          <w:t>13</w:t>
        </w:r>
        <w:r w:rsidR="00F63F94" w:rsidRPr="00803B7C">
          <w:rPr>
            <w:noProof/>
            <w:webHidden/>
            <w:sz w:val="24"/>
            <w:szCs w:val="24"/>
          </w:rPr>
          <w:fldChar w:fldCharType="end"/>
        </w:r>
      </w:hyperlink>
    </w:p>
    <w:p w14:paraId="772585D2" w14:textId="08239A62" w:rsidR="00F63F94" w:rsidRPr="00803B7C" w:rsidRDefault="004F2757" w:rsidP="00F63F94">
      <w:pPr>
        <w:pStyle w:val="TOC2"/>
        <w:tabs>
          <w:tab w:val="left" w:pos="880"/>
          <w:tab w:val="right" w:leader="dot" w:pos="9350"/>
        </w:tabs>
        <w:rPr>
          <w:rFonts w:eastAsiaTheme="minorEastAsia"/>
          <w:noProof/>
          <w:sz w:val="24"/>
          <w:szCs w:val="24"/>
        </w:rPr>
      </w:pPr>
      <w:hyperlink w:anchor="_Toc508872578" w:history="1">
        <w:r w:rsidR="00F63F94" w:rsidRPr="00803B7C">
          <w:rPr>
            <w:rStyle w:val="Hyperlink"/>
            <w:rFonts w:ascii="Calibri" w:hAnsi="Calibri" w:cs="Calibri"/>
            <w:noProof/>
            <w:sz w:val="24"/>
            <w:szCs w:val="24"/>
          </w:rPr>
          <w:t>2.2.</w:t>
        </w:r>
        <w:r w:rsidR="00F63F94" w:rsidRPr="00803B7C">
          <w:rPr>
            <w:rFonts w:eastAsiaTheme="minorEastAsia"/>
            <w:noProof/>
            <w:sz w:val="24"/>
            <w:szCs w:val="24"/>
          </w:rPr>
          <w:tab/>
        </w:r>
        <w:r w:rsidR="00F63F94" w:rsidRPr="00803B7C">
          <w:rPr>
            <w:rStyle w:val="Hyperlink"/>
            <w:rFonts w:ascii="Calibri" w:hAnsi="Calibri" w:cs="Calibri"/>
            <w:noProof/>
            <w:sz w:val="24"/>
            <w:szCs w:val="24"/>
          </w:rPr>
          <w:t>Results</w:t>
        </w:r>
        <w:r w:rsidR="00F63F94" w:rsidRPr="00803B7C">
          <w:rPr>
            <w:noProof/>
            <w:webHidden/>
            <w:sz w:val="24"/>
            <w:szCs w:val="24"/>
          </w:rPr>
          <w:tab/>
        </w:r>
        <w:r w:rsidR="00F63F94" w:rsidRPr="00803B7C">
          <w:rPr>
            <w:noProof/>
            <w:webHidden/>
            <w:sz w:val="24"/>
            <w:szCs w:val="24"/>
          </w:rPr>
          <w:fldChar w:fldCharType="begin"/>
        </w:r>
        <w:r w:rsidR="00F63F94" w:rsidRPr="00803B7C">
          <w:rPr>
            <w:noProof/>
            <w:webHidden/>
            <w:sz w:val="24"/>
            <w:szCs w:val="24"/>
          </w:rPr>
          <w:instrText xml:space="preserve"> PAGEREF _Toc508872578 \h </w:instrText>
        </w:r>
        <w:r w:rsidR="00F63F94" w:rsidRPr="00803B7C">
          <w:rPr>
            <w:noProof/>
            <w:webHidden/>
            <w:sz w:val="24"/>
            <w:szCs w:val="24"/>
          </w:rPr>
        </w:r>
        <w:r w:rsidR="00F63F94" w:rsidRPr="00803B7C">
          <w:rPr>
            <w:noProof/>
            <w:webHidden/>
            <w:sz w:val="24"/>
            <w:szCs w:val="24"/>
          </w:rPr>
          <w:fldChar w:fldCharType="separate"/>
        </w:r>
        <w:r w:rsidR="0066198F">
          <w:rPr>
            <w:noProof/>
            <w:webHidden/>
            <w:sz w:val="24"/>
            <w:szCs w:val="24"/>
          </w:rPr>
          <w:t>13</w:t>
        </w:r>
        <w:r w:rsidR="00F63F94" w:rsidRPr="00803B7C">
          <w:rPr>
            <w:noProof/>
            <w:webHidden/>
            <w:sz w:val="24"/>
            <w:szCs w:val="24"/>
          </w:rPr>
          <w:fldChar w:fldCharType="end"/>
        </w:r>
      </w:hyperlink>
    </w:p>
    <w:p w14:paraId="772585D3" w14:textId="1782F021" w:rsidR="00F63F94" w:rsidRPr="00803B7C" w:rsidRDefault="004F2757" w:rsidP="00F63F94">
      <w:pPr>
        <w:pStyle w:val="TOC3"/>
        <w:rPr>
          <w:rFonts w:eastAsiaTheme="minorEastAsia"/>
          <w:noProof/>
          <w:sz w:val="24"/>
          <w:szCs w:val="24"/>
        </w:rPr>
      </w:pPr>
      <w:hyperlink w:anchor="_Toc508872579" w:history="1">
        <w:r w:rsidR="00F63F94" w:rsidRPr="00803B7C">
          <w:rPr>
            <w:rStyle w:val="Hyperlink"/>
            <w:rFonts w:ascii="Calibri" w:hAnsi="Calibri" w:cs="Calibri"/>
            <w:noProof/>
            <w:sz w:val="24"/>
            <w:szCs w:val="24"/>
            <w:lang w:val="en-GB"/>
          </w:rPr>
          <w:t>Same-sex couples face discrimination when renting apartments</w:t>
        </w:r>
        <w:r w:rsidR="00F63F94" w:rsidRPr="00803B7C">
          <w:rPr>
            <w:noProof/>
            <w:webHidden/>
            <w:sz w:val="24"/>
            <w:szCs w:val="24"/>
          </w:rPr>
          <w:tab/>
        </w:r>
        <w:r w:rsidR="00F63F94" w:rsidRPr="00803B7C">
          <w:rPr>
            <w:noProof/>
            <w:webHidden/>
            <w:sz w:val="24"/>
            <w:szCs w:val="24"/>
          </w:rPr>
          <w:fldChar w:fldCharType="begin"/>
        </w:r>
        <w:r w:rsidR="00F63F94" w:rsidRPr="00803B7C">
          <w:rPr>
            <w:noProof/>
            <w:webHidden/>
            <w:sz w:val="24"/>
            <w:szCs w:val="24"/>
          </w:rPr>
          <w:instrText xml:space="preserve"> PAGEREF _Toc508872579 \h </w:instrText>
        </w:r>
        <w:r w:rsidR="00F63F94" w:rsidRPr="00803B7C">
          <w:rPr>
            <w:noProof/>
            <w:webHidden/>
            <w:sz w:val="24"/>
            <w:szCs w:val="24"/>
          </w:rPr>
        </w:r>
        <w:r w:rsidR="00F63F94" w:rsidRPr="00803B7C">
          <w:rPr>
            <w:noProof/>
            <w:webHidden/>
            <w:sz w:val="24"/>
            <w:szCs w:val="24"/>
          </w:rPr>
          <w:fldChar w:fldCharType="separate"/>
        </w:r>
        <w:r w:rsidR="0066198F">
          <w:rPr>
            <w:noProof/>
            <w:webHidden/>
            <w:sz w:val="24"/>
            <w:szCs w:val="24"/>
          </w:rPr>
          <w:t>13</w:t>
        </w:r>
        <w:r w:rsidR="00F63F94" w:rsidRPr="00803B7C">
          <w:rPr>
            <w:noProof/>
            <w:webHidden/>
            <w:sz w:val="24"/>
            <w:szCs w:val="24"/>
          </w:rPr>
          <w:fldChar w:fldCharType="end"/>
        </w:r>
      </w:hyperlink>
    </w:p>
    <w:p w14:paraId="772585D4" w14:textId="42CCE7D4" w:rsidR="00F63F94" w:rsidRPr="00803B7C" w:rsidRDefault="004F2757" w:rsidP="00F63F94">
      <w:pPr>
        <w:pStyle w:val="TOC3"/>
        <w:rPr>
          <w:rFonts w:eastAsiaTheme="minorEastAsia"/>
          <w:noProof/>
          <w:sz w:val="24"/>
          <w:szCs w:val="24"/>
        </w:rPr>
      </w:pPr>
      <w:hyperlink w:anchor="_Toc508872580" w:history="1">
        <w:r w:rsidR="00F63F94" w:rsidRPr="00803B7C">
          <w:rPr>
            <w:rStyle w:val="Hyperlink"/>
            <w:rFonts w:ascii="Calibri" w:hAnsi="Calibri" w:cs="Calibri"/>
            <w:noProof/>
            <w:sz w:val="24"/>
            <w:szCs w:val="24"/>
            <w:lang w:val="en-GB"/>
          </w:rPr>
          <w:t>Gay couples face more discrimination than lesbian couples</w:t>
        </w:r>
        <w:r w:rsidR="00F63F94" w:rsidRPr="00803B7C">
          <w:rPr>
            <w:noProof/>
            <w:webHidden/>
            <w:sz w:val="24"/>
            <w:szCs w:val="24"/>
          </w:rPr>
          <w:tab/>
        </w:r>
        <w:r w:rsidR="00F63F94" w:rsidRPr="00803B7C">
          <w:rPr>
            <w:noProof/>
            <w:webHidden/>
            <w:sz w:val="24"/>
            <w:szCs w:val="24"/>
          </w:rPr>
          <w:fldChar w:fldCharType="begin"/>
        </w:r>
        <w:r w:rsidR="00F63F94" w:rsidRPr="00803B7C">
          <w:rPr>
            <w:noProof/>
            <w:webHidden/>
            <w:sz w:val="24"/>
            <w:szCs w:val="24"/>
          </w:rPr>
          <w:instrText xml:space="preserve"> PAGEREF _Toc508872580 \h </w:instrText>
        </w:r>
        <w:r w:rsidR="00F63F94" w:rsidRPr="00803B7C">
          <w:rPr>
            <w:noProof/>
            <w:webHidden/>
            <w:sz w:val="24"/>
            <w:szCs w:val="24"/>
          </w:rPr>
        </w:r>
        <w:r w:rsidR="00F63F94" w:rsidRPr="00803B7C">
          <w:rPr>
            <w:noProof/>
            <w:webHidden/>
            <w:sz w:val="24"/>
            <w:szCs w:val="24"/>
          </w:rPr>
          <w:fldChar w:fldCharType="separate"/>
        </w:r>
        <w:r w:rsidR="0066198F">
          <w:rPr>
            <w:noProof/>
            <w:webHidden/>
            <w:sz w:val="24"/>
            <w:szCs w:val="24"/>
          </w:rPr>
          <w:t>14</w:t>
        </w:r>
        <w:r w:rsidR="00F63F94" w:rsidRPr="00803B7C">
          <w:rPr>
            <w:noProof/>
            <w:webHidden/>
            <w:sz w:val="24"/>
            <w:szCs w:val="24"/>
          </w:rPr>
          <w:fldChar w:fldCharType="end"/>
        </w:r>
      </w:hyperlink>
    </w:p>
    <w:p w14:paraId="772585D5" w14:textId="2E431136" w:rsidR="00F63F94" w:rsidRPr="00803B7C" w:rsidRDefault="004F2757" w:rsidP="00F63F94">
      <w:pPr>
        <w:pStyle w:val="TOC3"/>
        <w:rPr>
          <w:rFonts w:eastAsiaTheme="minorEastAsia"/>
          <w:noProof/>
          <w:sz w:val="24"/>
          <w:szCs w:val="24"/>
        </w:rPr>
      </w:pPr>
      <w:hyperlink w:anchor="_Toc508872581" w:history="1">
        <w:r w:rsidR="00F63F94" w:rsidRPr="00803B7C">
          <w:rPr>
            <w:rStyle w:val="Hyperlink"/>
            <w:rFonts w:ascii="Calibri" w:hAnsi="Calibri" w:cs="Calibri"/>
            <w:noProof/>
            <w:sz w:val="24"/>
            <w:szCs w:val="24"/>
            <w:lang w:val="en-GB"/>
          </w:rPr>
          <w:t>Male landlords discriminate more against gay couples than female landlords</w:t>
        </w:r>
        <w:r w:rsidR="00F63F94" w:rsidRPr="00803B7C">
          <w:rPr>
            <w:noProof/>
            <w:webHidden/>
            <w:sz w:val="24"/>
            <w:szCs w:val="24"/>
          </w:rPr>
          <w:tab/>
        </w:r>
        <w:r w:rsidR="00F63F94" w:rsidRPr="00803B7C">
          <w:rPr>
            <w:noProof/>
            <w:webHidden/>
            <w:sz w:val="24"/>
            <w:szCs w:val="24"/>
          </w:rPr>
          <w:fldChar w:fldCharType="begin"/>
        </w:r>
        <w:r w:rsidR="00F63F94" w:rsidRPr="00803B7C">
          <w:rPr>
            <w:noProof/>
            <w:webHidden/>
            <w:sz w:val="24"/>
            <w:szCs w:val="24"/>
          </w:rPr>
          <w:instrText xml:space="preserve"> PAGEREF _Toc508872581 \h </w:instrText>
        </w:r>
        <w:r w:rsidR="00F63F94" w:rsidRPr="00803B7C">
          <w:rPr>
            <w:noProof/>
            <w:webHidden/>
            <w:sz w:val="24"/>
            <w:szCs w:val="24"/>
          </w:rPr>
        </w:r>
        <w:r w:rsidR="00F63F94" w:rsidRPr="00803B7C">
          <w:rPr>
            <w:noProof/>
            <w:webHidden/>
            <w:sz w:val="24"/>
            <w:szCs w:val="24"/>
          </w:rPr>
          <w:fldChar w:fldCharType="separate"/>
        </w:r>
        <w:r w:rsidR="0066198F">
          <w:rPr>
            <w:noProof/>
            <w:webHidden/>
            <w:sz w:val="24"/>
            <w:szCs w:val="24"/>
          </w:rPr>
          <w:t>15</w:t>
        </w:r>
        <w:r w:rsidR="00F63F94" w:rsidRPr="00803B7C">
          <w:rPr>
            <w:noProof/>
            <w:webHidden/>
            <w:sz w:val="24"/>
            <w:szCs w:val="24"/>
          </w:rPr>
          <w:fldChar w:fldCharType="end"/>
        </w:r>
      </w:hyperlink>
    </w:p>
    <w:p w14:paraId="772585D6" w14:textId="11F1C8F9" w:rsidR="00F63F94" w:rsidRPr="00803B7C" w:rsidRDefault="004F2757" w:rsidP="00F63F94">
      <w:pPr>
        <w:pStyle w:val="TOC3"/>
        <w:rPr>
          <w:rFonts w:eastAsiaTheme="minorEastAsia"/>
          <w:noProof/>
          <w:sz w:val="24"/>
          <w:szCs w:val="24"/>
        </w:rPr>
      </w:pPr>
      <w:hyperlink w:anchor="_Toc508872582" w:history="1">
        <w:r w:rsidR="00F63F94" w:rsidRPr="00803B7C">
          <w:rPr>
            <w:rStyle w:val="Hyperlink"/>
            <w:rFonts w:ascii="Calibri" w:hAnsi="Calibri" w:cs="Calibri"/>
            <w:noProof/>
            <w:sz w:val="24"/>
            <w:szCs w:val="24"/>
            <w:lang w:val="en-GB"/>
          </w:rPr>
          <w:t>Homophobia was Openly Expressed by Many Landlords</w:t>
        </w:r>
        <w:r w:rsidR="00F63F94" w:rsidRPr="00803B7C">
          <w:rPr>
            <w:noProof/>
            <w:webHidden/>
            <w:sz w:val="24"/>
            <w:szCs w:val="24"/>
          </w:rPr>
          <w:tab/>
        </w:r>
        <w:r w:rsidR="00F63F94" w:rsidRPr="00803B7C">
          <w:rPr>
            <w:noProof/>
            <w:webHidden/>
            <w:sz w:val="24"/>
            <w:szCs w:val="24"/>
          </w:rPr>
          <w:fldChar w:fldCharType="begin"/>
        </w:r>
        <w:r w:rsidR="00F63F94" w:rsidRPr="00803B7C">
          <w:rPr>
            <w:noProof/>
            <w:webHidden/>
            <w:sz w:val="24"/>
            <w:szCs w:val="24"/>
          </w:rPr>
          <w:instrText xml:space="preserve"> PAGEREF _Toc508872582 \h </w:instrText>
        </w:r>
        <w:r w:rsidR="00F63F94" w:rsidRPr="00803B7C">
          <w:rPr>
            <w:noProof/>
            <w:webHidden/>
            <w:sz w:val="24"/>
            <w:szCs w:val="24"/>
          </w:rPr>
        </w:r>
        <w:r w:rsidR="00F63F94" w:rsidRPr="00803B7C">
          <w:rPr>
            <w:noProof/>
            <w:webHidden/>
            <w:sz w:val="24"/>
            <w:szCs w:val="24"/>
          </w:rPr>
          <w:fldChar w:fldCharType="separate"/>
        </w:r>
        <w:r w:rsidR="0066198F">
          <w:rPr>
            <w:noProof/>
            <w:webHidden/>
            <w:sz w:val="24"/>
            <w:szCs w:val="24"/>
          </w:rPr>
          <w:t>15</w:t>
        </w:r>
        <w:r w:rsidR="00F63F94" w:rsidRPr="00803B7C">
          <w:rPr>
            <w:noProof/>
            <w:webHidden/>
            <w:sz w:val="24"/>
            <w:szCs w:val="24"/>
          </w:rPr>
          <w:fldChar w:fldCharType="end"/>
        </w:r>
      </w:hyperlink>
    </w:p>
    <w:p w14:paraId="772585D7" w14:textId="39FAEE19" w:rsidR="00F63F94" w:rsidRPr="00803B7C" w:rsidRDefault="004F2757" w:rsidP="00F63F94">
      <w:pPr>
        <w:pStyle w:val="TOC1"/>
        <w:tabs>
          <w:tab w:val="left" w:pos="440"/>
        </w:tabs>
        <w:rPr>
          <w:rFonts w:eastAsiaTheme="minorEastAsia"/>
          <w:noProof/>
          <w:sz w:val="24"/>
          <w:szCs w:val="24"/>
        </w:rPr>
      </w:pPr>
      <w:hyperlink w:anchor="_Toc508872583" w:history="1">
        <w:r w:rsidR="00F63F94" w:rsidRPr="00803B7C">
          <w:rPr>
            <w:rStyle w:val="Hyperlink"/>
            <w:rFonts w:ascii="Calibri" w:hAnsi="Calibri" w:cs="Calibri"/>
            <w:noProof/>
            <w:sz w:val="24"/>
            <w:szCs w:val="24"/>
            <w:lang w:val="en"/>
          </w:rPr>
          <w:t>3.</w:t>
        </w:r>
        <w:r w:rsidR="00F63F94" w:rsidRPr="00803B7C">
          <w:rPr>
            <w:rFonts w:eastAsiaTheme="minorEastAsia"/>
            <w:noProof/>
            <w:sz w:val="24"/>
            <w:szCs w:val="24"/>
          </w:rPr>
          <w:tab/>
        </w:r>
        <w:r w:rsidR="00F63F94" w:rsidRPr="00803B7C">
          <w:rPr>
            <w:rStyle w:val="Hyperlink"/>
            <w:rFonts w:ascii="Calibri" w:hAnsi="Calibri" w:cs="Calibri"/>
            <w:noProof/>
            <w:sz w:val="24"/>
            <w:szCs w:val="24"/>
          </w:rPr>
          <w:t>Conclusion</w:t>
        </w:r>
        <w:r w:rsidR="00F63F94" w:rsidRPr="00803B7C">
          <w:rPr>
            <w:noProof/>
            <w:webHidden/>
            <w:sz w:val="24"/>
            <w:szCs w:val="24"/>
          </w:rPr>
          <w:tab/>
        </w:r>
        <w:r w:rsidR="00F63F94" w:rsidRPr="00803B7C">
          <w:rPr>
            <w:noProof/>
            <w:webHidden/>
            <w:sz w:val="24"/>
            <w:szCs w:val="24"/>
          </w:rPr>
          <w:fldChar w:fldCharType="begin"/>
        </w:r>
        <w:r w:rsidR="00F63F94" w:rsidRPr="00803B7C">
          <w:rPr>
            <w:noProof/>
            <w:webHidden/>
            <w:sz w:val="24"/>
            <w:szCs w:val="24"/>
          </w:rPr>
          <w:instrText xml:space="preserve"> PAGEREF _Toc508872583 \h </w:instrText>
        </w:r>
        <w:r w:rsidR="00F63F94" w:rsidRPr="00803B7C">
          <w:rPr>
            <w:noProof/>
            <w:webHidden/>
            <w:sz w:val="24"/>
            <w:szCs w:val="24"/>
          </w:rPr>
        </w:r>
        <w:r w:rsidR="00F63F94" w:rsidRPr="00803B7C">
          <w:rPr>
            <w:noProof/>
            <w:webHidden/>
            <w:sz w:val="24"/>
            <w:szCs w:val="24"/>
          </w:rPr>
          <w:fldChar w:fldCharType="separate"/>
        </w:r>
        <w:r w:rsidR="0066198F">
          <w:rPr>
            <w:noProof/>
            <w:webHidden/>
            <w:sz w:val="24"/>
            <w:szCs w:val="24"/>
          </w:rPr>
          <w:t>17</w:t>
        </w:r>
        <w:r w:rsidR="00F63F94" w:rsidRPr="00803B7C">
          <w:rPr>
            <w:noProof/>
            <w:webHidden/>
            <w:sz w:val="24"/>
            <w:szCs w:val="24"/>
          </w:rPr>
          <w:fldChar w:fldCharType="end"/>
        </w:r>
      </w:hyperlink>
    </w:p>
    <w:p w14:paraId="772585D8" w14:textId="3FCA4DAF" w:rsidR="00F63F94" w:rsidRPr="00803B7C" w:rsidRDefault="004F2757" w:rsidP="00F63F94">
      <w:pPr>
        <w:pStyle w:val="TOC2"/>
        <w:tabs>
          <w:tab w:val="right" w:leader="dot" w:pos="9350"/>
        </w:tabs>
        <w:rPr>
          <w:rFonts w:eastAsiaTheme="minorEastAsia"/>
          <w:noProof/>
          <w:sz w:val="24"/>
          <w:szCs w:val="24"/>
        </w:rPr>
      </w:pPr>
      <w:hyperlink w:anchor="_Toc508872584" w:history="1">
        <w:r w:rsidR="00F63F94" w:rsidRPr="00803B7C">
          <w:rPr>
            <w:rStyle w:val="Hyperlink"/>
            <w:rFonts w:ascii="Calibri" w:hAnsi="Calibri" w:cs="Calibri"/>
            <w:noProof/>
            <w:sz w:val="24"/>
            <w:szCs w:val="24"/>
          </w:rPr>
          <w:t>Avenues for Further Research</w:t>
        </w:r>
        <w:r w:rsidR="00F63F94" w:rsidRPr="00803B7C">
          <w:rPr>
            <w:noProof/>
            <w:webHidden/>
            <w:sz w:val="24"/>
            <w:szCs w:val="24"/>
          </w:rPr>
          <w:tab/>
        </w:r>
        <w:r w:rsidR="00F63F94" w:rsidRPr="00803B7C">
          <w:rPr>
            <w:noProof/>
            <w:webHidden/>
            <w:sz w:val="24"/>
            <w:szCs w:val="24"/>
          </w:rPr>
          <w:fldChar w:fldCharType="begin"/>
        </w:r>
        <w:r w:rsidR="00F63F94" w:rsidRPr="00803B7C">
          <w:rPr>
            <w:noProof/>
            <w:webHidden/>
            <w:sz w:val="24"/>
            <w:szCs w:val="24"/>
          </w:rPr>
          <w:instrText xml:space="preserve"> PAGEREF _Toc508872584 \h </w:instrText>
        </w:r>
        <w:r w:rsidR="00F63F94" w:rsidRPr="00803B7C">
          <w:rPr>
            <w:noProof/>
            <w:webHidden/>
            <w:sz w:val="24"/>
            <w:szCs w:val="24"/>
          </w:rPr>
        </w:r>
        <w:r w:rsidR="00F63F94" w:rsidRPr="00803B7C">
          <w:rPr>
            <w:noProof/>
            <w:webHidden/>
            <w:sz w:val="24"/>
            <w:szCs w:val="24"/>
          </w:rPr>
          <w:fldChar w:fldCharType="separate"/>
        </w:r>
        <w:r w:rsidR="0066198F">
          <w:rPr>
            <w:noProof/>
            <w:webHidden/>
            <w:sz w:val="24"/>
            <w:szCs w:val="24"/>
          </w:rPr>
          <w:t>17</w:t>
        </w:r>
        <w:r w:rsidR="00F63F94" w:rsidRPr="00803B7C">
          <w:rPr>
            <w:noProof/>
            <w:webHidden/>
            <w:sz w:val="24"/>
            <w:szCs w:val="24"/>
          </w:rPr>
          <w:fldChar w:fldCharType="end"/>
        </w:r>
      </w:hyperlink>
    </w:p>
    <w:p w14:paraId="772585D9" w14:textId="2806D93C" w:rsidR="00F63F94" w:rsidRPr="00803B7C" w:rsidRDefault="004F2757" w:rsidP="00F63F94">
      <w:pPr>
        <w:pStyle w:val="TOC2"/>
        <w:tabs>
          <w:tab w:val="right" w:leader="dot" w:pos="9350"/>
        </w:tabs>
        <w:rPr>
          <w:rFonts w:eastAsiaTheme="minorEastAsia"/>
          <w:noProof/>
          <w:sz w:val="24"/>
          <w:szCs w:val="24"/>
        </w:rPr>
      </w:pPr>
      <w:hyperlink w:anchor="_Toc508872585" w:history="1">
        <w:r w:rsidR="00F63F94" w:rsidRPr="00803B7C">
          <w:rPr>
            <w:rStyle w:val="Hyperlink"/>
            <w:rFonts w:ascii="Calibri" w:hAnsi="Calibri" w:cs="Calibri"/>
            <w:noProof/>
            <w:sz w:val="24"/>
            <w:szCs w:val="24"/>
          </w:rPr>
          <w:t>Policy Considerations</w:t>
        </w:r>
        <w:r w:rsidR="00F63F94" w:rsidRPr="00803B7C">
          <w:rPr>
            <w:noProof/>
            <w:webHidden/>
            <w:sz w:val="24"/>
            <w:szCs w:val="24"/>
          </w:rPr>
          <w:tab/>
        </w:r>
        <w:r w:rsidR="00F63F94" w:rsidRPr="00803B7C">
          <w:rPr>
            <w:noProof/>
            <w:webHidden/>
            <w:sz w:val="24"/>
            <w:szCs w:val="24"/>
          </w:rPr>
          <w:fldChar w:fldCharType="begin"/>
        </w:r>
        <w:r w:rsidR="00F63F94" w:rsidRPr="00803B7C">
          <w:rPr>
            <w:noProof/>
            <w:webHidden/>
            <w:sz w:val="24"/>
            <w:szCs w:val="24"/>
          </w:rPr>
          <w:instrText xml:space="preserve"> PAGEREF _Toc508872585 \h </w:instrText>
        </w:r>
        <w:r w:rsidR="00F63F94" w:rsidRPr="00803B7C">
          <w:rPr>
            <w:noProof/>
            <w:webHidden/>
            <w:sz w:val="24"/>
            <w:szCs w:val="24"/>
          </w:rPr>
        </w:r>
        <w:r w:rsidR="00F63F94" w:rsidRPr="00803B7C">
          <w:rPr>
            <w:noProof/>
            <w:webHidden/>
            <w:sz w:val="24"/>
            <w:szCs w:val="24"/>
          </w:rPr>
          <w:fldChar w:fldCharType="separate"/>
        </w:r>
        <w:r w:rsidR="0066198F">
          <w:rPr>
            <w:noProof/>
            <w:webHidden/>
            <w:sz w:val="24"/>
            <w:szCs w:val="24"/>
          </w:rPr>
          <w:t>18</w:t>
        </w:r>
        <w:r w:rsidR="00F63F94" w:rsidRPr="00803B7C">
          <w:rPr>
            <w:noProof/>
            <w:webHidden/>
            <w:sz w:val="24"/>
            <w:szCs w:val="24"/>
          </w:rPr>
          <w:fldChar w:fldCharType="end"/>
        </w:r>
      </w:hyperlink>
    </w:p>
    <w:p w14:paraId="772585DA" w14:textId="0FBF5B7B" w:rsidR="00F63F94" w:rsidRPr="00803B7C" w:rsidRDefault="004F2757" w:rsidP="00F63F94">
      <w:pPr>
        <w:pStyle w:val="TOC1"/>
        <w:rPr>
          <w:rFonts w:eastAsiaTheme="minorEastAsia"/>
          <w:noProof/>
          <w:sz w:val="24"/>
          <w:szCs w:val="24"/>
        </w:rPr>
      </w:pPr>
      <w:hyperlink w:anchor="_Toc508872586" w:history="1">
        <w:r w:rsidR="00F63F94" w:rsidRPr="00803B7C">
          <w:rPr>
            <w:rStyle w:val="Hyperlink"/>
            <w:rFonts w:ascii="Calibri" w:hAnsi="Calibri" w:cs="Calibri"/>
            <w:noProof/>
            <w:sz w:val="24"/>
            <w:szCs w:val="24"/>
          </w:rPr>
          <w:t>ANNEX I: Detailed Methodology</w:t>
        </w:r>
        <w:r w:rsidR="00F63F94" w:rsidRPr="00803B7C">
          <w:rPr>
            <w:noProof/>
            <w:webHidden/>
            <w:sz w:val="24"/>
            <w:szCs w:val="24"/>
          </w:rPr>
          <w:tab/>
        </w:r>
        <w:r w:rsidR="00F63F94" w:rsidRPr="00803B7C">
          <w:rPr>
            <w:noProof/>
            <w:webHidden/>
            <w:sz w:val="24"/>
            <w:szCs w:val="24"/>
          </w:rPr>
          <w:fldChar w:fldCharType="begin"/>
        </w:r>
        <w:r w:rsidR="00F63F94" w:rsidRPr="00803B7C">
          <w:rPr>
            <w:noProof/>
            <w:webHidden/>
            <w:sz w:val="24"/>
            <w:szCs w:val="24"/>
          </w:rPr>
          <w:instrText xml:space="preserve"> PAGEREF _Toc508872586 \h </w:instrText>
        </w:r>
        <w:r w:rsidR="00F63F94" w:rsidRPr="00803B7C">
          <w:rPr>
            <w:noProof/>
            <w:webHidden/>
            <w:sz w:val="24"/>
            <w:szCs w:val="24"/>
          </w:rPr>
        </w:r>
        <w:r w:rsidR="00F63F94" w:rsidRPr="00803B7C">
          <w:rPr>
            <w:noProof/>
            <w:webHidden/>
            <w:sz w:val="24"/>
            <w:szCs w:val="24"/>
          </w:rPr>
          <w:fldChar w:fldCharType="separate"/>
        </w:r>
        <w:r w:rsidR="0066198F">
          <w:rPr>
            <w:noProof/>
            <w:webHidden/>
            <w:sz w:val="24"/>
            <w:szCs w:val="24"/>
          </w:rPr>
          <w:t>20</w:t>
        </w:r>
        <w:r w:rsidR="00F63F94" w:rsidRPr="00803B7C">
          <w:rPr>
            <w:noProof/>
            <w:webHidden/>
            <w:sz w:val="24"/>
            <w:szCs w:val="24"/>
          </w:rPr>
          <w:fldChar w:fldCharType="end"/>
        </w:r>
      </w:hyperlink>
    </w:p>
    <w:p w14:paraId="772585DB" w14:textId="1D31FFB0" w:rsidR="00F63F94" w:rsidRPr="00803B7C" w:rsidRDefault="004F2757" w:rsidP="00F63F94">
      <w:pPr>
        <w:pStyle w:val="TOC2"/>
        <w:tabs>
          <w:tab w:val="right" w:leader="dot" w:pos="9350"/>
        </w:tabs>
        <w:rPr>
          <w:rFonts w:eastAsiaTheme="minorEastAsia"/>
          <w:noProof/>
          <w:sz w:val="24"/>
          <w:szCs w:val="24"/>
        </w:rPr>
      </w:pPr>
      <w:hyperlink w:anchor="_Toc508872587" w:history="1">
        <w:r w:rsidR="00F63F94" w:rsidRPr="00803B7C">
          <w:rPr>
            <w:rStyle w:val="Hyperlink"/>
            <w:rFonts w:ascii="Calibri" w:hAnsi="Calibri" w:cs="Calibri"/>
            <w:noProof/>
            <w:sz w:val="24"/>
            <w:szCs w:val="24"/>
          </w:rPr>
          <w:t>Education Experiment</w:t>
        </w:r>
        <w:r w:rsidR="00F63F94" w:rsidRPr="00803B7C">
          <w:rPr>
            <w:noProof/>
            <w:webHidden/>
            <w:sz w:val="24"/>
            <w:szCs w:val="24"/>
          </w:rPr>
          <w:tab/>
        </w:r>
        <w:r w:rsidR="00F63F94" w:rsidRPr="00803B7C">
          <w:rPr>
            <w:noProof/>
            <w:webHidden/>
            <w:sz w:val="24"/>
            <w:szCs w:val="24"/>
          </w:rPr>
          <w:fldChar w:fldCharType="begin"/>
        </w:r>
        <w:r w:rsidR="00F63F94" w:rsidRPr="00803B7C">
          <w:rPr>
            <w:noProof/>
            <w:webHidden/>
            <w:sz w:val="24"/>
            <w:szCs w:val="24"/>
          </w:rPr>
          <w:instrText xml:space="preserve"> PAGEREF _Toc508872587 \h </w:instrText>
        </w:r>
        <w:r w:rsidR="00F63F94" w:rsidRPr="00803B7C">
          <w:rPr>
            <w:noProof/>
            <w:webHidden/>
            <w:sz w:val="24"/>
            <w:szCs w:val="24"/>
          </w:rPr>
        </w:r>
        <w:r w:rsidR="00F63F94" w:rsidRPr="00803B7C">
          <w:rPr>
            <w:noProof/>
            <w:webHidden/>
            <w:sz w:val="24"/>
            <w:szCs w:val="24"/>
          </w:rPr>
          <w:fldChar w:fldCharType="separate"/>
        </w:r>
        <w:r w:rsidR="0066198F">
          <w:rPr>
            <w:noProof/>
            <w:webHidden/>
            <w:sz w:val="24"/>
            <w:szCs w:val="24"/>
          </w:rPr>
          <w:t>20</w:t>
        </w:r>
        <w:r w:rsidR="00F63F94" w:rsidRPr="00803B7C">
          <w:rPr>
            <w:noProof/>
            <w:webHidden/>
            <w:sz w:val="24"/>
            <w:szCs w:val="24"/>
          </w:rPr>
          <w:fldChar w:fldCharType="end"/>
        </w:r>
      </w:hyperlink>
    </w:p>
    <w:p w14:paraId="772585DC" w14:textId="600B9F7B" w:rsidR="00F63F94" w:rsidRPr="00803B7C" w:rsidRDefault="004F2757" w:rsidP="00F63F94">
      <w:pPr>
        <w:pStyle w:val="TOC2"/>
        <w:tabs>
          <w:tab w:val="right" w:leader="dot" w:pos="9350"/>
        </w:tabs>
        <w:rPr>
          <w:rFonts w:eastAsiaTheme="minorEastAsia"/>
          <w:noProof/>
          <w:sz w:val="24"/>
          <w:szCs w:val="24"/>
        </w:rPr>
      </w:pPr>
      <w:hyperlink w:anchor="_Toc508872588" w:history="1">
        <w:r w:rsidR="00F63F94" w:rsidRPr="00803B7C">
          <w:rPr>
            <w:rStyle w:val="Hyperlink"/>
            <w:noProof/>
            <w:sz w:val="24"/>
            <w:szCs w:val="24"/>
          </w:rPr>
          <w:t>Renting Experiment</w:t>
        </w:r>
        <w:r w:rsidR="00F63F94" w:rsidRPr="00803B7C">
          <w:rPr>
            <w:noProof/>
            <w:webHidden/>
            <w:sz w:val="24"/>
            <w:szCs w:val="24"/>
          </w:rPr>
          <w:tab/>
        </w:r>
        <w:r w:rsidR="00F63F94" w:rsidRPr="00803B7C">
          <w:rPr>
            <w:noProof/>
            <w:webHidden/>
            <w:sz w:val="24"/>
            <w:szCs w:val="24"/>
          </w:rPr>
          <w:fldChar w:fldCharType="begin"/>
        </w:r>
        <w:r w:rsidR="00F63F94" w:rsidRPr="00803B7C">
          <w:rPr>
            <w:noProof/>
            <w:webHidden/>
            <w:sz w:val="24"/>
            <w:szCs w:val="24"/>
          </w:rPr>
          <w:instrText xml:space="preserve"> PAGEREF _Toc508872588 \h </w:instrText>
        </w:r>
        <w:r w:rsidR="00F63F94" w:rsidRPr="00803B7C">
          <w:rPr>
            <w:noProof/>
            <w:webHidden/>
            <w:sz w:val="24"/>
            <w:szCs w:val="24"/>
          </w:rPr>
        </w:r>
        <w:r w:rsidR="00F63F94" w:rsidRPr="00803B7C">
          <w:rPr>
            <w:noProof/>
            <w:webHidden/>
            <w:sz w:val="24"/>
            <w:szCs w:val="24"/>
          </w:rPr>
          <w:fldChar w:fldCharType="separate"/>
        </w:r>
        <w:r w:rsidR="0066198F">
          <w:rPr>
            <w:noProof/>
            <w:webHidden/>
            <w:sz w:val="24"/>
            <w:szCs w:val="24"/>
          </w:rPr>
          <w:t>23</w:t>
        </w:r>
        <w:r w:rsidR="00F63F94" w:rsidRPr="00803B7C">
          <w:rPr>
            <w:noProof/>
            <w:webHidden/>
            <w:sz w:val="24"/>
            <w:szCs w:val="24"/>
          </w:rPr>
          <w:fldChar w:fldCharType="end"/>
        </w:r>
      </w:hyperlink>
    </w:p>
    <w:p w14:paraId="772585DD" w14:textId="77777777" w:rsidR="00F63F94" w:rsidRPr="001F7EB4" w:rsidRDefault="00F63F94" w:rsidP="00F63F94">
      <w:pPr>
        <w:pStyle w:val="Heading1"/>
        <w:spacing w:before="0" w:after="120"/>
        <w:contextualSpacing w:val="0"/>
        <w:rPr>
          <w:rFonts w:ascii="Calibri" w:hAnsi="Calibri" w:cs="Calibri"/>
          <w:spacing w:val="0"/>
        </w:rPr>
      </w:pPr>
      <w:r w:rsidRPr="00803B7C">
        <w:rPr>
          <w:rFonts w:ascii="Calibri" w:hAnsi="Calibri" w:cs="Calibri"/>
          <w:spacing w:val="0"/>
          <w:sz w:val="24"/>
          <w:szCs w:val="24"/>
        </w:rPr>
        <w:fldChar w:fldCharType="end"/>
      </w:r>
      <w:r w:rsidRPr="001F7EB4">
        <w:rPr>
          <w:rFonts w:ascii="Calibri" w:hAnsi="Calibri" w:cs="Calibri"/>
          <w:spacing w:val="0"/>
        </w:rPr>
        <w:br w:type="page"/>
      </w:r>
    </w:p>
    <w:p w14:paraId="23379A7D" w14:textId="77777777" w:rsidR="00D56470" w:rsidRDefault="00D56470" w:rsidP="00803B7C">
      <w:pPr>
        <w:pStyle w:val="Heading1"/>
        <w:spacing w:before="40"/>
        <w:contextualSpacing w:val="0"/>
        <w:jc w:val="both"/>
        <w:rPr>
          <w:rFonts w:cs="Arial"/>
          <w:color w:val="2F5496" w:themeColor="accent1" w:themeShade="BF"/>
          <w:spacing w:val="0"/>
          <w:kern w:val="0"/>
          <w:sz w:val="36"/>
          <w:szCs w:val="36"/>
          <w:lang w:val="en-US"/>
        </w:rPr>
        <w:sectPr w:rsidR="00D56470" w:rsidSect="00B01428">
          <w:pgSz w:w="11900" w:h="16840" w:code="9"/>
          <w:pgMar w:top="1440" w:right="1440" w:bottom="1440" w:left="1440" w:header="720" w:footer="720" w:gutter="0"/>
          <w:cols w:space="720"/>
          <w:docGrid w:linePitch="360"/>
        </w:sectPr>
      </w:pPr>
      <w:bookmarkStart w:id="0" w:name="_Toc508872560"/>
    </w:p>
    <w:p w14:paraId="772585DE" w14:textId="5218EEDF" w:rsidR="00F63F94" w:rsidRDefault="00F63F94" w:rsidP="00803B7C">
      <w:pPr>
        <w:pStyle w:val="Heading1"/>
        <w:spacing w:before="40"/>
        <w:contextualSpacing w:val="0"/>
        <w:jc w:val="both"/>
        <w:rPr>
          <w:rFonts w:cs="Arial"/>
          <w:color w:val="2F5496" w:themeColor="accent1" w:themeShade="BF"/>
          <w:spacing w:val="0"/>
          <w:kern w:val="0"/>
          <w:sz w:val="36"/>
          <w:szCs w:val="36"/>
          <w:lang w:val="en-US"/>
        </w:rPr>
      </w:pPr>
      <w:r w:rsidRPr="00803B7C">
        <w:rPr>
          <w:rFonts w:cs="Arial"/>
          <w:color w:val="2F5496" w:themeColor="accent1" w:themeShade="BF"/>
          <w:spacing w:val="0"/>
          <w:kern w:val="0"/>
          <w:sz w:val="36"/>
          <w:szCs w:val="36"/>
          <w:lang w:val="en-US"/>
        </w:rPr>
        <w:lastRenderedPageBreak/>
        <w:t>Executive Summary</w:t>
      </w:r>
      <w:bookmarkEnd w:id="0"/>
    </w:p>
    <w:p w14:paraId="4E6B75AD" w14:textId="77777777" w:rsidR="00803B7C" w:rsidRPr="00803B7C" w:rsidRDefault="00803B7C" w:rsidP="00E123C4">
      <w:pPr>
        <w:spacing w:after="0"/>
      </w:pPr>
    </w:p>
    <w:p w14:paraId="772585DF" w14:textId="77777777" w:rsidR="00F63F94" w:rsidRDefault="00F63F94" w:rsidP="00EA648F">
      <w:pPr>
        <w:spacing w:after="240" w:line="240" w:lineRule="auto"/>
        <w:jc w:val="both"/>
        <w:rPr>
          <w:rFonts w:ascii="Calibri" w:hAnsi="Calibri" w:cs="Calibri"/>
          <w:sz w:val="24"/>
          <w:szCs w:val="24"/>
        </w:rPr>
      </w:pPr>
      <w:r w:rsidRPr="00803B7C">
        <w:rPr>
          <w:rFonts w:ascii="Calibri" w:hAnsi="Calibri" w:cs="Calibri"/>
          <w:b/>
          <w:sz w:val="24"/>
          <w:szCs w:val="24"/>
        </w:rPr>
        <w:t>Discrimination against lesbian, gay, bisexual, transgender and intersex (LGBTI) people is widespread and LGBTI exclusion from economic markets, vital services, and political spaces is entrenched</w:t>
      </w:r>
      <w:r w:rsidRPr="00803B7C">
        <w:rPr>
          <w:rFonts w:ascii="Calibri" w:hAnsi="Calibri" w:cs="Calibri"/>
          <w:sz w:val="24"/>
          <w:szCs w:val="24"/>
        </w:rPr>
        <w:t>. This is not just an individual problem; it is a development challenge; not only because discrimination is inherently unjust, but also because “</w:t>
      </w:r>
      <w:r w:rsidRPr="00803B7C">
        <w:rPr>
          <w:rFonts w:ascii="Calibri" w:hAnsi="Calibri" w:cs="Calibri"/>
          <w:i/>
          <w:sz w:val="24"/>
          <w:szCs w:val="24"/>
        </w:rPr>
        <w:t>there are substantial costs—social, political, and economic—to not addressing the exclusion of entire groups of people</w:t>
      </w:r>
      <w:r w:rsidRPr="00803B7C">
        <w:rPr>
          <w:rFonts w:ascii="Calibri" w:hAnsi="Calibri" w:cs="Calibri"/>
          <w:sz w:val="24"/>
          <w:szCs w:val="24"/>
        </w:rPr>
        <w:t>.”</w:t>
      </w:r>
      <w:r w:rsidRPr="00803B7C">
        <w:rPr>
          <w:rStyle w:val="FootnoteReference"/>
          <w:rFonts w:ascii="Calibri" w:hAnsi="Calibri" w:cs="Calibri"/>
          <w:sz w:val="24"/>
          <w:szCs w:val="24"/>
        </w:rPr>
        <w:footnoteReference w:id="2"/>
      </w:r>
      <w:r w:rsidRPr="00803B7C">
        <w:rPr>
          <w:rFonts w:ascii="Calibri" w:hAnsi="Calibri" w:cs="Calibri"/>
          <w:sz w:val="24"/>
          <w:szCs w:val="24"/>
        </w:rPr>
        <w:t xml:space="preserve"> Understanding the barriers LGBTI people face in accessing markets, services, and spaces is important for designing more inclusive policies and programs. </w:t>
      </w:r>
    </w:p>
    <w:p w14:paraId="772585E0" w14:textId="77777777" w:rsidR="00F63F94" w:rsidRPr="00EA648F" w:rsidRDefault="00F63F94" w:rsidP="00EA648F">
      <w:pPr>
        <w:spacing w:after="240" w:line="240" w:lineRule="auto"/>
        <w:jc w:val="both"/>
        <w:rPr>
          <w:rFonts w:ascii="Calibri" w:hAnsi="Calibri" w:cs="Calibri"/>
          <w:sz w:val="24"/>
          <w:szCs w:val="24"/>
        </w:rPr>
      </w:pPr>
      <w:r w:rsidRPr="00803B7C">
        <w:rPr>
          <w:rFonts w:ascii="Calibri" w:hAnsi="Calibri" w:cs="Calibri"/>
          <w:b/>
          <w:sz w:val="24"/>
          <w:szCs w:val="24"/>
        </w:rPr>
        <w:t xml:space="preserve">Robust data that quantifies and details the nature of and extent of LGBTI discrimination is scarce in most countries, including Serbia. </w:t>
      </w:r>
      <w:r w:rsidRPr="00803B7C">
        <w:rPr>
          <w:rFonts w:ascii="Calibri" w:hAnsi="Calibri" w:cs="Calibri"/>
          <w:sz w:val="24"/>
          <w:szCs w:val="24"/>
          <w:lang w:val="en-GB"/>
        </w:rPr>
        <w:t>Collecting data on LGBTI people can be challenging, especially in establishing robust comparisons to non-LGBTI people. Field experiments, such as the “</w:t>
      </w:r>
      <w:r w:rsidRPr="00803B7C">
        <w:rPr>
          <w:rFonts w:ascii="Calibri" w:hAnsi="Calibri" w:cs="Calibri"/>
          <w:i/>
          <w:sz w:val="24"/>
          <w:szCs w:val="24"/>
          <w:lang w:val="en-GB"/>
        </w:rPr>
        <w:t>mystery shopping”</w:t>
      </w:r>
      <w:r w:rsidRPr="00803B7C">
        <w:rPr>
          <w:rFonts w:ascii="Calibri" w:hAnsi="Calibri" w:cs="Calibri"/>
          <w:sz w:val="24"/>
          <w:szCs w:val="24"/>
          <w:lang w:val="en-GB"/>
        </w:rPr>
        <w:t xml:space="preserve"> exercises described in this report, </w:t>
      </w:r>
      <w:r w:rsidRPr="00803B7C">
        <w:rPr>
          <w:rFonts w:ascii="Calibri" w:hAnsi="Calibri" w:cs="Calibri"/>
          <w:sz w:val="24"/>
          <w:szCs w:val="24"/>
        </w:rPr>
        <w:t>have provided a systematic and scientific means of revealing the extent of discrimination on the grounds of race, sex, ethnicity and religious affiliation. Topics such as access to employment, housing, and credit and consumer markets have been studied around the world.  Experimental studies have also been used to analyze discrimination based on sexual orientation, though primarily in the United States.</w:t>
      </w:r>
      <w:r w:rsidRPr="00803B7C">
        <w:rPr>
          <w:rStyle w:val="FootnoteReference"/>
          <w:rFonts w:ascii="Calibri" w:hAnsi="Calibri" w:cs="Calibri"/>
          <w:sz w:val="24"/>
          <w:szCs w:val="24"/>
        </w:rPr>
        <w:footnoteReference w:id="3"/>
      </w:r>
      <w:r w:rsidRPr="00803B7C">
        <w:rPr>
          <w:rFonts w:ascii="Calibri" w:hAnsi="Calibri" w:cs="Calibri"/>
          <w:sz w:val="24"/>
          <w:szCs w:val="24"/>
        </w:rPr>
        <w:t xml:space="preserve"> Mystery shopping offers researchers and policymakers </w:t>
      </w:r>
      <w:r w:rsidRPr="00803B7C">
        <w:rPr>
          <w:rFonts w:ascii="Calibri" w:hAnsi="Calibri" w:cs="Calibri"/>
          <w:sz w:val="24"/>
          <w:szCs w:val="24"/>
          <w:lang w:val="en-GB"/>
        </w:rPr>
        <w:t xml:space="preserve">a simple yet </w:t>
      </w:r>
      <w:r w:rsidRPr="00EA648F">
        <w:rPr>
          <w:rFonts w:ascii="Calibri" w:hAnsi="Calibri" w:cs="Calibri"/>
          <w:sz w:val="24"/>
          <w:szCs w:val="24"/>
        </w:rPr>
        <w:t xml:space="preserve">effective way to quantify the development challenges posed by LGBTI discrimination. </w:t>
      </w:r>
    </w:p>
    <w:p w14:paraId="772585E1" w14:textId="77777777" w:rsidR="00F63F94" w:rsidRPr="00803B7C" w:rsidRDefault="00F63F94" w:rsidP="00EA648F">
      <w:pPr>
        <w:spacing w:after="240" w:line="240" w:lineRule="auto"/>
        <w:jc w:val="both"/>
        <w:rPr>
          <w:rFonts w:ascii="Calibri" w:hAnsi="Calibri" w:cs="Calibri"/>
          <w:b/>
          <w:sz w:val="24"/>
          <w:szCs w:val="24"/>
        </w:rPr>
      </w:pPr>
      <w:r w:rsidRPr="00803B7C">
        <w:rPr>
          <w:rFonts w:ascii="Calibri" w:hAnsi="Calibri" w:cs="Calibri"/>
          <w:b/>
          <w:sz w:val="24"/>
          <w:szCs w:val="24"/>
        </w:rPr>
        <w:t xml:space="preserve">This report documents, for the first time, experimental evidence of discrimination against LGBTI people in access to education and housing in Serbia. </w:t>
      </w:r>
      <w:r w:rsidRPr="00803B7C">
        <w:rPr>
          <w:rFonts w:ascii="Calibri" w:hAnsi="Calibri" w:cs="Calibri"/>
          <w:noProof/>
          <w:sz w:val="24"/>
          <w:szCs w:val="24"/>
        </w:rPr>
        <w:t>This</w:t>
      </w:r>
      <w:r w:rsidRPr="00803B7C">
        <w:rPr>
          <w:rFonts w:ascii="Calibri" w:hAnsi="Calibri" w:cs="Calibri"/>
          <w:sz w:val="24"/>
          <w:szCs w:val="24"/>
        </w:rPr>
        <w:t xml:space="preserve"> report highlights findings from two “</w:t>
      </w:r>
      <w:r w:rsidRPr="00803B7C">
        <w:rPr>
          <w:rFonts w:ascii="Calibri" w:hAnsi="Calibri" w:cs="Calibri"/>
          <w:i/>
          <w:sz w:val="24"/>
          <w:szCs w:val="24"/>
        </w:rPr>
        <w:t>mystery shopping</w:t>
      </w:r>
      <w:r w:rsidRPr="00803B7C">
        <w:rPr>
          <w:rFonts w:ascii="Calibri" w:hAnsi="Calibri" w:cs="Calibri"/>
          <w:sz w:val="24"/>
          <w:szCs w:val="24"/>
        </w:rPr>
        <w:t xml:space="preserve">” exercises that were conducted at different and critical stages in life: (i) accessing basic education; and (ii) finding a place to live. Despite clear anti-discrimination provisions in Serbian law that specifically reference sexual orientation (and gender identity), both experiments reveal extensive discrimination in the education sector and the private rental market. These are just two of many important steps, in the life of an LGBTI person, each with unique impacts on their economic lives. This study contributes to the growing body of evidence on the economic dimensions of LGBTI discrimination, but further research is necessary. </w:t>
      </w:r>
    </w:p>
    <w:p w14:paraId="772585E2" w14:textId="77777777" w:rsidR="00F63F94" w:rsidRPr="00803B7C" w:rsidRDefault="00F63F94" w:rsidP="00EA648F">
      <w:pPr>
        <w:spacing w:after="240" w:line="240" w:lineRule="auto"/>
        <w:jc w:val="both"/>
        <w:rPr>
          <w:rFonts w:ascii="Calibri" w:hAnsi="Calibri" w:cs="Calibri"/>
          <w:b/>
          <w:sz w:val="24"/>
          <w:szCs w:val="24"/>
        </w:rPr>
      </w:pPr>
      <w:r w:rsidRPr="00803B7C">
        <w:rPr>
          <w:rFonts w:ascii="Calibri" w:hAnsi="Calibri" w:cs="Calibri"/>
          <w:b/>
          <w:sz w:val="24"/>
          <w:szCs w:val="24"/>
        </w:rPr>
        <w:t xml:space="preserve">This report contributes to the global evidence base on LGBTI exclusion and provides methodological and substantive insights which are useful beyond Serbia. </w:t>
      </w:r>
    </w:p>
    <w:p w14:paraId="34DD88F4" w14:textId="77777777" w:rsidR="00EA648F" w:rsidRDefault="00EA648F" w:rsidP="009C4674">
      <w:pPr>
        <w:pStyle w:val="Heading3"/>
      </w:pPr>
      <w:r>
        <w:br w:type="page"/>
      </w:r>
    </w:p>
    <w:p w14:paraId="772585E3" w14:textId="7B6034FB" w:rsidR="00F63F94" w:rsidRDefault="00F63F94" w:rsidP="009C4674">
      <w:pPr>
        <w:pStyle w:val="Heading3"/>
      </w:pPr>
      <w:r w:rsidRPr="00CB256D">
        <w:lastRenderedPageBreak/>
        <w:t>Discrimination in Primary Education</w:t>
      </w:r>
    </w:p>
    <w:p w14:paraId="3AF9ED94" w14:textId="77777777" w:rsidR="00CB256D" w:rsidRPr="00CB256D" w:rsidRDefault="00CB256D" w:rsidP="00CE5398">
      <w:pPr>
        <w:spacing w:after="0"/>
      </w:pPr>
    </w:p>
    <w:tbl>
      <w:tblPr>
        <w:tblStyle w:val="TableGrid"/>
        <w:tblW w:w="0" w:type="auto"/>
        <w:tblBorders>
          <w:top w:val="single" w:sz="4" w:space="0" w:color="939492"/>
          <w:left w:val="single" w:sz="4" w:space="0" w:color="939492"/>
          <w:bottom w:val="single" w:sz="4" w:space="0" w:color="939492"/>
          <w:right w:val="single" w:sz="4" w:space="0" w:color="939492"/>
          <w:insideH w:val="single" w:sz="4" w:space="0" w:color="939492"/>
          <w:insideV w:val="single" w:sz="4" w:space="0" w:color="939492"/>
        </w:tblBorders>
        <w:tblCellMar>
          <w:top w:w="113" w:type="dxa"/>
          <w:bottom w:w="113" w:type="dxa"/>
        </w:tblCellMar>
        <w:tblLook w:val="04A0" w:firstRow="1" w:lastRow="0" w:firstColumn="1" w:lastColumn="0" w:noHBand="0" w:noVBand="1"/>
      </w:tblPr>
      <w:tblGrid>
        <w:gridCol w:w="9010"/>
      </w:tblGrid>
      <w:tr w:rsidR="00CE5398" w14:paraId="7E626E53" w14:textId="77777777" w:rsidTr="00A903A0">
        <w:tc>
          <w:tcPr>
            <w:tcW w:w="9010" w:type="dxa"/>
          </w:tcPr>
          <w:p w14:paraId="73A048A9" w14:textId="77777777" w:rsidR="00CE5398" w:rsidRDefault="00CE5398" w:rsidP="00A903A0">
            <w:pPr>
              <w:spacing w:after="120"/>
              <w:jc w:val="center"/>
              <w:rPr>
                <w:rFonts w:ascii="Calibri" w:eastAsiaTheme="minorEastAsia" w:hAnsi="Calibri"/>
                <w:color w:val="5A5A5A" w:themeColor="text1" w:themeTint="A5"/>
                <w:spacing w:val="15"/>
              </w:rPr>
            </w:pPr>
            <w:r w:rsidRPr="009A0931">
              <w:rPr>
                <w:rFonts w:ascii="Calibri" w:eastAsiaTheme="minorEastAsia" w:hAnsi="Calibri"/>
                <w:color w:val="5A5A5A" w:themeColor="text1" w:themeTint="A5"/>
                <w:spacing w:val="15"/>
              </w:rPr>
              <w:t>Acceptance Rates for Public Primary School</w:t>
            </w:r>
          </w:p>
          <w:p w14:paraId="67107B98" w14:textId="77777777" w:rsidR="00CE5398" w:rsidRPr="009A0931" w:rsidRDefault="00CE5398" w:rsidP="00A903A0">
            <w:pPr>
              <w:spacing w:after="120"/>
              <w:rPr>
                <w:rFonts w:ascii="Calibri" w:hAnsi="Calibri" w:cs="Calibri"/>
                <w:color w:val="FF0000"/>
                <w:sz w:val="18"/>
                <w:lang w:val="en-GB"/>
              </w:rPr>
            </w:pPr>
            <w:r w:rsidRPr="009A0931">
              <w:rPr>
                <w:rFonts w:ascii="Calibri" w:eastAsiaTheme="minorEastAsia" w:hAnsi="Calibri"/>
                <w:color w:val="5A5A5A" w:themeColor="text1" w:themeTint="A5"/>
                <w:spacing w:val="15"/>
              </w:rPr>
              <w:t xml:space="preserve"> </w:t>
            </w:r>
            <w:r>
              <w:rPr>
                <w:rFonts w:ascii="Calibri" w:hAnsi="Calibri" w:cs="Calibri"/>
                <w:color w:val="FF0000"/>
                <w:sz w:val="18"/>
                <w:lang w:val="en-GB"/>
              </w:rPr>
              <w:t xml:space="preserve">    </w:t>
            </w:r>
            <w:r w:rsidRPr="001F7EB4">
              <w:rPr>
                <w:rFonts w:ascii="Calibri" w:hAnsi="Calibri" w:cs="Calibri"/>
                <w:color w:val="FF0000"/>
                <w:sz w:val="18"/>
                <w:lang w:val="en-GB"/>
              </w:rPr>
              <w:t xml:space="preserve">  </w:t>
            </w:r>
            <w:r w:rsidRPr="001F7EB4">
              <w:rPr>
                <w:rFonts w:ascii="Calibri" w:hAnsi="Calibri" w:cs="Calibri"/>
                <w:noProof/>
                <w:color w:val="FF0000"/>
              </w:rPr>
              <w:drawing>
                <wp:inline distT="0" distB="0" distL="0" distR="0" wp14:anchorId="0175D58E" wp14:editId="74BAFAF5">
                  <wp:extent cx="2676525" cy="1847462"/>
                  <wp:effectExtent l="0" t="0" r="15875" b="698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1F7EB4">
              <w:rPr>
                <w:rFonts w:ascii="Calibri" w:hAnsi="Calibri" w:cs="Calibri"/>
                <w:color w:val="FF0000"/>
                <w:sz w:val="18"/>
                <w:lang w:val="en-GB"/>
              </w:rPr>
              <w:t xml:space="preserve"> </w:t>
            </w:r>
            <w:r w:rsidRPr="001F7EB4">
              <w:rPr>
                <w:rFonts w:ascii="Calibri" w:hAnsi="Calibri" w:cs="Calibri"/>
                <w:noProof/>
                <w:color w:val="FF0000"/>
              </w:rPr>
              <w:drawing>
                <wp:inline distT="0" distB="0" distL="0" distR="0" wp14:anchorId="12574D81" wp14:editId="103CF352">
                  <wp:extent cx="2590800" cy="1819470"/>
                  <wp:effectExtent l="0" t="0" r="1270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3574534A" w14:textId="77777777" w:rsidR="00CE5398" w:rsidRDefault="00CE5398" w:rsidP="00CE5398">
      <w:pPr>
        <w:spacing w:after="0" w:line="240" w:lineRule="auto"/>
        <w:jc w:val="both"/>
        <w:rPr>
          <w:rFonts w:ascii="Calibri" w:hAnsi="Calibri" w:cs="Calibri"/>
          <w:b/>
          <w:sz w:val="24"/>
          <w:szCs w:val="24"/>
          <w:lang w:val="en-GB"/>
        </w:rPr>
      </w:pPr>
    </w:p>
    <w:p w14:paraId="772585E4" w14:textId="544DEDD8" w:rsidR="00F63F94" w:rsidRDefault="00F63F94" w:rsidP="00EA648F">
      <w:pPr>
        <w:spacing w:after="240" w:line="240" w:lineRule="auto"/>
        <w:jc w:val="both"/>
        <w:rPr>
          <w:rFonts w:ascii="Calibri" w:hAnsi="Calibri" w:cs="Calibri"/>
          <w:sz w:val="24"/>
          <w:szCs w:val="24"/>
          <w:lang w:val="en-GB"/>
        </w:rPr>
      </w:pPr>
      <w:r w:rsidRPr="00803B7C">
        <w:rPr>
          <w:rFonts w:ascii="Calibri" w:hAnsi="Calibri" w:cs="Calibri"/>
          <w:b/>
          <w:sz w:val="24"/>
          <w:szCs w:val="24"/>
          <w:lang w:val="en-GB"/>
        </w:rPr>
        <w:t>In Serbia, ‘feminine boys’, widely perceived as being gay, were at least three times more likely to be refused enrollment in primary schools (15%) compared to boys not perceived to be feminine (5%).</w:t>
      </w:r>
      <w:r w:rsidRPr="00803B7C">
        <w:rPr>
          <w:rFonts w:ascii="Calibri" w:hAnsi="Calibri" w:cs="Calibri"/>
          <w:sz w:val="24"/>
          <w:szCs w:val="24"/>
          <w:lang w:val="en-GB"/>
        </w:rPr>
        <w:t xml:space="preserve"> Even when feminine boys were accepted, they met with twice as much hesitation and delay in accepting their enrolment. In the case of non-feminine boys, this hesitation was often linked to the boys’ school achievement and discipline, for feminine </w:t>
      </w:r>
      <w:r w:rsidRPr="00803B7C">
        <w:rPr>
          <w:rFonts w:ascii="Calibri" w:hAnsi="Calibri" w:cs="Calibri"/>
          <w:noProof/>
          <w:sz w:val="24"/>
          <w:szCs w:val="24"/>
          <w:lang w:val="en-GB"/>
        </w:rPr>
        <w:t>boys,</w:t>
      </w:r>
      <w:r w:rsidRPr="00803B7C">
        <w:rPr>
          <w:rFonts w:ascii="Calibri" w:hAnsi="Calibri" w:cs="Calibri"/>
          <w:sz w:val="24"/>
          <w:szCs w:val="24"/>
          <w:lang w:val="en-GB"/>
        </w:rPr>
        <w:t xml:space="preserve"> on the other hand, it was exclusively linked to their femininity. School authorities </w:t>
      </w:r>
      <w:r w:rsidRPr="00803B7C">
        <w:rPr>
          <w:rFonts w:ascii="Calibri" w:hAnsi="Calibri" w:cs="Calibri"/>
          <w:sz w:val="24"/>
          <w:szCs w:val="24"/>
        </w:rPr>
        <w:t>warned parents about the intolerance of other students and the school’s inability and/or unwillingness to ensure a safe school environment for feminine boys</w:t>
      </w:r>
      <w:r w:rsidRPr="00803B7C">
        <w:rPr>
          <w:rFonts w:ascii="Calibri" w:hAnsi="Calibri" w:cs="Calibri"/>
          <w:sz w:val="24"/>
          <w:szCs w:val="24"/>
          <w:lang w:val="en-GB"/>
        </w:rPr>
        <w:t xml:space="preserve">. </w:t>
      </w:r>
    </w:p>
    <w:p w14:paraId="772585E5" w14:textId="4AAC12DA" w:rsidR="00F63F94" w:rsidRPr="00803B7C" w:rsidRDefault="00F63F94" w:rsidP="00F63F94">
      <w:pPr>
        <w:spacing w:after="120" w:line="240" w:lineRule="auto"/>
        <w:ind w:left="630" w:right="720"/>
        <w:jc w:val="both"/>
        <w:rPr>
          <w:rFonts w:ascii="Calibri" w:hAnsi="Calibri" w:cs="Calibri"/>
          <w:i/>
          <w:sz w:val="24"/>
          <w:szCs w:val="24"/>
          <w:lang w:val="en-GB"/>
        </w:rPr>
      </w:pPr>
      <w:r w:rsidRPr="00803B7C">
        <w:rPr>
          <w:rFonts w:ascii="Calibri" w:hAnsi="Calibri" w:cs="Calibri"/>
          <w:i/>
          <w:sz w:val="24"/>
          <w:szCs w:val="24"/>
          <w:lang w:val="en-GB"/>
        </w:rPr>
        <w:t>“Given that the child has such [a] profile, and the children of that age in our school are cruel, I would kindly ask you to try with another school. … I know what our children are like. They tolerate differences with lots of difficulties. They actually can’t stand any differences.”</w:t>
      </w:r>
    </w:p>
    <w:p w14:paraId="31DBD793" w14:textId="77777777" w:rsidR="00EA648F" w:rsidRDefault="00EA648F" w:rsidP="009C4674">
      <w:pPr>
        <w:pStyle w:val="Heading3"/>
      </w:pPr>
    </w:p>
    <w:p w14:paraId="772585E6" w14:textId="77777777" w:rsidR="00F63F94" w:rsidRDefault="00F63F94" w:rsidP="009C4674">
      <w:pPr>
        <w:pStyle w:val="Heading3"/>
      </w:pPr>
      <w:r w:rsidRPr="00CB256D">
        <w:t>Discrimination in the Rental Housing Market</w:t>
      </w:r>
    </w:p>
    <w:p w14:paraId="59EA018F" w14:textId="77777777" w:rsidR="00EA648F" w:rsidRPr="00EA648F" w:rsidRDefault="00EA648F" w:rsidP="00EA648F">
      <w:pPr>
        <w:spacing w:after="0"/>
      </w:pPr>
    </w:p>
    <w:tbl>
      <w:tblPr>
        <w:tblStyle w:val="TableGrid"/>
        <w:tblW w:w="0" w:type="auto"/>
        <w:tblBorders>
          <w:top w:val="single" w:sz="4" w:space="0" w:color="939492"/>
          <w:left w:val="single" w:sz="4" w:space="0" w:color="939492"/>
          <w:bottom w:val="single" w:sz="4" w:space="0" w:color="939492"/>
          <w:right w:val="single" w:sz="4" w:space="0" w:color="939492"/>
          <w:insideH w:val="single" w:sz="4" w:space="0" w:color="939492"/>
          <w:insideV w:val="single" w:sz="4" w:space="0" w:color="939492"/>
        </w:tblBorders>
        <w:tblCellMar>
          <w:top w:w="113" w:type="dxa"/>
          <w:left w:w="0" w:type="dxa"/>
          <w:bottom w:w="113" w:type="dxa"/>
          <w:right w:w="0" w:type="dxa"/>
        </w:tblCellMar>
        <w:tblLook w:val="04A0" w:firstRow="1" w:lastRow="0" w:firstColumn="1" w:lastColumn="0" w:noHBand="0" w:noVBand="1"/>
      </w:tblPr>
      <w:tblGrid>
        <w:gridCol w:w="9010"/>
      </w:tblGrid>
      <w:tr w:rsidR="00CE5398" w14:paraId="4228C1E1" w14:textId="77777777" w:rsidTr="00A903A0">
        <w:tc>
          <w:tcPr>
            <w:tcW w:w="9010" w:type="dxa"/>
          </w:tcPr>
          <w:p w14:paraId="06A67C0D" w14:textId="77777777" w:rsidR="00CE5398" w:rsidRDefault="00CE5398" w:rsidP="00A903A0">
            <w:pPr>
              <w:spacing w:after="240"/>
              <w:jc w:val="center"/>
              <w:rPr>
                <w:rFonts w:eastAsiaTheme="minorEastAsia"/>
                <w:color w:val="5A5A5A" w:themeColor="text1" w:themeTint="A5"/>
              </w:rPr>
            </w:pPr>
            <w:r w:rsidRPr="0066156D">
              <w:rPr>
                <w:rFonts w:eastAsiaTheme="minorEastAsia"/>
                <w:color w:val="5A5A5A" w:themeColor="text1" w:themeTint="A5"/>
              </w:rPr>
              <w:t>Acceptance Rates for Private Rental Market</w:t>
            </w:r>
          </w:p>
          <w:p w14:paraId="3BF1B13A" w14:textId="77777777" w:rsidR="00CE5398" w:rsidRDefault="00CE5398" w:rsidP="00EE2C48">
            <w:pPr>
              <w:spacing w:after="120"/>
              <w:ind w:right="77"/>
              <w:jc w:val="center"/>
              <w:rPr>
                <w:rFonts w:ascii="Calibri" w:hAnsi="Calibri" w:cs="Calibri"/>
                <w:i/>
                <w:sz w:val="24"/>
                <w:szCs w:val="24"/>
                <w:lang w:val="en-GB"/>
              </w:rPr>
            </w:pPr>
            <w:r w:rsidRPr="001F7EB4">
              <w:rPr>
                <w:rFonts w:ascii="Calibri" w:hAnsi="Calibri" w:cs="Calibri"/>
                <w:noProof/>
                <w:color w:val="FF0000"/>
              </w:rPr>
              <w:drawing>
                <wp:inline distT="0" distB="0" distL="0" distR="0" wp14:anchorId="210E5F8A" wp14:editId="775C0545">
                  <wp:extent cx="2724150" cy="2211355"/>
                  <wp:effectExtent l="0" t="0" r="6350" b="1143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1F7EB4">
              <w:rPr>
                <w:rFonts w:ascii="Calibri" w:hAnsi="Calibri" w:cs="Calibri"/>
                <w:noProof/>
                <w:color w:val="FF0000"/>
              </w:rPr>
              <w:drawing>
                <wp:inline distT="0" distB="0" distL="0" distR="0" wp14:anchorId="5FADDCF5" wp14:editId="05C365A8">
                  <wp:extent cx="2817495" cy="2062065"/>
                  <wp:effectExtent l="0" t="0" r="14605" b="825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00FA5A3B" w14:textId="77777777" w:rsidR="00CE5398" w:rsidRDefault="00CE5398" w:rsidP="00CE5398">
      <w:pPr>
        <w:spacing w:after="0" w:line="240" w:lineRule="auto"/>
        <w:jc w:val="both"/>
        <w:rPr>
          <w:rFonts w:ascii="Calibri" w:hAnsi="Calibri" w:cs="Calibri"/>
          <w:b/>
          <w:sz w:val="24"/>
          <w:szCs w:val="24"/>
          <w:lang w:val="en-GB"/>
        </w:rPr>
      </w:pPr>
    </w:p>
    <w:p w14:paraId="772585E7" w14:textId="484DCC2C" w:rsidR="00F63F94" w:rsidRPr="00803B7C" w:rsidRDefault="00F63F94" w:rsidP="00EA648F">
      <w:pPr>
        <w:spacing w:after="240" w:line="240" w:lineRule="auto"/>
        <w:jc w:val="both"/>
        <w:rPr>
          <w:rFonts w:ascii="Calibri" w:hAnsi="Calibri" w:cs="Calibri"/>
          <w:sz w:val="24"/>
          <w:szCs w:val="24"/>
          <w:lang w:val="en-GB"/>
        </w:rPr>
      </w:pPr>
      <w:r w:rsidRPr="00803B7C">
        <w:rPr>
          <w:rFonts w:ascii="Calibri" w:hAnsi="Calibri" w:cs="Calibri"/>
          <w:b/>
          <w:sz w:val="24"/>
          <w:szCs w:val="24"/>
          <w:lang w:val="en-GB"/>
        </w:rPr>
        <w:t xml:space="preserve">Eighteen percent of </w:t>
      </w:r>
      <w:r w:rsidRPr="00803B7C">
        <w:rPr>
          <w:rFonts w:ascii="Calibri" w:hAnsi="Calibri" w:cs="Calibri"/>
          <w:b/>
          <w:noProof/>
          <w:sz w:val="24"/>
          <w:szCs w:val="24"/>
          <w:lang w:val="en-GB"/>
        </w:rPr>
        <w:t>same-sex</w:t>
      </w:r>
      <w:r w:rsidRPr="00803B7C">
        <w:rPr>
          <w:rFonts w:ascii="Calibri" w:hAnsi="Calibri" w:cs="Calibri"/>
          <w:b/>
          <w:sz w:val="24"/>
          <w:szCs w:val="24"/>
          <w:lang w:val="en-GB"/>
        </w:rPr>
        <w:t xml:space="preserve"> couples were refused apartment rentals by private landlords, while no heterosexual couples were. </w:t>
      </w:r>
      <w:r w:rsidRPr="00803B7C">
        <w:rPr>
          <w:rFonts w:ascii="Calibri" w:hAnsi="Calibri" w:cs="Calibri"/>
          <w:sz w:val="24"/>
          <w:szCs w:val="24"/>
          <w:lang w:val="en-GB"/>
        </w:rPr>
        <w:t>The situation is worse for gay couples; they are more than three times as likely (29%) to be refused compared to lesbian couples (8%).</w:t>
      </w:r>
      <w:r w:rsidRPr="00803B7C">
        <w:rPr>
          <w:rFonts w:ascii="Calibri" w:hAnsi="Calibri" w:cs="Calibri"/>
          <w:b/>
          <w:sz w:val="24"/>
          <w:szCs w:val="24"/>
          <w:lang w:val="en-GB"/>
        </w:rPr>
        <w:t xml:space="preserve"> </w:t>
      </w:r>
      <w:r w:rsidRPr="00803B7C">
        <w:rPr>
          <w:rFonts w:ascii="Calibri" w:hAnsi="Calibri" w:cs="Calibri"/>
          <w:sz w:val="24"/>
          <w:szCs w:val="24"/>
          <w:lang w:val="en-GB"/>
        </w:rPr>
        <w:t>Male landlords are much more likely to discriminate against gay couples than lesbian couples.</w:t>
      </w:r>
      <w:r w:rsidRPr="00803B7C">
        <w:rPr>
          <w:rFonts w:ascii="Calibri" w:hAnsi="Calibri" w:cs="Calibri"/>
          <w:b/>
          <w:sz w:val="24"/>
          <w:szCs w:val="24"/>
          <w:lang w:val="en-GB"/>
        </w:rPr>
        <w:t xml:space="preserve"> </w:t>
      </w:r>
      <w:r w:rsidRPr="00803B7C">
        <w:rPr>
          <w:rFonts w:ascii="Calibri" w:hAnsi="Calibri" w:cs="Calibri"/>
          <w:sz w:val="24"/>
          <w:szCs w:val="24"/>
          <w:lang w:val="en-GB"/>
        </w:rPr>
        <w:t>Many landlords openly express homophobic sentiments in the rental market.</w:t>
      </w:r>
    </w:p>
    <w:p w14:paraId="772585E8" w14:textId="77777777" w:rsidR="00F63F94" w:rsidRPr="00803B7C" w:rsidRDefault="00F63F94" w:rsidP="00E123C4">
      <w:pPr>
        <w:spacing w:after="240" w:line="240" w:lineRule="auto"/>
        <w:ind w:left="630" w:right="720"/>
        <w:jc w:val="both"/>
        <w:rPr>
          <w:rFonts w:ascii="Calibri" w:hAnsi="Calibri" w:cs="Calibri"/>
          <w:i/>
          <w:sz w:val="24"/>
          <w:szCs w:val="24"/>
          <w:lang w:val="en-GB"/>
        </w:rPr>
      </w:pPr>
      <w:r w:rsidRPr="00803B7C">
        <w:rPr>
          <w:rFonts w:ascii="Calibri" w:hAnsi="Calibri" w:cs="Calibri"/>
          <w:i/>
          <w:sz w:val="24"/>
          <w:szCs w:val="24"/>
          <w:lang w:val="en-GB"/>
        </w:rPr>
        <w:t xml:space="preserve">“Two men, what do you mean a couple? What kind of couple? You mean two men in an </w:t>
      </w:r>
      <w:r w:rsidRPr="00803B7C">
        <w:rPr>
          <w:rFonts w:ascii="Calibri" w:hAnsi="Calibri" w:cs="Calibri"/>
          <w:i/>
          <w:noProof/>
          <w:sz w:val="24"/>
          <w:szCs w:val="24"/>
          <w:lang w:val="en-GB"/>
        </w:rPr>
        <w:t>emotional</w:t>
      </w:r>
      <w:r w:rsidRPr="00803B7C">
        <w:rPr>
          <w:rFonts w:ascii="Calibri" w:hAnsi="Calibri" w:cs="Calibri"/>
          <w:i/>
          <w:sz w:val="24"/>
          <w:szCs w:val="24"/>
          <w:lang w:val="en-GB"/>
        </w:rPr>
        <w:t xml:space="preserve"> relationship? Oh no, no! Goodbye.”</w:t>
      </w:r>
    </w:p>
    <w:p w14:paraId="772585EA" w14:textId="014ABF04" w:rsidR="00F63F94" w:rsidRDefault="00EA648F" w:rsidP="001F139A">
      <w:pPr>
        <w:spacing w:after="240" w:line="240" w:lineRule="auto"/>
        <w:ind w:left="630" w:right="720"/>
        <w:jc w:val="both"/>
        <w:rPr>
          <w:rFonts w:ascii="Calibri" w:hAnsi="Calibri" w:cs="Calibri"/>
          <w:i/>
          <w:sz w:val="24"/>
          <w:szCs w:val="24"/>
          <w:lang w:val="en-GB"/>
        </w:rPr>
      </w:pPr>
      <w:r w:rsidRPr="00803B7C">
        <w:rPr>
          <w:rFonts w:ascii="Calibri" w:hAnsi="Calibri" w:cs="Calibri"/>
          <w:i/>
          <w:sz w:val="24"/>
          <w:szCs w:val="24"/>
          <w:lang w:val="en-GB"/>
        </w:rPr>
        <w:t xml:space="preserve"> </w:t>
      </w:r>
      <w:r w:rsidR="00F63F94" w:rsidRPr="00803B7C">
        <w:rPr>
          <w:rFonts w:ascii="Calibri" w:hAnsi="Calibri" w:cs="Calibri"/>
          <w:i/>
          <w:sz w:val="24"/>
          <w:szCs w:val="24"/>
          <w:lang w:val="en-GB"/>
        </w:rPr>
        <w:t>“It’s not right [two females in relation] …I don’t know… (Why isn’t it right, is there a reason for that?) Well, I don’t know… I don’t know… it doesn’t suit me.”</w:t>
      </w:r>
    </w:p>
    <w:p w14:paraId="772585EB" w14:textId="1E13D736" w:rsidR="00F63F94" w:rsidRPr="00803B7C" w:rsidRDefault="00F63F94" w:rsidP="00F63F94">
      <w:pPr>
        <w:spacing w:after="120" w:line="240" w:lineRule="auto"/>
        <w:jc w:val="both"/>
        <w:rPr>
          <w:rFonts w:ascii="Calibri" w:hAnsi="Calibri" w:cs="Calibri"/>
          <w:b/>
          <w:sz w:val="24"/>
          <w:szCs w:val="24"/>
          <w:lang w:val="en-GB"/>
        </w:rPr>
      </w:pPr>
      <w:r w:rsidRPr="00803B7C">
        <w:rPr>
          <w:rFonts w:ascii="Calibri" w:hAnsi="Calibri" w:cs="Calibri"/>
          <w:b/>
          <w:sz w:val="24"/>
          <w:szCs w:val="24"/>
          <w:lang w:val="en-GB"/>
        </w:rPr>
        <w:t xml:space="preserve">This study: </w:t>
      </w:r>
    </w:p>
    <w:p w14:paraId="772585EC" w14:textId="77777777" w:rsidR="00F63F94" w:rsidRPr="00803B7C" w:rsidRDefault="00F63F94" w:rsidP="00CB256D">
      <w:pPr>
        <w:pStyle w:val="ListParagraph"/>
        <w:numPr>
          <w:ilvl w:val="0"/>
          <w:numId w:val="11"/>
        </w:numPr>
        <w:spacing w:after="120" w:line="240" w:lineRule="auto"/>
        <w:contextualSpacing w:val="0"/>
        <w:jc w:val="both"/>
        <w:rPr>
          <w:rFonts w:ascii="Calibri" w:hAnsi="Calibri" w:cs="Calibri"/>
          <w:kern w:val="28"/>
          <w:sz w:val="24"/>
          <w:szCs w:val="24"/>
          <w:lang w:val="en-GB"/>
        </w:rPr>
      </w:pPr>
      <w:r w:rsidRPr="00803B7C">
        <w:rPr>
          <w:rFonts w:ascii="Calibri" w:hAnsi="Calibri" w:cs="Calibri"/>
          <w:b/>
          <w:sz w:val="24"/>
          <w:szCs w:val="24"/>
          <w:lang w:val="en-GB"/>
        </w:rPr>
        <w:t>D</w:t>
      </w:r>
      <w:r w:rsidRPr="00803B7C">
        <w:rPr>
          <w:rFonts w:ascii="Calibri" w:hAnsi="Calibri" w:cs="Calibri"/>
          <w:b/>
          <w:noProof/>
          <w:sz w:val="24"/>
          <w:szCs w:val="24"/>
          <w:lang w:val="en-GB"/>
        </w:rPr>
        <w:t>ocuments</w:t>
      </w:r>
      <w:r w:rsidRPr="00803B7C">
        <w:rPr>
          <w:rFonts w:ascii="Calibri" w:hAnsi="Calibri" w:cs="Calibri"/>
          <w:sz w:val="24"/>
          <w:szCs w:val="24"/>
          <w:lang w:val="en-GB"/>
        </w:rPr>
        <w:t xml:space="preserve"> </w:t>
      </w:r>
      <w:r w:rsidRPr="00803B7C">
        <w:rPr>
          <w:rFonts w:ascii="Calibri" w:hAnsi="Calibri" w:cs="Calibri"/>
          <w:b/>
          <w:sz w:val="24"/>
          <w:szCs w:val="24"/>
          <w:lang w:val="en-GB"/>
        </w:rPr>
        <w:t>and quantifies</w:t>
      </w:r>
      <w:r w:rsidRPr="00803B7C">
        <w:rPr>
          <w:rFonts w:ascii="Calibri" w:hAnsi="Calibri" w:cs="Calibri"/>
          <w:sz w:val="24"/>
          <w:szCs w:val="24"/>
          <w:lang w:val="en-GB"/>
        </w:rPr>
        <w:t xml:space="preserve"> the </w:t>
      </w:r>
      <w:r w:rsidRPr="00803B7C">
        <w:rPr>
          <w:rFonts w:ascii="Calibri" w:hAnsi="Calibri" w:cs="Calibri"/>
          <w:noProof/>
          <w:sz w:val="24"/>
          <w:szCs w:val="24"/>
          <w:lang w:val="en-GB"/>
        </w:rPr>
        <w:t>extent</w:t>
      </w:r>
      <w:r w:rsidRPr="00803B7C">
        <w:rPr>
          <w:rFonts w:ascii="Calibri" w:hAnsi="Calibri" w:cs="Calibri"/>
          <w:sz w:val="24"/>
          <w:szCs w:val="24"/>
          <w:lang w:val="en-GB"/>
        </w:rPr>
        <w:t xml:space="preserve"> of discrimination based on sexual orientation in Serbia when accessing primary school education and when finding a place to live on the rental market;</w:t>
      </w:r>
    </w:p>
    <w:p w14:paraId="772585ED" w14:textId="77777777" w:rsidR="00F63F94" w:rsidRPr="00803B7C" w:rsidRDefault="00F63F94" w:rsidP="00CB256D">
      <w:pPr>
        <w:pStyle w:val="ListParagraph"/>
        <w:numPr>
          <w:ilvl w:val="0"/>
          <w:numId w:val="11"/>
        </w:numPr>
        <w:spacing w:after="120" w:line="240" w:lineRule="auto"/>
        <w:contextualSpacing w:val="0"/>
        <w:jc w:val="both"/>
        <w:rPr>
          <w:rFonts w:ascii="Calibri" w:hAnsi="Calibri" w:cs="Calibri"/>
          <w:kern w:val="28"/>
          <w:sz w:val="24"/>
          <w:szCs w:val="24"/>
          <w:lang w:val="en-GB"/>
        </w:rPr>
      </w:pPr>
      <w:r w:rsidRPr="00803B7C">
        <w:rPr>
          <w:rFonts w:ascii="Calibri" w:hAnsi="Calibri" w:cs="Calibri"/>
          <w:b/>
          <w:sz w:val="24"/>
          <w:szCs w:val="24"/>
          <w:lang w:val="en-GB"/>
        </w:rPr>
        <w:t xml:space="preserve">Contributes </w:t>
      </w:r>
      <w:r w:rsidRPr="00803B7C">
        <w:rPr>
          <w:rFonts w:ascii="Calibri" w:hAnsi="Calibri" w:cs="Calibri"/>
          <w:sz w:val="24"/>
          <w:szCs w:val="24"/>
          <w:lang w:val="en-GB"/>
        </w:rPr>
        <w:t>to understanding the socio-economic development outcomes of LGBTI people by expanding the evidence base on SOGI-based discrimination and exclusion;</w:t>
      </w:r>
    </w:p>
    <w:p w14:paraId="772585EE" w14:textId="77777777" w:rsidR="00F63F94" w:rsidRPr="00803B7C" w:rsidRDefault="00F63F94" w:rsidP="00CB256D">
      <w:pPr>
        <w:pStyle w:val="ListParagraph"/>
        <w:numPr>
          <w:ilvl w:val="0"/>
          <w:numId w:val="11"/>
        </w:numPr>
        <w:spacing w:after="120" w:line="240" w:lineRule="auto"/>
        <w:contextualSpacing w:val="0"/>
        <w:jc w:val="both"/>
        <w:rPr>
          <w:rFonts w:ascii="Calibri" w:hAnsi="Calibri" w:cs="Calibri"/>
          <w:kern w:val="28"/>
          <w:sz w:val="24"/>
          <w:szCs w:val="24"/>
          <w:lang w:val="en-GB"/>
        </w:rPr>
      </w:pPr>
      <w:r w:rsidRPr="00803B7C">
        <w:rPr>
          <w:rFonts w:ascii="Calibri" w:hAnsi="Calibri" w:cs="Calibri"/>
          <w:b/>
          <w:kern w:val="28"/>
          <w:sz w:val="24"/>
          <w:szCs w:val="24"/>
          <w:lang w:val="en-GB"/>
        </w:rPr>
        <w:t>Underscores</w:t>
      </w:r>
      <w:r w:rsidRPr="00803B7C">
        <w:rPr>
          <w:rFonts w:ascii="Calibri" w:hAnsi="Calibri" w:cs="Calibri"/>
          <w:kern w:val="28"/>
          <w:sz w:val="24"/>
          <w:szCs w:val="24"/>
          <w:lang w:val="en-GB"/>
        </w:rPr>
        <w:t xml:space="preserve"> that experiments are simple and powerful tools to quantify the </w:t>
      </w:r>
      <w:r w:rsidRPr="00803B7C">
        <w:rPr>
          <w:rFonts w:ascii="Calibri" w:hAnsi="Calibri" w:cs="Calibri"/>
          <w:noProof/>
          <w:kern w:val="28"/>
          <w:sz w:val="24"/>
          <w:szCs w:val="24"/>
          <w:lang w:val="en-GB"/>
        </w:rPr>
        <w:t>extent</w:t>
      </w:r>
      <w:r w:rsidRPr="00803B7C">
        <w:rPr>
          <w:rFonts w:ascii="Calibri" w:hAnsi="Calibri" w:cs="Calibri"/>
          <w:kern w:val="28"/>
          <w:sz w:val="24"/>
          <w:szCs w:val="24"/>
          <w:lang w:val="en-GB"/>
        </w:rPr>
        <w:t xml:space="preserve"> of LGBTI discrimination;</w:t>
      </w:r>
    </w:p>
    <w:p w14:paraId="772585EF" w14:textId="77777777" w:rsidR="00F63F94" w:rsidRPr="00803B7C" w:rsidRDefault="00F63F94" w:rsidP="00CB256D">
      <w:pPr>
        <w:pStyle w:val="ListParagraph"/>
        <w:numPr>
          <w:ilvl w:val="0"/>
          <w:numId w:val="11"/>
        </w:numPr>
        <w:spacing w:after="120" w:line="240" w:lineRule="auto"/>
        <w:contextualSpacing w:val="0"/>
        <w:jc w:val="both"/>
        <w:rPr>
          <w:rFonts w:ascii="Calibri" w:hAnsi="Calibri" w:cs="Calibri"/>
          <w:kern w:val="28"/>
          <w:sz w:val="24"/>
          <w:szCs w:val="24"/>
          <w:lang w:val="en-GB"/>
        </w:rPr>
      </w:pPr>
      <w:r w:rsidRPr="00803B7C">
        <w:rPr>
          <w:rFonts w:ascii="Calibri" w:hAnsi="Calibri" w:cs="Calibri"/>
          <w:b/>
          <w:sz w:val="24"/>
          <w:szCs w:val="24"/>
          <w:lang w:val="en-GB"/>
        </w:rPr>
        <w:t>Raises awareness</w:t>
      </w:r>
      <w:r w:rsidRPr="00803B7C">
        <w:rPr>
          <w:rFonts w:ascii="Calibri" w:hAnsi="Calibri" w:cs="Calibri"/>
          <w:sz w:val="24"/>
          <w:szCs w:val="24"/>
          <w:lang w:val="en-GB"/>
        </w:rPr>
        <w:t xml:space="preserve"> among </w:t>
      </w:r>
      <w:r w:rsidRPr="00803B7C">
        <w:rPr>
          <w:rFonts w:ascii="Calibri" w:hAnsi="Calibri" w:cs="Calibri"/>
          <w:noProof/>
          <w:sz w:val="24"/>
          <w:szCs w:val="24"/>
          <w:lang w:val="en-GB"/>
        </w:rPr>
        <w:t>policymakers</w:t>
      </w:r>
      <w:r w:rsidRPr="00803B7C">
        <w:rPr>
          <w:rFonts w:ascii="Calibri" w:hAnsi="Calibri" w:cs="Calibri"/>
          <w:sz w:val="24"/>
          <w:szCs w:val="24"/>
          <w:lang w:val="en-GB"/>
        </w:rPr>
        <w:t xml:space="preserve"> and development practitioners of the adverse </w:t>
      </w:r>
      <w:r w:rsidRPr="00803B7C">
        <w:rPr>
          <w:rFonts w:ascii="Calibri" w:hAnsi="Calibri" w:cs="Calibri"/>
          <w:noProof/>
          <w:sz w:val="24"/>
          <w:szCs w:val="24"/>
          <w:lang w:val="en-GB"/>
        </w:rPr>
        <w:t>socio-economic</w:t>
      </w:r>
      <w:r w:rsidRPr="00803B7C">
        <w:rPr>
          <w:rFonts w:ascii="Calibri" w:hAnsi="Calibri" w:cs="Calibri"/>
          <w:sz w:val="24"/>
          <w:szCs w:val="24"/>
          <w:lang w:val="en-GB"/>
        </w:rPr>
        <w:t xml:space="preserve"> effects of discrimination based on sexual orientation, and;</w:t>
      </w:r>
    </w:p>
    <w:p w14:paraId="772585F0" w14:textId="77777777" w:rsidR="00F63F94" w:rsidRPr="00803B7C" w:rsidRDefault="00F63F94" w:rsidP="009C4674">
      <w:pPr>
        <w:pStyle w:val="ListParagraph"/>
        <w:numPr>
          <w:ilvl w:val="0"/>
          <w:numId w:val="11"/>
        </w:numPr>
        <w:spacing w:after="240" w:line="240" w:lineRule="auto"/>
        <w:contextualSpacing w:val="0"/>
        <w:jc w:val="both"/>
        <w:rPr>
          <w:rFonts w:ascii="Calibri" w:hAnsi="Calibri" w:cs="Calibri"/>
          <w:b/>
          <w:kern w:val="28"/>
          <w:sz w:val="24"/>
          <w:szCs w:val="24"/>
          <w:lang w:val="en-GB"/>
        </w:rPr>
      </w:pPr>
      <w:r w:rsidRPr="00803B7C">
        <w:rPr>
          <w:rFonts w:ascii="Calibri" w:hAnsi="Calibri" w:cs="Calibri"/>
          <w:b/>
          <w:kern w:val="28"/>
          <w:sz w:val="24"/>
          <w:szCs w:val="24"/>
          <w:lang w:val="en-GB"/>
        </w:rPr>
        <w:t xml:space="preserve">Recommends </w:t>
      </w:r>
      <w:r w:rsidRPr="00803B7C">
        <w:rPr>
          <w:rFonts w:ascii="Calibri" w:hAnsi="Calibri" w:cs="Calibri"/>
          <w:kern w:val="28"/>
          <w:sz w:val="24"/>
          <w:szCs w:val="24"/>
          <w:lang w:val="en-GB"/>
        </w:rPr>
        <w:t>the systematic assessment of existing legislation in education and housing to identify gaps that have adverse effects on LGBTI people, and a needs assessment to identify how schools can be supported to protect against LGBTI discrimination.</w:t>
      </w:r>
    </w:p>
    <w:p w14:paraId="5F5CE2F7" w14:textId="097BF639" w:rsidR="00803B7C" w:rsidRDefault="00F63F94" w:rsidP="0061304D">
      <w:pPr>
        <w:pStyle w:val="Heading2"/>
        <w:spacing w:before="0"/>
        <w:contextualSpacing w:val="0"/>
        <w:jc w:val="both"/>
        <w:rPr>
          <w:rFonts w:cs="Arial"/>
          <w:color w:val="2F5496" w:themeColor="accent1" w:themeShade="BF"/>
          <w:spacing w:val="0"/>
          <w:kern w:val="0"/>
          <w:sz w:val="30"/>
          <w:szCs w:val="30"/>
        </w:rPr>
      </w:pPr>
      <w:bookmarkStart w:id="1" w:name="_Toc508872561"/>
      <w:r w:rsidRPr="00803B7C">
        <w:rPr>
          <w:rFonts w:cs="Arial"/>
          <w:color w:val="2F5496" w:themeColor="accent1" w:themeShade="BF"/>
          <w:spacing w:val="0"/>
          <w:kern w:val="0"/>
          <w:sz w:val="30"/>
          <w:szCs w:val="30"/>
        </w:rPr>
        <w:t>Background and Study Objectives</w:t>
      </w:r>
      <w:bookmarkEnd w:id="1"/>
      <w:r w:rsidRPr="00803B7C">
        <w:rPr>
          <w:rFonts w:cs="Arial"/>
          <w:color w:val="2F5496" w:themeColor="accent1" w:themeShade="BF"/>
          <w:spacing w:val="0"/>
          <w:kern w:val="0"/>
          <w:sz w:val="30"/>
          <w:szCs w:val="30"/>
        </w:rPr>
        <w:t xml:space="preserve"> </w:t>
      </w:r>
    </w:p>
    <w:p w14:paraId="1CEB467A" w14:textId="77777777" w:rsidR="00803B7C" w:rsidRPr="00803B7C" w:rsidRDefault="00803B7C" w:rsidP="009C4674">
      <w:pPr>
        <w:pStyle w:val="Default"/>
        <w:rPr>
          <w:rFonts w:asciiTheme="majorHAnsi" w:eastAsiaTheme="majorEastAsia" w:hAnsiTheme="majorHAnsi" w:cstheme="majorBidi"/>
          <w:color w:val="auto"/>
          <w:spacing w:val="-10"/>
          <w:kern w:val="28"/>
        </w:rPr>
      </w:pPr>
    </w:p>
    <w:p w14:paraId="772585F4" w14:textId="77777777" w:rsidR="00F63F94" w:rsidRPr="00803B7C" w:rsidRDefault="00F63F94" w:rsidP="00EA648F">
      <w:pPr>
        <w:pStyle w:val="Default"/>
        <w:spacing w:after="240"/>
        <w:jc w:val="both"/>
        <w:rPr>
          <w:rFonts w:ascii="Calibri" w:hAnsi="Calibri" w:cs="Calibri"/>
          <w:u w:val="single"/>
        </w:rPr>
      </w:pPr>
      <w:r w:rsidRPr="00803B7C">
        <w:rPr>
          <w:rFonts w:ascii="Calibri" w:hAnsi="Calibri" w:cs="Calibri"/>
          <w:b/>
        </w:rPr>
        <w:t xml:space="preserve">Lesbian, gay, bisexual, transgender, and intersex (LGBTI) people are often victims of violence, </w:t>
      </w:r>
      <w:r w:rsidRPr="00803B7C">
        <w:rPr>
          <w:rFonts w:ascii="Calibri" w:hAnsi="Calibri" w:cs="Calibri"/>
          <w:b/>
          <w:noProof/>
        </w:rPr>
        <w:t>inequality,</w:t>
      </w:r>
      <w:r w:rsidRPr="00803B7C">
        <w:rPr>
          <w:rFonts w:ascii="Calibri" w:hAnsi="Calibri" w:cs="Calibri"/>
          <w:b/>
        </w:rPr>
        <w:t xml:space="preserve"> and discrimination.</w:t>
      </w:r>
      <w:r w:rsidRPr="00803B7C">
        <w:rPr>
          <w:rFonts w:ascii="Calibri" w:hAnsi="Calibri" w:cs="Calibri"/>
        </w:rPr>
        <w:t xml:space="preserve"> Discrimination on the grounds of sexual orientation, gender identity (SOGI), and sex characteristics has wide-ranging effects </w:t>
      </w:r>
      <w:r w:rsidRPr="00803B7C">
        <w:rPr>
          <w:rFonts w:ascii="Calibri" w:hAnsi="Calibri" w:cs="Calibri"/>
          <w:noProof/>
        </w:rPr>
        <w:t xml:space="preserve">on </w:t>
      </w:r>
      <w:r w:rsidRPr="00803B7C">
        <w:rPr>
          <w:rFonts w:ascii="Calibri" w:hAnsi="Calibri" w:cs="Calibri"/>
        </w:rPr>
        <w:t>LGBTI people and the societies they live in. When access to markets, services, and spaces becomes more constrained, jobs are harder to find; education and health services are limited; and political and public engagement is riskier. The effects of discrimination push many LGBTI people into poverty, and it is, therefore, likely that they are overrepresented among the poor.</w:t>
      </w:r>
      <w:r w:rsidRPr="00803B7C">
        <w:rPr>
          <w:rStyle w:val="EndnoteReference"/>
          <w:rFonts w:ascii="Calibri" w:hAnsi="Calibri" w:cs="Calibri"/>
        </w:rPr>
        <w:endnoteReference w:id="1"/>
      </w:r>
      <w:r w:rsidRPr="00803B7C">
        <w:rPr>
          <w:rFonts w:ascii="Calibri" w:hAnsi="Calibri" w:cs="Calibri"/>
        </w:rPr>
        <w:t xml:space="preserve">  </w:t>
      </w:r>
    </w:p>
    <w:p w14:paraId="772585F5" w14:textId="77777777" w:rsidR="00F63F94" w:rsidRPr="00803B7C" w:rsidRDefault="00F63F94" w:rsidP="00EA648F">
      <w:pPr>
        <w:pStyle w:val="CommentText"/>
        <w:spacing w:after="240"/>
        <w:jc w:val="both"/>
        <w:rPr>
          <w:rFonts w:ascii="Calibri" w:hAnsi="Calibri" w:cs="Calibri"/>
          <w:b/>
          <w:sz w:val="24"/>
          <w:szCs w:val="24"/>
          <w:lang w:val="en-GB"/>
        </w:rPr>
      </w:pPr>
      <w:r w:rsidRPr="00803B7C">
        <w:rPr>
          <w:rFonts w:ascii="Calibri" w:hAnsi="Calibri" w:cs="Calibri"/>
          <w:b/>
          <w:sz w:val="24"/>
          <w:szCs w:val="24"/>
          <w:lang w:val="en-GB"/>
        </w:rPr>
        <w:t xml:space="preserve">Collecting data on the experiences of LGBTI people is challenging, and, as a result, robust data that quantifies and details the effects of discrimination is missing in most countries, including Serbia.  </w:t>
      </w:r>
      <w:r w:rsidRPr="00803B7C">
        <w:rPr>
          <w:rFonts w:ascii="Calibri" w:hAnsi="Calibri" w:cs="Calibri"/>
          <w:sz w:val="24"/>
          <w:szCs w:val="24"/>
          <w:lang w:val="en-GB"/>
        </w:rPr>
        <w:t xml:space="preserve">This is primarily because many LGBTI people, especially but not only those who live in developing countries or in countries where discrimination is prevalent, choose to stay under the radar. They hide their LGBTI identity out of fear: fear of rejection and exclusion; fear of harassment; fear of discrimination; and fear of physical violence. Therefore, knowledge about the lived experiences of LGBTI people is limited, especially in contexts where discrimination and exclusion are prevalent. In Serbia, like in many other developing </w:t>
      </w:r>
      <w:r w:rsidRPr="00803B7C">
        <w:rPr>
          <w:rFonts w:ascii="Calibri" w:hAnsi="Calibri" w:cs="Calibri"/>
          <w:sz w:val="24"/>
          <w:szCs w:val="24"/>
          <w:lang w:val="en-GB"/>
        </w:rPr>
        <w:lastRenderedPageBreak/>
        <w:t>countries, reliable and robust data on the social and economic challenges LGBTI people face is not available, making policy interventions difficult. The World Bank is committed to helping to address this evidence gap by undertaking research and collecting rigorous data. Gathering data on the challenges LGBTI people face is an important first step towards developing sustainable solutions that respond to their challenges and needs.</w:t>
      </w:r>
      <w:r w:rsidRPr="00803B7C">
        <w:rPr>
          <w:rFonts w:ascii="Calibri" w:hAnsi="Calibri" w:cs="Calibri"/>
          <w:b/>
          <w:sz w:val="24"/>
          <w:szCs w:val="24"/>
          <w:lang w:val="en-GB"/>
        </w:rPr>
        <w:t xml:space="preserve"> </w:t>
      </w:r>
    </w:p>
    <w:p w14:paraId="772585F6" w14:textId="77777777" w:rsidR="00F63F94" w:rsidRPr="00803B7C" w:rsidRDefault="00F63F94" w:rsidP="00EA648F">
      <w:pPr>
        <w:pStyle w:val="CommentText"/>
        <w:spacing w:after="240"/>
        <w:jc w:val="both"/>
        <w:rPr>
          <w:rFonts w:ascii="Calibri" w:hAnsi="Calibri" w:cs="Calibri"/>
          <w:sz w:val="24"/>
          <w:szCs w:val="24"/>
          <w:lang w:val="en-GB"/>
        </w:rPr>
      </w:pPr>
      <w:r w:rsidRPr="00803B7C">
        <w:rPr>
          <w:rFonts w:ascii="Calibri" w:hAnsi="Calibri" w:cs="Calibri"/>
          <w:b/>
          <w:sz w:val="24"/>
          <w:szCs w:val="24"/>
          <w:lang w:val="en-GB"/>
        </w:rPr>
        <w:t>This report is part of a broader World Bank research initiative: “Understanding the Socio-Economic Dimensions of LGBTI Exclusion in the Western Balkans.”</w:t>
      </w:r>
      <w:r w:rsidRPr="00803B7C">
        <w:rPr>
          <w:rFonts w:ascii="Calibri" w:hAnsi="Calibri" w:cs="Calibri"/>
          <w:sz w:val="24"/>
          <w:szCs w:val="24"/>
          <w:lang w:val="en-GB"/>
        </w:rPr>
        <w:t xml:space="preserve"> In addition to this report, two </w:t>
      </w:r>
      <w:r w:rsidRPr="00803B7C">
        <w:rPr>
          <w:rFonts w:ascii="Calibri" w:hAnsi="Calibri" w:cs="Calibri"/>
          <w:noProof/>
          <w:sz w:val="24"/>
          <w:szCs w:val="24"/>
          <w:lang w:val="en-GB"/>
        </w:rPr>
        <w:t>large-scale</w:t>
      </w:r>
      <w:r w:rsidRPr="00803B7C">
        <w:rPr>
          <w:rFonts w:ascii="Calibri" w:hAnsi="Calibri" w:cs="Calibri"/>
          <w:sz w:val="24"/>
          <w:szCs w:val="24"/>
          <w:lang w:val="en-GB"/>
        </w:rPr>
        <w:t xml:space="preserve"> surveys (reports forthcoming) were conducted, reaching over 5,500 LGBTI people in the region.  </w:t>
      </w:r>
    </w:p>
    <w:p w14:paraId="772585F7" w14:textId="77777777" w:rsidR="00F63F94" w:rsidRPr="00803B7C" w:rsidRDefault="00F63F94" w:rsidP="00E123C4">
      <w:pPr>
        <w:pStyle w:val="CommentText"/>
        <w:numPr>
          <w:ilvl w:val="0"/>
          <w:numId w:val="16"/>
        </w:numPr>
        <w:spacing w:after="240"/>
        <w:jc w:val="both"/>
        <w:rPr>
          <w:rFonts w:ascii="Calibri" w:hAnsi="Calibri" w:cs="Calibri"/>
          <w:sz w:val="24"/>
          <w:szCs w:val="24"/>
          <w:lang w:val="en-GB"/>
        </w:rPr>
      </w:pPr>
      <w:r w:rsidRPr="00803B7C">
        <w:rPr>
          <w:rFonts w:ascii="Calibri" w:hAnsi="Calibri" w:cs="Calibri"/>
          <w:sz w:val="24"/>
          <w:szCs w:val="24"/>
          <w:lang w:val="en-GB"/>
        </w:rPr>
        <w:t xml:space="preserve">The first survey adapts the 2012 European Union Fundamental Rights Agency’s </w:t>
      </w:r>
      <w:r w:rsidRPr="00803B7C">
        <w:rPr>
          <w:rFonts w:ascii="Calibri" w:hAnsi="Calibri" w:cs="Calibri"/>
          <w:i/>
          <w:sz w:val="24"/>
          <w:szCs w:val="24"/>
          <w:lang w:val="en-GB"/>
        </w:rPr>
        <w:t>Survey of LGBT people in the EU and Croatia</w:t>
      </w:r>
      <w:r w:rsidRPr="00803B7C">
        <w:rPr>
          <w:rStyle w:val="EndnoteReference"/>
          <w:rFonts w:ascii="Calibri" w:hAnsi="Calibri" w:cs="Calibri"/>
          <w:sz w:val="24"/>
          <w:szCs w:val="24"/>
          <w:lang w:val="en-GB"/>
        </w:rPr>
        <w:endnoteReference w:id="2"/>
      </w:r>
      <w:r w:rsidRPr="00803B7C">
        <w:rPr>
          <w:rFonts w:ascii="Calibri" w:hAnsi="Calibri" w:cs="Calibri"/>
          <w:sz w:val="24"/>
          <w:szCs w:val="24"/>
          <w:lang w:val="en-GB"/>
        </w:rPr>
        <w:t xml:space="preserve"> and applies that methodology in Albania, Bosnia &amp; Herzegovina, Croatia, Kosovo, FYR Macedonia, Montenegro, Serbia, and Slovenia. That adaptation enables generalizable comparisons of the experiences of LGBTI people in the EU Member States with those of LGBTI people in the Western Balkans.</w:t>
      </w:r>
    </w:p>
    <w:p w14:paraId="772585F8" w14:textId="77777777" w:rsidR="00F63F94" w:rsidRPr="00803B7C" w:rsidRDefault="00F63F94" w:rsidP="00CB256D">
      <w:pPr>
        <w:pStyle w:val="CommentText"/>
        <w:numPr>
          <w:ilvl w:val="0"/>
          <w:numId w:val="16"/>
        </w:numPr>
        <w:spacing w:after="120"/>
        <w:jc w:val="both"/>
        <w:rPr>
          <w:rFonts w:ascii="Calibri" w:hAnsi="Calibri" w:cs="Calibri"/>
          <w:sz w:val="24"/>
          <w:szCs w:val="24"/>
          <w:lang w:val="en-GB"/>
        </w:rPr>
      </w:pPr>
      <w:r w:rsidRPr="00803B7C">
        <w:rPr>
          <w:rFonts w:ascii="Calibri" w:hAnsi="Calibri" w:cs="Calibri"/>
          <w:sz w:val="24"/>
          <w:szCs w:val="24"/>
          <w:lang w:val="en-GB"/>
        </w:rPr>
        <w:t xml:space="preserve">The second survey adapts Serbia’s general welfare survey, the </w:t>
      </w:r>
      <w:r w:rsidRPr="00803B7C">
        <w:rPr>
          <w:rFonts w:ascii="Calibri" w:hAnsi="Calibri" w:cs="Calibri"/>
          <w:i/>
          <w:sz w:val="24"/>
          <w:szCs w:val="24"/>
          <w:lang w:val="en-GB"/>
        </w:rPr>
        <w:t>Survey on Income and Living Conditions (SILC),</w:t>
      </w:r>
      <w:r w:rsidRPr="00803B7C">
        <w:rPr>
          <w:rFonts w:ascii="Calibri" w:hAnsi="Calibri" w:cs="Calibri"/>
          <w:sz w:val="24"/>
          <w:szCs w:val="24"/>
          <w:lang w:val="en-GB"/>
        </w:rPr>
        <w:t xml:space="preserve"> to LGBTI people in Serbia. The adaptation enables the income distribution and social inclusion of LGBTI people to be compared to that of the general population in Serbia. </w:t>
      </w:r>
    </w:p>
    <w:p w14:paraId="772585F9" w14:textId="77777777" w:rsidR="00F63F94" w:rsidRPr="00803B7C" w:rsidRDefault="00F63F94" w:rsidP="00EA648F">
      <w:pPr>
        <w:pStyle w:val="CommentText"/>
        <w:spacing w:after="240"/>
        <w:jc w:val="both"/>
        <w:rPr>
          <w:rFonts w:ascii="Calibri" w:hAnsi="Calibri" w:cs="Calibri"/>
          <w:sz w:val="24"/>
          <w:szCs w:val="24"/>
          <w:lang w:val="en-GB"/>
        </w:rPr>
      </w:pPr>
      <w:r w:rsidRPr="00803B7C">
        <w:rPr>
          <w:rFonts w:ascii="Calibri" w:hAnsi="Calibri" w:cs="Calibri"/>
          <w:sz w:val="24"/>
          <w:szCs w:val="24"/>
          <w:lang w:val="en-GB"/>
        </w:rPr>
        <w:t xml:space="preserve">The current report complements the SILC survey by providing additional qualitative data about the challenges LGBTI people face in two key areas of life: education and housing. Cumulatively, these studies form one of the largest LGBTI data sets outside of the OECD countries. The multifaceted nature of the research initiative helps to better understand the development outcomes for LGBTI people as individuals, in the economy, and in society.  </w:t>
      </w:r>
    </w:p>
    <w:p w14:paraId="772585FA" w14:textId="77777777" w:rsidR="00F63F94" w:rsidRPr="00803B7C" w:rsidRDefault="00F63F94" w:rsidP="00EA648F">
      <w:pPr>
        <w:pStyle w:val="Default"/>
        <w:spacing w:after="240"/>
        <w:jc w:val="both"/>
        <w:rPr>
          <w:rFonts w:ascii="Calibri" w:hAnsi="Calibri" w:cs="Calibri"/>
          <w:color w:val="auto"/>
          <w:lang w:val="en-GB"/>
        </w:rPr>
      </w:pPr>
      <w:r w:rsidRPr="00803B7C">
        <w:rPr>
          <w:rFonts w:ascii="Calibri" w:hAnsi="Calibri" w:cs="Calibri"/>
          <w:b/>
          <w:lang w:val="en-GB"/>
        </w:rPr>
        <w:t xml:space="preserve">Experimental studies have provided important insights into discrimination based on race, sex, </w:t>
      </w:r>
      <w:r w:rsidRPr="00803B7C">
        <w:rPr>
          <w:rFonts w:ascii="Calibri" w:hAnsi="Calibri" w:cs="Calibri"/>
          <w:b/>
          <w:noProof/>
          <w:lang w:val="en-GB"/>
        </w:rPr>
        <w:t>ethnicity,</w:t>
      </w:r>
      <w:r w:rsidRPr="00803B7C">
        <w:rPr>
          <w:rFonts w:ascii="Calibri" w:hAnsi="Calibri" w:cs="Calibri"/>
          <w:b/>
          <w:lang w:val="en-GB"/>
        </w:rPr>
        <w:t xml:space="preserve"> and religious affiliation.</w:t>
      </w:r>
      <w:r w:rsidRPr="00803B7C">
        <w:rPr>
          <w:rFonts w:ascii="Calibri" w:hAnsi="Calibri" w:cs="Calibri"/>
          <w:lang w:val="en-GB"/>
        </w:rPr>
        <w:t xml:space="preserve"> These studies have covered a wide range of areas such as access to employment,</w:t>
      </w:r>
      <w:r w:rsidRPr="00803B7C">
        <w:rPr>
          <w:rStyle w:val="EndnoteReference"/>
          <w:rFonts w:ascii="Calibri" w:hAnsi="Calibri" w:cs="Calibri"/>
          <w:lang w:val="en-GB"/>
        </w:rPr>
        <w:endnoteReference w:id="3"/>
      </w:r>
      <w:r w:rsidRPr="00803B7C">
        <w:rPr>
          <w:rFonts w:ascii="Calibri" w:hAnsi="Calibri" w:cs="Calibri"/>
          <w:lang w:val="en-GB"/>
        </w:rPr>
        <w:t xml:space="preserve"> housing,</w:t>
      </w:r>
      <w:r w:rsidRPr="00803B7C">
        <w:rPr>
          <w:rStyle w:val="EndnoteReference"/>
          <w:rFonts w:ascii="Calibri" w:hAnsi="Calibri" w:cs="Calibri"/>
          <w:lang w:val="en-GB"/>
        </w:rPr>
        <w:endnoteReference w:id="4"/>
      </w:r>
      <w:r w:rsidRPr="00803B7C">
        <w:rPr>
          <w:rFonts w:ascii="Calibri" w:hAnsi="Calibri" w:cs="Calibri"/>
          <w:lang w:val="en-GB"/>
        </w:rPr>
        <w:t xml:space="preserve"> and credit and consumer markets.</w:t>
      </w:r>
      <w:r w:rsidRPr="00803B7C">
        <w:rPr>
          <w:rStyle w:val="EndnoteReference"/>
          <w:rFonts w:ascii="Calibri" w:hAnsi="Calibri" w:cs="Calibri"/>
          <w:lang w:val="en-GB"/>
        </w:rPr>
        <w:endnoteReference w:id="5"/>
      </w:r>
      <w:r w:rsidRPr="00803B7C">
        <w:rPr>
          <w:rFonts w:ascii="Calibri" w:hAnsi="Calibri" w:cs="Calibri"/>
          <w:lang w:val="en-GB"/>
        </w:rPr>
        <w:t xml:space="preserve"> Experimental studies have also been used to examine discrimination based on sexual orientation, but focusing more narrowly on access to the </w:t>
      </w:r>
      <w:r w:rsidRPr="00803B7C">
        <w:rPr>
          <w:rFonts w:ascii="Calibri" w:hAnsi="Calibri" w:cs="Calibri"/>
          <w:noProof/>
          <w:lang w:val="en-GB"/>
        </w:rPr>
        <w:t>labor</w:t>
      </w:r>
      <w:r w:rsidRPr="00803B7C">
        <w:rPr>
          <w:rFonts w:ascii="Calibri" w:hAnsi="Calibri" w:cs="Calibri"/>
          <w:lang w:val="en-GB"/>
        </w:rPr>
        <w:t xml:space="preserve"> market in developed countries.</w:t>
      </w:r>
      <w:r w:rsidRPr="00803B7C">
        <w:rPr>
          <w:rStyle w:val="EndnoteReference"/>
          <w:rFonts w:ascii="Calibri" w:hAnsi="Calibri" w:cs="Calibri"/>
          <w:lang w:val="en-GB"/>
        </w:rPr>
        <w:endnoteReference w:id="6"/>
      </w:r>
      <w:r w:rsidRPr="00803B7C">
        <w:rPr>
          <w:rFonts w:ascii="Calibri" w:hAnsi="Calibri" w:cs="Calibri"/>
          <w:lang w:val="en-GB"/>
        </w:rPr>
        <w:t xml:space="preserve"> Experimental studies offer a simple and effective way of producing reliable data, especially among less conspicuous and hard-to-reach populations such as LGBTI people. The two experiments outlined in this report build on the prior body of work by looking specifically at discrimination based on sexual orientation in accessing compulsory primary school education and the private rental housing market. These two areas were chosen as they represent important steps in the life cycle of exclusion faced by LGBTI people, and in Serbia, they were amenable to the experimental methodology. For the first time, these experiments quantify the extent of discrimination LGBTI people face in accessing education and housing in Serbia: to date, data in both areas has been anecdotal only. </w:t>
      </w:r>
      <w:r w:rsidRPr="00803B7C">
        <w:rPr>
          <w:rFonts w:ascii="Calibri" w:hAnsi="Calibri" w:cs="Calibri"/>
          <w:color w:val="auto"/>
          <w:lang w:val="en-GB"/>
        </w:rPr>
        <w:t xml:space="preserve">A better understanding of this </w:t>
      </w:r>
      <w:r w:rsidRPr="00803B7C">
        <w:rPr>
          <w:rFonts w:ascii="Calibri" w:hAnsi="Calibri" w:cs="Calibri"/>
          <w:noProof/>
          <w:color w:val="auto"/>
          <w:lang w:val="en-GB"/>
        </w:rPr>
        <w:t xml:space="preserve">discrimination can help to </w:t>
      </w:r>
      <w:r w:rsidRPr="00803B7C">
        <w:rPr>
          <w:rFonts w:ascii="Calibri" w:hAnsi="Calibri" w:cs="Calibri"/>
          <w:color w:val="auto"/>
          <w:lang w:val="en-GB"/>
        </w:rPr>
        <w:t xml:space="preserve">inform policies and programs that address the issue, such as introducing, or adjusting, </w:t>
      </w:r>
      <w:r w:rsidRPr="00803B7C">
        <w:rPr>
          <w:rFonts w:ascii="Calibri" w:hAnsi="Calibri" w:cs="Calibri"/>
          <w:noProof/>
          <w:color w:val="auto"/>
          <w:lang w:val="en-GB"/>
        </w:rPr>
        <w:t>laws and regulations</w:t>
      </w:r>
      <w:r w:rsidRPr="00803B7C">
        <w:rPr>
          <w:rFonts w:ascii="Calibri" w:hAnsi="Calibri" w:cs="Calibri"/>
          <w:color w:val="auto"/>
          <w:lang w:val="en-GB"/>
        </w:rPr>
        <w:t xml:space="preserve">, launching public awareness campaigns, and providing systematic training. </w:t>
      </w:r>
    </w:p>
    <w:p w14:paraId="772585FB" w14:textId="77777777" w:rsidR="00F63F94" w:rsidRPr="00803B7C" w:rsidRDefault="00F63F94" w:rsidP="00EA648F">
      <w:pPr>
        <w:pStyle w:val="Default"/>
        <w:spacing w:after="240"/>
        <w:jc w:val="both"/>
        <w:rPr>
          <w:rFonts w:ascii="Calibri" w:hAnsi="Calibri" w:cs="Calibri"/>
          <w:lang w:val="en-GB"/>
        </w:rPr>
      </w:pPr>
      <w:r w:rsidRPr="00803B7C">
        <w:rPr>
          <w:rFonts w:ascii="Calibri" w:hAnsi="Calibri" w:cs="Calibri"/>
          <w:b/>
          <w:lang w:val="en-GB"/>
        </w:rPr>
        <w:t>From a legal and policy perspective, Serbia has made good progress in ensuring the protection of the rights of LGBTI people, but in practice, discrimination against and exclusion of LGBTI people remain a problem.</w:t>
      </w:r>
      <w:r w:rsidRPr="00803B7C">
        <w:rPr>
          <w:rStyle w:val="EndnoteReference"/>
          <w:rFonts w:ascii="Calibri" w:hAnsi="Calibri" w:cs="Calibri"/>
          <w:b/>
          <w:lang w:val="en-GB"/>
        </w:rPr>
        <w:endnoteReference w:id="7"/>
      </w:r>
      <w:r w:rsidRPr="00803B7C">
        <w:rPr>
          <w:rFonts w:ascii="Calibri" w:hAnsi="Calibri" w:cs="Calibri"/>
          <w:b/>
          <w:lang w:val="en-GB"/>
        </w:rPr>
        <w:t xml:space="preserve"> </w:t>
      </w:r>
      <w:r w:rsidRPr="00803B7C">
        <w:rPr>
          <w:rFonts w:ascii="Calibri" w:hAnsi="Calibri" w:cs="Calibri"/>
          <w:lang w:val="en-GB"/>
        </w:rPr>
        <w:t xml:space="preserve">The European Commission confirmed in its 2016 Progress Report, that “the legal and institutional framework for the respect of </w:t>
      </w:r>
      <w:r w:rsidRPr="00803B7C">
        <w:rPr>
          <w:rFonts w:ascii="Calibri" w:hAnsi="Calibri" w:cs="Calibri"/>
          <w:lang w:val="en-GB"/>
        </w:rPr>
        <w:lastRenderedPageBreak/>
        <w:t>fundamental rights is in place,” but goes on highlight the need for sustained efforts to improve the situation of these vulnerable populations.</w:t>
      </w:r>
      <w:r w:rsidRPr="00803B7C">
        <w:rPr>
          <w:rStyle w:val="EndnoteReference"/>
          <w:rFonts w:ascii="Calibri" w:hAnsi="Calibri" w:cs="Calibri"/>
          <w:lang w:val="en-GB"/>
        </w:rPr>
        <w:endnoteReference w:id="8"/>
      </w:r>
      <w:r w:rsidRPr="00803B7C">
        <w:rPr>
          <w:rFonts w:ascii="Calibri" w:hAnsi="Calibri" w:cs="Calibri"/>
          <w:b/>
          <w:lang w:val="en-GB"/>
        </w:rPr>
        <w:t xml:space="preserve"> </w:t>
      </w:r>
      <w:r w:rsidRPr="00803B7C">
        <w:rPr>
          <w:rFonts w:ascii="Calibri" w:hAnsi="Calibri" w:cs="Calibri"/>
          <w:lang w:val="en-GB"/>
        </w:rPr>
        <w:t>Many LGBTI people in Serbia report experiencing discrimination in public and private services and economic opportunity, as well as not feeling safe in public spaces.</w:t>
      </w:r>
      <w:r w:rsidRPr="00803B7C">
        <w:rPr>
          <w:rStyle w:val="EndnoteReference"/>
          <w:rFonts w:ascii="Calibri" w:hAnsi="Calibri" w:cs="Calibri"/>
          <w:lang w:val="en-GB"/>
        </w:rPr>
        <w:endnoteReference w:id="9"/>
      </w:r>
      <w:r w:rsidRPr="00803B7C">
        <w:rPr>
          <w:rFonts w:ascii="Calibri" w:hAnsi="Calibri" w:cs="Calibri"/>
          <w:lang w:val="en-GB"/>
        </w:rPr>
        <w:t xml:space="preserve"> However, there is a lack of robust, quantitative data that clearly shows differential treatment between sexual and gender minorities, and straight and cisgender</w:t>
      </w:r>
      <w:r w:rsidRPr="00803B7C">
        <w:rPr>
          <w:rStyle w:val="EndnoteReference"/>
          <w:rFonts w:ascii="Calibri" w:hAnsi="Calibri" w:cs="Calibri"/>
          <w:lang w:val="en-GB"/>
        </w:rPr>
        <w:endnoteReference w:id="10"/>
      </w:r>
      <w:r w:rsidRPr="00803B7C">
        <w:rPr>
          <w:rFonts w:ascii="Calibri" w:hAnsi="Calibri" w:cs="Calibri"/>
          <w:lang w:val="en-GB"/>
        </w:rPr>
        <w:t xml:space="preserve"> citizens. </w:t>
      </w:r>
    </w:p>
    <w:p w14:paraId="24FAC478" w14:textId="77777777" w:rsidR="00EA648F" w:rsidRDefault="00F63F94" w:rsidP="00EA648F">
      <w:pPr>
        <w:pStyle w:val="Default"/>
        <w:spacing w:after="240"/>
        <w:jc w:val="both"/>
        <w:rPr>
          <w:rFonts w:ascii="Calibri" w:hAnsi="Calibri" w:cs="Calibri"/>
          <w:color w:val="auto"/>
          <w:lang w:val="en-GB"/>
        </w:rPr>
      </w:pPr>
      <w:r w:rsidRPr="00803B7C">
        <w:rPr>
          <w:rFonts w:ascii="Calibri" w:hAnsi="Calibri" w:cs="Calibri"/>
          <w:b/>
          <w:lang w:val="en-GB"/>
        </w:rPr>
        <w:t xml:space="preserve">The two experiments discussed in this </w:t>
      </w:r>
      <w:r w:rsidRPr="00803B7C">
        <w:rPr>
          <w:rFonts w:ascii="Calibri" w:hAnsi="Calibri" w:cs="Calibri"/>
          <w:b/>
          <w:noProof/>
          <w:lang w:val="en-GB"/>
        </w:rPr>
        <w:t>report apply</w:t>
      </w:r>
      <w:r w:rsidRPr="00803B7C">
        <w:rPr>
          <w:rFonts w:ascii="Calibri" w:hAnsi="Calibri" w:cs="Calibri"/>
          <w:b/>
          <w:lang w:val="en-GB"/>
        </w:rPr>
        <w:t xml:space="preserve"> experimental methods to collect reliable information that allows </w:t>
      </w:r>
      <w:r w:rsidRPr="00803B7C">
        <w:rPr>
          <w:rFonts w:ascii="Calibri" w:hAnsi="Calibri" w:cs="Calibri"/>
          <w:b/>
          <w:color w:val="auto"/>
          <w:lang w:val="en-GB"/>
        </w:rPr>
        <w:t xml:space="preserve">comparisons of outcomes </w:t>
      </w:r>
      <w:r w:rsidRPr="00803B7C">
        <w:rPr>
          <w:rFonts w:ascii="Calibri" w:hAnsi="Calibri" w:cs="Calibri"/>
          <w:b/>
          <w:noProof/>
          <w:color w:val="auto"/>
          <w:lang w:val="en-GB"/>
        </w:rPr>
        <w:t>among</w:t>
      </w:r>
      <w:r w:rsidRPr="00803B7C">
        <w:rPr>
          <w:rFonts w:ascii="Calibri" w:hAnsi="Calibri" w:cs="Calibri"/>
          <w:b/>
          <w:color w:val="auto"/>
          <w:lang w:val="en-GB"/>
        </w:rPr>
        <w:t xml:space="preserve"> lesbian and gay people and their heterosexual counterparts.</w:t>
      </w:r>
      <w:r w:rsidRPr="00803B7C">
        <w:rPr>
          <w:rFonts w:ascii="Calibri" w:hAnsi="Calibri" w:cs="Calibri"/>
          <w:color w:val="auto"/>
          <w:lang w:val="en-GB"/>
        </w:rPr>
        <w:t xml:space="preserve"> This is done in real-life settings by using the mystery shopper technique.</w:t>
      </w:r>
      <w:r w:rsidRPr="00803B7C">
        <w:rPr>
          <w:rStyle w:val="EndnoteReference"/>
          <w:rFonts w:ascii="Calibri" w:hAnsi="Calibri" w:cs="Calibri"/>
        </w:rPr>
        <w:endnoteReference w:id="11"/>
      </w:r>
      <w:r w:rsidRPr="00803B7C">
        <w:rPr>
          <w:rFonts w:ascii="Calibri" w:hAnsi="Calibri" w:cs="Calibri"/>
        </w:rPr>
        <w:t xml:space="preserve"> </w:t>
      </w:r>
      <w:r w:rsidRPr="00803B7C">
        <w:rPr>
          <w:rFonts w:ascii="Calibri" w:hAnsi="Calibri" w:cs="Calibri"/>
          <w:color w:val="auto"/>
          <w:lang w:val="en-GB"/>
        </w:rPr>
        <w:t xml:space="preserve">The mystery shopper technique involves the same actors playing different roles (in this case, mothers of feminine boys and non-feminine boys, and lesbian, gay, and straight couples) and approaching the same service providers. The differences in the reactions of the service providers (in this case, schools and landlords) are then measured and attributed to the different identities of the actors, thus isolating the discrimination. </w:t>
      </w:r>
      <w:bookmarkStart w:id="2" w:name="_Toc508872562"/>
    </w:p>
    <w:p w14:paraId="772585FD" w14:textId="5261FD4C" w:rsidR="00F63F94" w:rsidRPr="00803B7C" w:rsidRDefault="00F63F94" w:rsidP="00803B7C">
      <w:pPr>
        <w:pStyle w:val="Heading2"/>
        <w:contextualSpacing w:val="0"/>
        <w:jc w:val="both"/>
        <w:rPr>
          <w:rFonts w:cs="Arial"/>
          <w:color w:val="2F5496" w:themeColor="accent1" w:themeShade="BF"/>
          <w:spacing w:val="0"/>
          <w:kern w:val="0"/>
          <w:sz w:val="30"/>
          <w:szCs w:val="30"/>
        </w:rPr>
      </w:pPr>
      <w:r w:rsidRPr="00803B7C">
        <w:rPr>
          <w:rFonts w:cs="Arial"/>
          <w:color w:val="2F5496" w:themeColor="accent1" w:themeShade="BF"/>
          <w:spacing w:val="0"/>
          <w:kern w:val="0"/>
          <w:sz w:val="30"/>
          <w:szCs w:val="30"/>
        </w:rPr>
        <w:t>Choosing the Research Areas and Methods</w:t>
      </w:r>
      <w:bookmarkEnd w:id="2"/>
    </w:p>
    <w:p w14:paraId="08FB7DE1" w14:textId="77777777" w:rsidR="00803B7C" w:rsidRDefault="00803B7C" w:rsidP="009A5091">
      <w:pPr>
        <w:spacing w:after="0" w:line="240" w:lineRule="auto"/>
        <w:rPr>
          <w:rFonts w:ascii="Calibri" w:hAnsi="Calibri" w:cs="Calibri"/>
          <w:b/>
          <w:lang w:val="en-GB"/>
        </w:rPr>
      </w:pPr>
    </w:p>
    <w:p w14:paraId="772585FE" w14:textId="77777777" w:rsidR="00F63F94" w:rsidRPr="00803B7C" w:rsidRDefault="00F63F94" w:rsidP="00CB256D">
      <w:pPr>
        <w:spacing w:after="120" w:line="240" w:lineRule="auto"/>
        <w:jc w:val="both"/>
        <w:rPr>
          <w:rFonts w:ascii="Calibri" w:hAnsi="Calibri" w:cs="Calibri"/>
          <w:sz w:val="24"/>
          <w:szCs w:val="24"/>
        </w:rPr>
      </w:pPr>
      <w:r w:rsidRPr="00803B7C">
        <w:rPr>
          <w:rFonts w:ascii="Calibri" w:hAnsi="Calibri" w:cs="Calibri"/>
          <w:b/>
          <w:sz w:val="24"/>
          <w:szCs w:val="24"/>
          <w:lang w:val="en-GB"/>
        </w:rPr>
        <w:t xml:space="preserve">The data collection method, the markets, </w:t>
      </w:r>
      <w:r w:rsidRPr="00803B7C">
        <w:rPr>
          <w:rFonts w:ascii="Calibri" w:hAnsi="Calibri" w:cs="Calibri"/>
          <w:b/>
          <w:noProof/>
          <w:sz w:val="24"/>
          <w:szCs w:val="24"/>
          <w:lang w:val="en-GB"/>
        </w:rPr>
        <w:t>services,</w:t>
      </w:r>
      <w:r w:rsidRPr="00803B7C">
        <w:rPr>
          <w:rFonts w:ascii="Calibri" w:hAnsi="Calibri" w:cs="Calibri"/>
          <w:b/>
          <w:sz w:val="24"/>
          <w:szCs w:val="24"/>
          <w:lang w:val="en-GB"/>
        </w:rPr>
        <w:t xml:space="preserve"> and spaces considered, and the scenarios portrayed </w:t>
      </w:r>
      <w:r w:rsidRPr="00803B7C">
        <w:rPr>
          <w:rFonts w:ascii="Calibri" w:hAnsi="Calibri" w:cs="Calibri"/>
          <w:b/>
          <w:noProof/>
          <w:sz w:val="24"/>
          <w:szCs w:val="24"/>
          <w:lang w:val="en-GB"/>
        </w:rPr>
        <w:t>were guided</w:t>
      </w:r>
      <w:r w:rsidRPr="00803B7C">
        <w:rPr>
          <w:rFonts w:ascii="Calibri" w:hAnsi="Calibri" w:cs="Calibri"/>
          <w:b/>
          <w:sz w:val="24"/>
          <w:szCs w:val="24"/>
          <w:lang w:val="en-GB"/>
        </w:rPr>
        <w:t xml:space="preserve"> by the need to address specific challenges in Serbia.</w:t>
      </w:r>
      <w:r w:rsidRPr="00803B7C">
        <w:rPr>
          <w:rFonts w:ascii="Calibri" w:hAnsi="Calibri" w:cs="Calibri"/>
          <w:sz w:val="24"/>
          <w:szCs w:val="24"/>
          <w:lang w:val="en-GB"/>
        </w:rPr>
        <w:t xml:space="preserve"> Widespread </w:t>
      </w:r>
      <w:r w:rsidRPr="00803B7C">
        <w:rPr>
          <w:rFonts w:ascii="Calibri" w:hAnsi="Calibri" w:cs="Calibri"/>
          <w:sz w:val="24"/>
          <w:szCs w:val="24"/>
        </w:rPr>
        <w:t xml:space="preserve">stigma against LGBTI people in Serbia means that the open declaration </w:t>
      </w:r>
      <w:r w:rsidRPr="00803B7C">
        <w:rPr>
          <w:rFonts w:ascii="Calibri" w:hAnsi="Calibri" w:cs="Calibri"/>
          <w:noProof/>
          <w:sz w:val="24"/>
          <w:szCs w:val="24"/>
        </w:rPr>
        <w:t xml:space="preserve">of SOGI </w:t>
      </w:r>
      <w:r w:rsidRPr="00803B7C">
        <w:rPr>
          <w:rFonts w:ascii="Calibri" w:hAnsi="Calibri" w:cs="Calibri"/>
          <w:sz w:val="24"/>
          <w:szCs w:val="24"/>
        </w:rPr>
        <w:t xml:space="preserve">status </w:t>
      </w:r>
      <w:r w:rsidRPr="00803B7C">
        <w:rPr>
          <w:rFonts w:ascii="Calibri" w:hAnsi="Calibri" w:cs="Calibri"/>
          <w:noProof/>
          <w:sz w:val="24"/>
          <w:szCs w:val="24"/>
        </w:rPr>
        <w:t>is quite</w:t>
      </w:r>
      <w:r w:rsidRPr="00803B7C">
        <w:rPr>
          <w:rFonts w:ascii="Calibri" w:hAnsi="Calibri" w:cs="Calibri"/>
          <w:sz w:val="24"/>
          <w:szCs w:val="24"/>
        </w:rPr>
        <w:t xml:space="preserve"> unusual.</w:t>
      </w:r>
      <w:r w:rsidRPr="00803B7C">
        <w:rPr>
          <w:rStyle w:val="EndnoteReference"/>
          <w:rFonts w:ascii="Calibri" w:hAnsi="Calibri" w:cs="Calibri"/>
          <w:sz w:val="24"/>
          <w:szCs w:val="24"/>
        </w:rPr>
        <w:endnoteReference w:id="12"/>
      </w:r>
      <w:r w:rsidRPr="00803B7C">
        <w:rPr>
          <w:rFonts w:ascii="Calibri" w:hAnsi="Calibri" w:cs="Calibri"/>
          <w:sz w:val="24"/>
          <w:szCs w:val="24"/>
        </w:rPr>
        <w:t xml:space="preserve"> </w:t>
      </w:r>
      <w:r w:rsidRPr="00803B7C">
        <w:rPr>
          <w:rFonts w:ascii="Calibri" w:hAnsi="Calibri" w:cs="Calibri"/>
          <w:noProof/>
          <w:sz w:val="24"/>
          <w:szCs w:val="24"/>
        </w:rPr>
        <w:t>This limits the range of experimental scenarios</w:t>
      </w:r>
      <w:r w:rsidRPr="00803B7C">
        <w:rPr>
          <w:rFonts w:ascii="Calibri" w:hAnsi="Calibri" w:cs="Calibri"/>
          <w:sz w:val="24"/>
          <w:szCs w:val="24"/>
        </w:rPr>
        <w:t xml:space="preserve"> which would allow collection of data in situations that are natural enough to guarantee data validity, while securing the safety and anonymity of all participants. This study focuses on gay and lesbian people, as they are identities an average Serbian citizen is more familiar with as compared to transgender or intersex people.</w:t>
      </w:r>
      <w:r w:rsidRPr="00803B7C">
        <w:rPr>
          <w:rFonts w:ascii="Calibri" w:hAnsi="Calibri" w:cs="Calibri"/>
          <w:sz w:val="24"/>
          <w:szCs w:val="24"/>
          <w:vertAlign w:val="superscript"/>
        </w:rPr>
        <w:endnoteReference w:id="13"/>
      </w:r>
      <w:r w:rsidRPr="00803B7C">
        <w:rPr>
          <w:rFonts w:ascii="Calibri" w:hAnsi="Calibri" w:cs="Calibri"/>
          <w:sz w:val="24"/>
          <w:szCs w:val="24"/>
        </w:rPr>
        <w:t xml:space="preserve"> Data </w:t>
      </w:r>
      <w:r w:rsidRPr="00803B7C">
        <w:rPr>
          <w:rFonts w:ascii="Calibri" w:hAnsi="Calibri" w:cs="Calibri"/>
          <w:noProof/>
          <w:sz w:val="24"/>
          <w:szCs w:val="24"/>
        </w:rPr>
        <w:t>were</w:t>
      </w:r>
      <w:r w:rsidRPr="00803B7C">
        <w:rPr>
          <w:rFonts w:ascii="Calibri" w:hAnsi="Calibri" w:cs="Calibri"/>
          <w:sz w:val="24"/>
          <w:szCs w:val="24"/>
        </w:rPr>
        <w:t xml:space="preserve"> collected via telephone interviews to protect the identity and security of the participants and to eliminate the potential influence </w:t>
      </w:r>
      <w:r w:rsidRPr="00803B7C">
        <w:rPr>
          <w:rFonts w:ascii="Calibri" w:hAnsi="Calibri" w:cs="Calibri"/>
          <w:noProof/>
          <w:sz w:val="24"/>
          <w:szCs w:val="24"/>
        </w:rPr>
        <w:t>of face-to-face</w:t>
      </w:r>
      <w:r w:rsidRPr="00803B7C">
        <w:rPr>
          <w:rFonts w:ascii="Calibri" w:hAnsi="Calibri" w:cs="Calibri"/>
          <w:sz w:val="24"/>
          <w:szCs w:val="24"/>
        </w:rPr>
        <w:t xml:space="preserve"> contact on the research outcome.</w:t>
      </w:r>
      <w:r w:rsidRPr="00803B7C">
        <w:rPr>
          <w:rFonts w:ascii="Calibri" w:hAnsi="Calibri" w:cs="Calibri"/>
          <w:sz w:val="24"/>
          <w:szCs w:val="24"/>
          <w:lang w:val="en-GB"/>
        </w:rPr>
        <w:t xml:space="preserve"> This significantly limited the scenarios, services, and markets that could be </w:t>
      </w:r>
      <w:r w:rsidRPr="00803B7C">
        <w:rPr>
          <w:rFonts w:ascii="Calibri" w:hAnsi="Calibri" w:cs="Calibri"/>
          <w:sz w:val="24"/>
          <w:szCs w:val="24"/>
        </w:rPr>
        <w:t>analyzed</w:t>
      </w:r>
      <w:r w:rsidRPr="00803B7C">
        <w:rPr>
          <w:rFonts w:ascii="Calibri" w:hAnsi="Calibri" w:cs="Calibri"/>
          <w:sz w:val="24"/>
          <w:szCs w:val="24"/>
          <w:lang w:val="en-GB"/>
        </w:rPr>
        <w:t xml:space="preserve"> in this type of study. For example, </w:t>
      </w:r>
      <w:r w:rsidRPr="00803B7C">
        <w:rPr>
          <w:rFonts w:ascii="Calibri" w:hAnsi="Calibri" w:cs="Calibri"/>
          <w:sz w:val="24"/>
          <w:szCs w:val="24"/>
        </w:rPr>
        <w:t xml:space="preserve">social welfare centers, financial institutions, and public health </w:t>
      </w:r>
      <w:r w:rsidRPr="00803B7C">
        <w:rPr>
          <w:rFonts w:ascii="Calibri" w:hAnsi="Calibri" w:cs="Calibri"/>
          <w:noProof/>
          <w:sz w:val="24"/>
          <w:szCs w:val="24"/>
        </w:rPr>
        <w:t>institutions generally</w:t>
      </w:r>
      <w:r w:rsidRPr="00803B7C">
        <w:rPr>
          <w:rFonts w:ascii="Calibri" w:hAnsi="Calibri" w:cs="Calibri"/>
          <w:sz w:val="24"/>
          <w:szCs w:val="24"/>
        </w:rPr>
        <w:t xml:space="preserve"> required face-to-face </w:t>
      </w:r>
      <w:r w:rsidRPr="00803B7C">
        <w:rPr>
          <w:rFonts w:ascii="Calibri" w:hAnsi="Calibri" w:cs="Calibri"/>
          <w:noProof/>
          <w:sz w:val="24"/>
          <w:szCs w:val="24"/>
        </w:rPr>
        <w:t>contact</w:t>
      </w:r>
      <w:r w:rsidRPr="00803B7C">
        <w:rPr>
          <w:rFonts w:ascii="Calibri" w:hAnsi="Calibri" w:cs="Calibri"/>
          <w:sz w:val="24"/>
          <w:szCs w:val="24"/>
        </w:rPr>
        <w:t xml:space="preserve"> and were therefore not suitable. Replicating the labor market studies used to show gay and lesbian discrimination in other countries was not viable given </w:t>
      </w:r>
      <w:r w:rsidRPr="00803B7C">
        <w:rPr>
          <w:rFonts w:ascii="Calibri" w:hAnsi="Calibri" w:cs="Calibri"/>
          <w:sz w:val="24"/>
          <w:szCs w:val="24"/>
          <w:lang w:val="en-GB"/>
        </w:rPr>
        <w:t xml:space="preserve">the small number of formal job announcements in Serbia. Education and housing were selected as they focus on two key areas that impact the welfare of citizens and data collection under natural conditions was possible without putting participants at risk. </w:t>
      </w:r>
    </w:p>
    <w:p w14:paraId="772585FF" w14:textId="77777777" w:rsidR="00F63F94" w:rsidRDefault="00F63F94" w:rsidP="00F63F94">
      <w:pPr>
        <w:rPr>
          <w:rFonts w:ascii="Calibri" w:hAnsi="Calibri" w:cs="Calibri"/>
        </w:rPr>
      </w:pPr>
      <w:bookmarkStart w:id="3" w:name="_Toc487467541"/>
      <w:r>
        <w:rPr>
          <w:rFonts w:ascii="Calibri" w:hAnsi="Calibri" w:cs="Calibri"/>
        </w:rPr>
        <w:br w:type="page"/>
      </w:r>
    </w:p>
    <w:p w14:paraId="77258600" w14:textId="33870E46" w:rsidR="00F63F94" w:rsidRPr="00803B7C" w:rsidRDefault="00F63F94" w:rsidP="00803B7C">
      <w:pPr>
        <w:pStyle w:val="Heading1"/>
        <w:numPr>
          <w:ilvl w:val="0"/>
          <w:numId w:val="19"/>
        </w:numPr>
        <w:spacing w:before="40"/>
        <w:ind w:left="426" w:hanging="426"/>
        <w:contextualSpacing w:val="0"/>
        <w:rPr>
          <w:rFonts w:cs="Arial"/>
          <w:color w:val="2F5496" w:themeColor="accent1" w:themeShade="BF"/>
          <w:spacing w:val="0"/>
          <w:kern w:val="0"/>
          <w:sz w:val="36"/>
          <w:szCs w:val="36"/>
          <w:lang w:val="en-US"/>
        </w:rPr>
      </w:pPr>
      <w:bookmarkStart w:id="4" w:name="_Toc496083799"/>
      <w:bookmarkStart w:id="5" w:name="_Toc496087150"/>
      <w:bookmarkStart w:id="6" w:name="_Toc496098272"/>
      <w:bookmarkStart w:id="7" w:name="_Toc487467543"/>
      <w:bookmarkStart w:id="8" w:name="_Toc508872563"/>
      <w:bookmarkEnd w:id="3"/>
      <w:bookmarkEnd w:id="4"/>
      <w:bookmarkEnd w:id="5"/>
      <w:bookmarkEnd w:id="6"/>
      <w:r w:rsidRPr="00803B7C">
        <w:rPr>
          <w:rFonts w:cs="Arial"/>
          <w:color w:val="2F5496" w:themeColor="accent1" w:themeShade="BF"/>
          <w:spacing w:val="0"/>
          <w:kern w:val="0"/>
          <w:sz w:val="36"/>
          <w:szCs w:val="36"/>
          <w:lang w:val="en-US"/>
        </w:rPr>
        <w:lastRenderedPageBreak/>
        <w:t>Access to Primary School Education for Students Perceived to be Gay</w:t>
      </w:r>
      <w:bookmarkEnd w:id="7"/>
      <w:bookmarkEnd w:id="8"/>
    </w:p>
    <w:p w14:paraId="27A8F3DC" w14:textId="77777777" w:rsidR="00803B7C" w:rsidRDefault="00803B7C" w:rsidP="009A5091">
      <w:pPr>
        <w:spacing w:after="0" w:line="240" w:lineRule="auto"/>
        <w:rPr>
          <w:rFonts w:ascii="Calibri" w:hAnsi="Calibri" w:cs="Calibri"/>
          <w:b/>
          <w:lang w:val="en-GB"/>
        </w:rPr>
      </w:pPr>
    </w:p>
    <w:p w14:paraId="77258601" w14:textId="77777777" w:rsidR="00F63F94" w:rsidRDefault="00F63F94" w:rsidP="009A5091">
      <w:pPr>
        <w:spacing w:after="0" w:line="240" w:lineRule="auto"/>
        <w:jc w:val="both"/>
        <w:rPr>
          <w:rFonts w:ascii="Calibri" w:hAnsi="Calibri" w:cs="Calibri"/>
          <w:sz w:val="24"/>
          <w:szCs w:val="24"/>
          <w:lang w:val="en-GB"/>
        </w:rPr>
      </w:pPr>
      <w:r w:rsidRPr="00803B7C">
        <w:rPr>
          <w:rFonts w:ascii="Calibri" w:hAnsi="Calibri" w:cs="Calibri"/>
          <w:b/>
          <w:sz w:val="24"/>
          <w:szCs w:val="24"/>
          <w:lang w:val="en-GB"/>
        </w:rPr>
        <w:t xml:space="preserve">Evidence from many countries </w:t>
      </w:r>
      <w:r w:rsidRPr="00803B7C">
        <w:rPr>
          <w:rFonts w:ascii="Calibri" w:hAnsi="Calibri" w:cs="Calibri"/>
          <w:b/>
          <w:noProof/>
          <w:sz w:val="24"/>
          <w:szCs w:val="24"/>
          <w:lang w:val="en-GB"/>
        </w:rPr>
        <w:t xml:space="preserve">illustrates </w:t>
      </w:r>
      <w:r w:rsidRPr="00803B7C">
        <w:rPr>
          <w:rFonts w:ascii="Calibri" w:hAnsi="Calibri" w:cs="Calibri"/>
          <w:b/>
          <w:sz w:val="24"/>
          <w:szCs w:val="24"/>
          <w:lang w:val="en-GB"/>
        </w:rPr>
        <w:t xml:space="preserve">that LGBTI students face discrimination and bullying from teachers, school </w:t>
      </w:r>
      <w:r w:rsidRPr="00803B7C">
        <w:rPr>
          <w:rFonts w:ascii="Calibri" w:hAnsi="Calibri" w:cs="Calibri"/>
          <w:b/>
          <w:noProof/>
          <w:sz w:val="24"/>
          <w:szCs w:val="24"/>
          <w:lang w:val="en-GB"/>
        </w:rPr>
        <w:t>staff,</w:t>
      </w:r>
      <w:r w:rsidRPr="00803B7C">
        <w:rPr>
          <w:rFonts w:ascii="Calibri" w:hAnsi="Calibri" w:cs="Calibri"/>
          <w:b/>
          <w:sz w:val="24"/>
          <w:szCs w:val="24"/>
          <w:lang w:val="en-GB"/>
        </w:rPr>
        <w:t xml:space="preserve"> and their peers.</w:t>
      </w:r>
      <w:r w:rsidRPr="00803B7C">
        <w:rPr>
          <w:rStyle w:val="EndnoteReference"/>
          <w:rFonts w:ascii="Calibri" w:hAnsi="Calibri" w:cs="Calibri"/>
          <w:b/>
          <w:sz w:val="24"/>
          <w:szCs w:val="24"/>
          <w:lang w:val="en-GB"/>
        </w:rPr>
        <w:endnoteReference w:id="14"/>
      </w:r>
      <w:r w:rsidRPr="00803B7C">
        <w:rPr>
          <w:rFonts w:ascii="Calibri" w:hAnsi="Calibri" w:cs="Calibri"/>
          <w:sz w:val="24"/>
          <w:szCs w:val="24"/>
          <w:lang w:val="en-GB"/>
        </w:rPr>
        <w:t xml:space="preserve"> A 2014 UNICEF study showed that </w:t>
      </w:r>
      <w:r w:rsidRPr="00803B7C">
        <w:rPr>
          <w:rFonts w:ascii="Calibri" w:hAnsi="Calibri" w:cs="Calibri"/>
          <w:sz w:val="24"/>
          <w:szCs w:val="24"/>
        </w:rPr>
        <w:t>homophobic bullying has negative impacts on the students’ attendance and can increase the likelihood of alcohol consumption, depression, and even attempted suicide.</w:t>
      </w:r>
      <w:r w:rsidRPr="00803B7C">
        <w:rPr>
          <w:rStyle w:val="EndnoteReference"/>
          <w:rFonts w:ascii="Calibri" w:hAnsi="Calibri" w:cs="Calibri"/>
          <w:sz w:val="24"/>
          <w:szCs w:val="24"/>
        </w:rPr>
        <w:endnoteReference w:id="15"/>
      </w:r>
      <w:r w:rsidRPr="00803B7C">
        <w:rPr>
          <w:rFonts w:ascii="Calibri" w:hAnsi="Calibri" w:cs="Calibri"/>
          <w:sz w:val="24"/>
          <w:szCs w:val="24"/>
        </w:rPr>
        <w:t xml:space="preserve"> </w:t>
      </w:r>
      <w:r w:rsidRPr="00803B7C">
        <w:rPr>
          <w:rFonts w:ascii="Calibri" w:hAnsi="Calibri" w:cs="Calibri"/>
          <w:sz w:val="24"/>
          <w:szCs w:val="24"/>
          <w:lang w:val="en-GB"/>
        </w:rPr>
        <w:t xml:space="preserve">This in turn leads to lower learning outcomes and higher </w:t>
      </w:r>
      <w:r w:rsidRPr="00803B7C">
        <w:rPr>
          <w:rFonts w:ascii="Calibri" w:hAnsi="Calibri" w:cs="Calibri"/>
          <w:noProof/>
          <w:sz w:val="24"/>
          <w:szCs w:val="24"/>
          <w:lang w:val="en-GB"/>
        </w:rPr>
        <w:t>drop</w:t>
      </w:r>
      <w:r w:rsidRPr="00803B7C">
        <w:rPr>
          <w:rFonts w:ascii="Calibri" w:hAnsi="Calibri" w:cs="Calibri"/>
          <w:sz w:val="24"/>
          <w:szCs w:val="24"/>
          <w:lang w:val="en-GB"/>
        </w:rPr>
        <w:t xml:space="preserve">out or expulsion rates. Poor performance in school reduces opportunities for higher education and access to quality employment. Addressing discrimination against LGBTI students is particularly important considering Sustainable Development Goal 4, under which Serbia (and all countries) has committed to ensuring inclusive and equitable quality education for all. In Serbia, discrimination based on sexual orientation, gender identity, or being intersex in schools has not been systematically researched. This </w:t>
      </w:r>
      <w:r w:rsidRPr="00803B7C">
        <w:rPr>
          <w:rFonts w:ascii="Calibri" w:hAnsi="Calibri" w:cs="Calibri"/>
          <w:noProof/>
          <w:sz w:val="24"/>
          <w:szCs w:val="24"/>
          <w:lang w:val="en-GB"/>
        </w:rPr>
        <w:t>experiment, therefore,</w:t>
      </w:r>
      <w:r w:rsidRPr="00803B7C">
        <w:rPr>
          <w:rFonts w:ascii="Calibri" w:hAnsi="Calibri" w:cs="Calibri"/>
          <w:sz w:val="24"/>
          <w:szCs w:val="24"/>
          <w:lang w:val="en-GB"/>
        </w:rPr>
        <w:t xml:space="preserve"> fills an important data gap for </w:t>
      </w:r>
      <w:r w:rsidRPr="00803B7C">
        <w:rPr>
          <w:rFonts w:ascii="Calibri" w:hAnsi="Calibri" w:cs="Calibri"/>
          <w:noProof/>
          <w:sz w:val="24"/>
          <w:szCs w:val="24"/>
          <w:lang w:val="en-GB"/>
        </w:rPr>
        <w:t>policymakers</w:t>
      </w:r>
      <w:r w:rsidRPr="00803B7C">
        <w:rPr>
          <w:rFonts w:ascii="Calibri" w:hAnsi="Calibri" w:cs="Calibri"/>
          <w:sz w:val="24"/>
          <w:szCs w:val="24"/>
          <w:lang w:val="en-GB"/>
        </w:rPr>
        <w:t xml:space="preserve">, school </w:t>
      </w:r>
      <w:r w:rsidRPr="00803B7C">
        <w:rPr>
          <w:rFonts w:ascii="Calibri" w:hAnsi="Calibri" w:cs="Calibri"/>
          <w:noProof/>
          <w:sz w:val="24"/>
          <w:szCs w:val="24"/>
          <w:lang w:val="en-GB"/>
        </w:rPr>
        <w:t>leaders,</w:t>
      </w:r>
      <w:r w:rsidRPr="00803B7C">
        <w:rPr>
          <w:rFonts w:ascii="Calibri" w:hAnsi="Calibri" w:cs="Calibri"/>
          <w:sz w:val="24"/>
          <w:szCs w:val="24"/>
          <w:lang w:val="en-GB"/>
        </w:rPr>
        <w:t xml:space="preserve"> and the LGBTI community. </w:t>
      </w:r>
    </w:p>
    <w:p w14:paraId="6F6ACDBC" w14:textId="77777777" w:rsidR="00D56470" w:rsidRPr="00803B7C" w:rsidRDefault="00D56470" w:rsidP="00D56470">
      <w:pPr>
        <w:spacing w:after="0" w:line="240" w:lineRule="auto"/>
        <w:jc w:val="both"/>
        <w:rPr>
          <w:rFonts w:ascii="Calibri" w:hAnsi="Calibri" w:cs="Calibri"/>
          <w:sz w:val="24"/>
          <w:szCs w:val="24"/>
          <w:lang w:val="en-GB"/>
        </w:rPr>
      </w:pPr>
    </w:p>
    <w:p w14:paraId="77258604" w14:textId="4816C55B" w:rsidR="00F63F94" w:rsidRPr="00316C10" w:rsidRDefault="00F63F94" w:rsidP="00316C10">
      <w:pPr>
        <w:pStyle w:val="Heading2"/>
        <w:numPr>
          <w:ilvl w:val="1"/>
          <w:numId w:val="3"/>
        </w:numPr>
        <w:ind w:left="0" w:firstLine="0"/>
        <w:contextualSpacing w:val="0"/>
        <w:jc w:val="both"/>
        <w:rPr>
          <w:rFonts w:cs="Arial"/>
          <w:color w:val="2F5496" w:themeColor="accent1" w:themeShade="BF"/>
          <w:spacing w:val="0"/>
          <w:kern w:val="0"/>
          <w:sz w:val="30"/>
          <w:szCs w:val="30"/>
        </w:rPr>
      </w:pPr>
      <w:bookmarkStart w:id="9" w:name="_Toc501122380"/>
      <w:bookmarkStart w:id="10" w:name="_Toc501547611"/>
      <w:bookmarkStart w:id="11" w:name="_Toc508872564"/>
      <w:bookmarkEnd w:id="9"/>
      <w:bookmarkEnd w:id="10"/>
      <w:r w:rsidRPr="00316C10">
        <w:rPr>
          <w:rFonts w:cs="Arial"/>
          <w:color w:val="2F5496" w:themeColor="accent1" w:themeShade="BF"/>
          <w:spacing w:val="0"/>
          <w:kern w:val="0"/>
          <w:sz w:val="30"/>
          <w:szCs w:val="30"/>
        </w:rPr>
        <w:t>Methodology</w:t>
      </w:r>
      <w:bookmarkEnd w:id="11"/>
    </w:p>
    <w:p w14:paraId="10AA46CD" w14:textId="77777777" w:rsidR="00D56470" w:rsidRDefault="00D56470" w:rsidP="009C4674">
      <w:pPr>
        <w:pStyle w:val="Heading3"/>
      </w:pPr>
      <w:bookmarkStart w:id="12" w:name="_Toc508872565"/>
    </w:p>
    <w:p w14:paraId="77258605" w14:textId="32086AAC" w:rsidR="00F63F94" w:rsidRDefault="00F63F94" w:rsidP="009C4674">
      <w:pPr>
        <w:pStyle w:val="Heading3"/>
      </w:pPr>
      <w:r w:rsidRPr="00316C10">
        <w:t>Experimental Scenario</w:t>
      </w:r>
      <w:bookmarkEnd w:id="12"/>
    </w:p>
    <w:p w14:paraId="07F110B8" w14:textId="77777777" w:rsidR="00316C10" w:rsidRPr="00316C10" w:rsidRDefault="00316C10" w:rsidP="00D56470">
      <w:pPr>
        <w:spacing w:after="0"/>
      </w:pPr>
    </w:p>
    <w:p w14:paraId="77258606" w14:textId="77777777" w:rsidR="00F63F94" w:rsidRPr="00316C10" w:rsidRDefault="00F63F94" w:rsidP="00EA648F">
      <w:pPr>
        <w:spacing w:after="240" w:line="240" w:lineRule="auto"/>
        <w:jc w:val="both"/>
        <w:rPr>
          <w:rFonts w:ascii="Calibri" w:hAnsi="Calibri" w:cs="Calibri"/>
          <w:sz w:val="24"/>
          <w:szCs w:val="24"/>
          <w:lang w:val="en-GB"/>
        </w:rPr>
      </w:pPr>
      <w:r w:rsidRPr="00316C10">
        <w:rPr>
          <w:rFonts w:ascii="Calibri" w:hAnsi="Calibri" w:cs="Calibri"/>
          <w:b/>
          <w:sz w:val="24"/>
          <w:szCs w:val="24"/>
          <w:lang w:val="en-GB"/>
        </w:rPr>
        <w:t xml:space="preserve">The experimental scenario was designed to assess if the </w:t>
      </w:r>
      <w:r w:rsidRPr="00316C10">
        <w:rPr>
          <w:rFonts w:ascii="Calibri" w:hAnsi="Calibri" w:cs="Calibri"/>
          <w:b/>
          <w:noProof/>
          <w:sz w:val="24"/>
          <w:szCs w:val="24"/>
          <w:lang w:val="en-GB"/>
        </w:rPr>
        <w:t>presence</w:t>
      </w:r>
      <w:r w:rsidRPr="00316C10">
        <w:rPr>
          <w:rFonts w:ascii="Calibri" w:hAnsi="Calibri" w:cs="Calibri"/>
          <w:b/>
          <w:sz w:val="24"/>
          <w:szCs w:val="24"/>
          <w:lang w:val="en-GB"/>
        </w:rPr>
        <w:t xml:space="preserve"> of perceived femininity among </w:t>
      </w:r>
      <w:r w:rsidRPr="00316C10">
        <w:rPr>
          <w:rFonts w:ascii="Calibri" w:hAnsi="Calibri" w:cs="Calibri"/>
          <w:b/>
          <w:noProof/>
          <w:sz w:val="24"/>
          <w:szCs w:val="24"/>
          <w:lang w:val="en-GB"/>
        </w:rPr>
        <w:t>14-year-old</w:t>
      </w:r>
      <w:r w:rsidRPr="00316C10">
        <w:rPr>
          <w:rFonts w:ascii="Calibri" w:hAnsi="Calibri" w:cs="Calibri"/>
          <w:b/>
          <w:sz w:val="24"/>
          <w:szCs w:val="24"/>
          <w:lang w:val="en-GB"/>
        </w:rPr>
        <w:t xml:space="preserve"> boys had an impact on their chances to </w:t>
      </w:r>
      <w:r w:rsidRPr="00316C10">
        <w:rPr>
          <w:rFonts w:ascii="Calibri" w:hAnsi="Calibri" w:cs="Calibri"/>
          <w:b/>
          <w:noProof/>
          <w:sz w:val="24"/>
          <w:szCs w:val="24"/>
          <w:lang w:val="en-GB"/>
        </w:rPr>
        <w:t>enroll</w:t>
      </w:r>
      <w:r w:rsidRPr="00316C10">
        <w:rPr>
          <w:rFonts w:ascii="Calibri" w:hAnsi="Calibri" w:cs="Calibri"/>
          <w:b/>
          <w:sz w:val="24"/>
          <w:szCs w:val="24"/>
          <w:lang w:val="en-GB"/>
        </w:rPr>
        <w:t xml:space="preserve"> in the seventh (7th) grade of public primary schools in Serbia.</w:t>
      </w:r>
      <w:r w:rsidRPr="00316C10">
        <w:rPr>
          <w:rStyle w:val="EndnoteReference"/>
          <w:rFonts w:ascii="Calibri" w:hAnsi="Calibri" w:cs="Calibri"/>
          <w:b/>
          <w:sz w:val="24"/>
          <w:szCs w:val="24"/>
          <w:lang w:val="en-GB"/>
        </w:rPr>
        <w:endnoteReference w:id="16"/>
      </w:r>
      <w:r w:rsidRPr="00316C10">
        <w:rPr>
          <w:rFonts w:ascii="Calibri" w:hAnsi="Calibri" w:cs="Calibri"/>
          <w:sz w:val="24"/>
          <w:szCs w:val="24"/>
          <w:lang w:val="en-GB"/>
        </w:rPr>
        <w:t xml:space="preserve"> In Serbian culture, men and boys who are perceived to be feminine are commonly assumed to be gay. In contrast, masculine girls or women are not always directly perceived to be lesbian. </w:t>
      </w:r>
      <w:r w:rsidRPr="00316C10">
        <w:rPr>
          <w:rFonts w:ascii="Calibri" w:hAnsi="Calibri" w:cs="Calibri"/>
          <w:noProof/>
          <w:sz w:val="24"/>
          <w:szCs w:val="24"/>
          <w:lang w:val="en-GB"/>
        </w:rPr>
        <w:t>The inclusion</w:t>
      </w:r>
      <w:r w:rsidRPr="00316C10">
        <w:rPr>
          <w:rFonts w:ascii="Calibri" w:hAnsi="Calibri" w:cs="Calibri"/>
          <w:sz w:val="24"/>
          <w:szCs w:val="24"/>
          <w:lang w:val="en-GB"/>
        </w:rPr>
        <w:t xml:space="preserve"> of masculine girls,</w:t>
      </w:r>
      <w:r w:rsidRPr="00316C10">
        <w:rPr>
          <w:rFonts w:ascii="Calibri" w:hAnsi="Calibri" w:cs="Calibri"/>
          <w:sz w:val="24"/>
          <w:szCs w:val="24"/>
        </w:rPr>
        <w:t xml:space="preserve"> or </w:t>
      </w:r>
      <w:r w:rsidRPr="00316C10">
        <w:rPr>
          <w:rFonts w:ascii="Calibri" w:hAnsi="Calibri" w:cs="Calibri"/>
          <w:sz w:val="24"/>
          <w:szCs w:val="24"/>
          <w:lang w:val="en-GB"/>
        </w:rPr>
        <w:t xml:space="preserve">any other part of the LGBTI population that the Serbian people are less familiar with, would not only have reduced the naturalness of the experimental </w:t>
      </w:r>
      <w:r w:rsidRPr="00316C10">
        <w:rPr>
          <w:rFonts w:ascii="Calibri" w:hAnsi="Calibri" w:cs="Calibri"/>
          <w:noProof/>
          <w:sz w:val="24"/>
          <w:szCs w:val="24"/>
          <w:lang w:val="en-GB"/>
        </w:rPr>
        <w:t>scenario</w:t>
      </w:r>
      <w:r w:rsidRPr="00316C10">
        <w:rPr>
          <w:rFonts w:ascii="Calibri" w:hAnsi="Calibri" w:cs="Calibri"/>
          <w:sz w:val="24"/>
          <w:szCs w:val="24"/>
          <w:lang w:val="en-GB"/>
        </w:rPr>
        <w:t xml:space="preserve"> but also complicated the interpretation of the results. Notably, it is irrelevant in the scenario whether the boy in question is gay—only that he is perceived in the community to be gay, and may therefore be vulnerable to discrimination.  </w:t>
      </w:r>
    </w:p>
    <w:p w14:paraId="77258607" w14:textId="77777777" w:rsidR="00F63F94" w:rsidRPr="00316C10" w:rsidRDefault="00F63F94" w:rsidP="00EA648F">
      <w:pPr>
        <w:spacing w:after="240" w:line="240" w:lineRule="auto"/>
        <w:jc w:val="both"/>
        <w:rPr>
          <w:rFonts w:ascii="Calibri" w:hAnsi="Calibri" w:cs="Calibri"/>
          <w:sz w:val="24"/>
          <w:szCs w:val="24"/>
          <w:lang w:val="en-GB"/>
        </w:rPr>
      </w:pPr>
      <w:r w:rsidRPr="00316C10">
        <w:rPr>
          <w:rFonts w:ascii="Calibri" w:hAnsi="Calibri" w:cs="Calibri"/>
          <w:b/>
          <w:sz w:val="24"/>
          <w:szCs w:val="24"/>
          <w:lang w:val="en-GB"/>
        </w:rPr>
        <w:t xml:space="preserve">The schools were contacted by six members of the research team acting as mothers looking to </w:t>
      </w:r>
      <w:r w:rsidRPr="00316C10">
        <w:rPr>
          <w:rFonts w:ascii="Calibri" w:hAnsi="Calibri" w:cs="Calibri"/>
          <w:b/>
          <w:noProof/>
          <w:sz w:val="24"/>
          <w:szCs w:val="24"/>
          <w:lang w:val="en-GB"/>
        </w:rPr>
        <w:t>enroll</w:t>
      </w:r>
      <w:r w:rsidRPr="00316C10">
        <w:rPr>
          <w:rFonts w:ascii="Calibri" w:hAnsi="Calibri" w:cs="Calibri"/>
          <w:b/>
          <w:sz w:val="24"/>
          <w:szCs w:val="24"/>
          <w:lang w:val="en-GB"/>
        </w:rPr>
        <w:t xml:space="preserve"> their son in a new school because the family was relocating for employment reasons.</w:t>
      </w:r>
      <w:r w:rsidRPr="00316C10">
        <w:rPr>
          <w:rFonts w:ascii="Calibri" w:hAnsi="Calibri" w:cs="Calibri"/>
          <w:sz w:val="24"/>
          <w:szCs w:val="24"/>
          <w:lang w:val="en-GB"/>
        </w:rPr>
        <w:t xml:space="preserve"> At the beginning of the interview, before the school administrator has a chance to make any statement about the availability of places, the mother mentions that the boy is “feminine,” and that his femininity is quite obvious, so she wants to </w:t>
      </w:r>
      <w:r w:rsidRPr="00316C10">
        <w:rPr>
          <w:rFonts w:ascii="Calibri" w:hAnsi="Calibri" w:cs="Calibri"/>
          <w:sz w:val="24"/>
          <w:szCs w:val="24"/>
        </w:rPr>
        <w:t xml:space="preserve">draw the school’s attention to the fact. </w:t>
      </w:r>
      <w:r w:rsidRPr="00316C10">
        <w:rPr>
          <w:rFonts w:ascii="Calibri" w:eastAsia="Times New Roman" w:hAnsi="Calibri" w:cs="Calibri"/>
          <w:color w:val="000000"/>
          <w:sz w:val="24"/>
          <w:szCs w:val="24"/>
          <w:lang w:val="en-GB"/>
        </w:rPr>
        <w:t xml:space="preserve">Primary schools are obliged by the law to </w:t>
      </w:r>
      <w:r w:rsidRPr="00316C10">
        <w:rPr>
          <w:rFonts w:ascii="Calibri" w:eastAsia="Times New Roman" w:hAnsi="Calibri" w:cs="Calibri"/>
          <w:noProof/>
          <w:color w:val="000000"/>
          <w:sz w:val="24"/>
          <w:szCs w:val="24"/>
          <w:lang w:val="en-GB"/>
        </w:rPr>
        <w:t>enroll</w:t>
      </w:r>
      <w:r w:rsidRPr="00316C10">
        <w:rPr>
          <w:rFonts w:ascii="Calibri" w:eastAsia="Times New Roman" w:hAnsi="Calibri" w:cs="Calibri"/>
          <w:color w:val="000000"/>
          <w:sz w:val="24"/>
          <w:szCs w:val="24"/>
          <w:lang w:val="en-GB"/>
        </w:rPr>
        <w:t xml:space="preserve"> students. </w:t>
      </w:r>
      <w:r w:rsidRPr="00316C10">
        <w:rPr>
          <w:rFonts w:ascii="Calibri" w:hAnsi="Calibri" w:cs="Calibri"/>
          <w:sz w:val="24"/>
          <w:szCs w:val="24"/>
          <w:lang w:val="en-GB"/>
        </w:rPr>
        <w:t xml:space="preserve">The telephone conversation was designed based on three assumptions: </w:t>
      </w:r>
    </w:p>
    <w:p w14:paraId="77258608" w14:textId="77777777" w:rsidR="00F63F94" w:rsidRPr="00316C10" w:rsidRDefault="00F63F94" w:rsidP="009A5091">
      <w:pPr>
        <w:pStyle w:val="ListParagraph"/>
        <w:numPr>
          <w:ilvl w:val="0"/>
          <w:numId w:val="4"/>
        </w:numPr>
        <w:spacing w:after="0" w:line="240" w:lineRule="auto"/>
        <w:contextualSpacing w:val="0"/>
        <w:jc w:val="both"/>
        <w:rPr>
          <w:rFonts w:ascii="Calibri" w:hAnsi="Calibri" w:cs="Calibri"/>
          <w:sz w:val="24"/>
          <w:szCs w:val="24"/>
          <w:lang w:val="en-GB"/>
        </w:rPr>
      </w:pPr>
      <w:r w:rsidRPr="00316C10">
        <w:rPr>
          <w:rFonts w:ascii="Calibri" w:hAnsi="Calibri" w:cs="Calibri"/>
          <w:sz w:val="24"/>
          <w:szCs w:val="24"/>
          <w:lang w:val="en-GB"/>
        </w:rPr>
        <w:t xml:space="preserve">The femininity of the boy is the only obvious characteristic distinguishing the potential student which could affect the decision about his admission to school; </w:t>
      </w:r>
    </w:p>
    <w:p w14:paraId="77258609" w14:textId="77777777" w:rsidR="00F63F94" w:rsidRPr="00316C10" w:rsidRDefault="00F63F94" w:rsidP="009A5091">
      <w:pPr>
        <w:pStyle w:val="ListParagraph"/>
        <w:numPr>
          <w:ilvl w:val="0"/>
          <w:numId w:val="4"/>
        </w:numPr>
        <w:spacing w:after="0" w:line="240" w:lineRule="auto"/>
        <w:contextualSpacing w:val="0"/>
        <w:jc w:val="both"/>
        <w:rPr>
          <w:rFonts w:ascii="Calibri" w:hAnsi="Calibri" w:cs="Calibri"/>
          <w:sz w:val="24"/>
          <w:szCs w:val="24"/>
          <w:lang w:val="en-GB"/>
        </w:rPr>
      </w:pPr>
      <w:r w:rsidRPr="00316C10">
        <w:rPr>
          <w:rFonts w:ascii="Calibri" w:hAnsi="Calibri" w:cs="Calibri"/>
          <w:sz w:val="24"/>
          <w:szCs w:val="24"/>
          <w:lang w:val="en-GB"/>
        </w:rPr>
        <w:t xml:space="preserve">The mother’s statement about the femininity of her son is very clear and supported by a convincing argument as to why she is mentioning it at all; </w:t>
      </w:r>
    </w:p>
    <w:p w14:paraId="7725860A" w14:textId="77777777" w:rsidR="00F63F94" w:rsidRPr="00316C10" w:rsidRDefault="00F63F94" w:rsidP="009A5091">
      <w:pPr>
        <w:pStyle w:val="ListParagraph"/>
        <w:numPr>
          <w:ilvl w:val="0"/>
          <w:numId w:val="4"/>
        </w:numPr>
        <w:spacing w:after="240" w:line="240" w:lineRule="auto"/>
        <w:contextualSpacing w:val="0"/>
        <w:jc w:val="both"/>
        <w:rPr>
          <w:rFonts w:ascii="Calibri" w:hAnsi="Calibri" w:cs="Calibri"/>
          <w:sz w:val="24"/>
          <w:szCs w:val="24"/>
          <w:lang w:val="en-GB"/>
        </w:rPr>
      </w:pPr>
      <w:r w:rsidRPr="00316C10">
        <w:rPr>
          <w:rFonts w:ascii="Calibri" w:hAnsi="Calibri" w:cs="Calibri"/>
          <w:sz w:val="24"/>
          <w:szCs w:val="24"/>
          <w:lang w:val="en-GB"/>
        </w:rPr>
        <w:t>The conversation should gather information that can be transformed into statistically comparable data.</w:t>
      </w:r>
      <w:r w:rsidRPr="00316C10">
        <w:rPr>
          <w:rStyle w:val="EndnoteReference"/>
          <w:rFonts w:ascii="Calibri" w:hAnsi="Calibri" w:cs="Calibri"/>
          <w:sz w:val="24"/>
          <w:szCs w:val="24"/>
          <w:lang w:val="en-GB"/>
        </w:rPr>
        <w:endnoteReference w:id="17"/>
      </w:r>
    </w:p>
    <w:p w14:paraId="7725860B" w14:textId="77777777" w:rsidR="00F63F94" w:rsidRPr="00316C10" w:rsidRDefault="00F63F94" w:rsidP="009A5091">
      <w:pPr>
        <w:spacing w:after="240" w:line="240" w:lineRule="auto"/>
        <w:jc w:val="both"/>
        <w:rPr>
          <w:rFonts w:ascii="Calibri" w:hAnsi="Calibri" w:cs="Calibri"/>
          <w:sz w:val="24"/>
          <w:szCs w:val="24"/>
          <w:lang w:val="en-GB"/>
        </w:rPr>
      </w:pPr>
      <w:r w:rsidRPr="00316C10">
        <w:rPr>
          <w:rFonts w:ascii="Calibri" w:hAnsi="Calibri" w:cs="Calibri"/>
          <w:sz w:val="24"/>
          <w:szCs w:val="24"/>
        </w:rPr>
        <w:lastRenderedPageBreak/>
        <w:t xml:space="preserve">The scenario of the telephone conversation for the control group was the same, except that the boy was not characterized as feminine. </w:t>
      </w:r>
    </w:p>
    <w:p w14:paraId="7725860C" w14:textId="77777777" w:rsidR="00F63F94" w:rsidRDefault="00F63F94" w:rsidP="009C4674">
      <w:pPr>
        <w:pStyle w:val="Heading3"/>
      </w:pPr>
      <w:bookmarkStart w:id="13" w:name="_Toc508872566"/>
      <w:r w:rsidRPr="00316C10">
        <w:t>Sampling of Schools</w:t>
      </w:r>
      <w:bookmarkEnd w:id="13"/>
      <w:r w:rsidRPr="00316C10">
        <w:t xml:space="preserve"> </w:t>
      </w:r>
    </w:p>
    <w:p w14:paraId="080F1F93" w14:textId="77777777" w:rsidR="00316C10" w:rsidRPr="00316C10" w:rsidRDefault="00316C10" w:rsidP="00D56470">
      <w:pPr>
        <w:spacing w:after="0"/>
      </w:pPr>
    </w:p>
    <w:p w14:paraId="7725860D" w14:textId="77777777" w:rsidR="00F63F94" w:rsidRPr="00CB256D" w:rsidRDefault="00F63F94" w:rsidP="00EA648F">
      <w:pPr>
        <w:spacing w:after="240" w:line="240" w:lineRule="auto"/>
        <w:jc w:val="both"/>
        <w:rPr>
          <w:rFonts w:ascii="Calibri" w:hAnsi="Calibri" w:cs="Calibri"/>
          <w:sz w:val="24"/>
          <w:szCs w:val="24"/>
          <w:lang w:val="en-GB"/>
        </w:rPr>
      </w:pPr>
      <w:r w:rsidRPr="00CB256D">
        <w:rPr>
          <w:rFonts w:ascii="Calibri" w:hAnsi="Calibri" w:cs="Calibri"/>
          <w:b/>
          <w:sz w:val="24"/>
          <w:szCs w:val="24"/>
          <w:lang w:val="en-GB"/>
        </w:rPr>
        <w:t>The experiment sampled primary schools located in urban areas of municipalities with at least five primary schools.</w:t>
      </w:r>
      <w:r w:rsidRPr="00CB256D">
        <w:rPr>
          <w:rStyle w:val="EndnoteReference"/>
          <w:rFonts w:ascii="Calibri" w:hAnsi="Calibri" w:cs="Calibri"/>
          <w:b/>
          <w:sz w:val="24"/>
          <w:szCs w:val="24"/>
          <w:lang w:val="en-GB"/>
        </w:rPr>
        <w:endnoteReference w:id="18"/>
      </w:r>
      <w:r w:rsidRPr="00CB256D">
        <w:rPr>
          <w:rFonts w:ascii="Calibri" w:hAnsi="Calibri" w:cs="Calibri"/>
          <w:sz w:val="24"/>
          <w:szCs w:val="24"/>
          <w:lang w:val="en-GB"/>
        </w:rPr>
        <w:t xml:space="preserve"> Smaller municipalities and rural areas were excluded because the experimental scenario would become less realistic. Additionally, municipalities with just one or two schools were excluded because the school might have felt pressured to approve the enrollment of the feminine boy, given that primary education is mandatory in Serbia </w:t>
      </w:r>
      <w:r w:rsidRPr="00CB256D">
        <w:rPr>
          <w:rFonts w:ascii="Calibri" w:hAnsi="Calibri" w:cs="Calibri"/>
          <w:noProof/>
          <w:sz w:val="24"/>
          <w:szCs w:val="24"/>
          <w:lang w:val="en-GB"/>
        </w:rPr>
        <w:t>until</w:t>
      </w:r>
      <w:r w:rsidRPr="00CB256D">
        <w:rPr>
          <w:rFonts w:ascii="Calibri" w:hAnsi="Calibri" w:cs="Calibri"/>
          <w:sz w:val="24"/>
          <w:szCs w:val="24"/>
          <w:lang w:val="en-GB"/>
        </w:rPr>
        <w:t xml:space="preserve"> the completion of eighth </w:t>
      </w:r>
      <w:r w:rsidRPr="00CB256D">
        <w:rPr>
          <w:rFonts w:ascii="Calibri" w:hAnsi="Calibri" w:cs="Calibri"/>
          <w:noProof/>
          <w:sz w:val="24"/>
          <w:szCs w:val="24"/>
          <w:lang w:val="en-GB"/>
        </w:rPr>
        <w:t>grade.</w:t>
      </w:r>
      <w:r w:rsidRPr="00CB256D">
        <w:rPr>
          <w:rFonts w:ascii="Calibri" w:hAnsi="Calibri" w:cs="Calibri"/>
          <w:sz w:val="24"/>
          <w:szCs w:val="24"/>
          <w:lang w:val="en-GB"/>
        </w:rPr>
        <w:t xml:space="preserve"> </w:t>
      </w:r>
    </w:p>
    <w:p w14:paraId="7725860E" w14:textId="77777777" w:rsidR="00F63F94" w:rsidRPr="00CB256D" w:rsidRDefault="00F63F94" w:rsidP="009A5091">
      <w:pPr>
        <w:spacing w:after="240" w:line="240" w:lineRule="auto"/>
        <w:jc w:val="both"/>
        <w:rPr>
          <w:rFonts w:ascii="Calibri" w:hAnsi="Calibri" w:cs="Calibri"/>
          <w:sz w:val="24"/>
          <w:szCs w:val="24"/>
          <w:lang w:val="en-GB"/>
        </w:rPr>
      </w:pPr>
      <w:r w:rsidRPr="00CB256D">
        <w:rPr>
          <w:rFonts w:ascii="Calibri" w:hAnsi="Calibri" w:cs="Calibri"/>
          <w:b/>
          <w:sz w:val="24"/>
          <w:szCs w:val="24"/>
          <w:lang w:val="en-GB"/>
        </w:rPr>
        <w:t>Out of all eligible schools, 184 were selected from 37 municipalities using standard random selection procedures.</w:t>
      </w:r>
      <w:r w:rsidRPr="00CB256D">
        <w:rPr>
          <w:rStyle w:val="EndnoteReference"/>
          <w:rFonts w:ascii="Calibri" w:hAnsi="Calibri" w:cs="Calibri"/>
          <w:b/>
          <w:sz w:val="24"/>
          <w:szCs w:val="24"/>
          <w:lang w:val="en-GB"/>
        </w:rPr>
        <w:endnoteReference w:id="19"/>
      </w:r>
      <w:r w:rsidRPr="00CB256D">
        <w:rPr>
          <w:rFonts w:ascii="Calibri" w:hAnsi="Calibri" w:cs="Calibri"/>
          <w:sz w:val="24"/>
          <w:szCs w:val="24"/>
          <w:lang w:val="en-GB"/>
        </w:rPr>
        <w:t xml:space="preserve"> Approximately the same number of schools were selected from the three regions: Belgrade,</w:t>
      </w:r>
      <w:r w:rsidRPr="00CB256D">
        <w:rPr>
          <w:rFonts w:ascii="Calibri" w:hAnsi="Calibri" w:cs="Calibri"/>
          <w:sz w:val="24"/>
          <w:szCs w:val="24"/>
        </w:rPr>
        <w:t xml:space="preserve"> Vojvodina</w:t>
      </w:r>
      <w:r w:rsidRPr="00CB256D">
        <w:rPr>
          <w:rFonts w:ascii="Calibri" w:hAnsi="Calibri" w:cs="Calibri"/>
          <w:sz w:val="24"/>
          <w:szCs w:val="24"/>
          <w:lang w:val="en-GB"/>
        </w:rPr>
        <w:t xml:space="preserve">, and Central Serbia. The schools were randomly assigned to treatment (feminine boy) and control </w:t>
      </w:r>
      <w:r w:rsidRPr="00CB256D">
        <w:rPr>
          <w:rFonts w:ascii="Calibri" w:hAnsi="Calibri" w:cs="Calibri"/>
          <w:noProof/>
          <w:sz w:val="24"/>
          <w:szCs w:val="24"/>
          <w:lang w:val="en-GB"/>
        </w:rPr>
        <w:t>group</w:t>
      </w:r>
      <w:r w:rsidRPr="00CB256D">
        <w:rPr>
          <w:rFonts w:ascii="Calibri" w:hAnsi="Calibri" w:cs="Calibri"/>
          <w:sz w:val="24"/>
          <w:szCs w:val="24"/>
          <w:lang w:val="en-GB"/>
        </w:rPr>
        <w:t xml:space="preserve"> (non-feminine boy) so that in each municipality there was an equal number of schools contacted on behalf of the feminine boy and non-feminine boy.</w:t>
      </w:r>
    </w:p>
    <w:p w14:paraId="7725860F" w14:textId="77777777" w:rsidR="00F63F94" w:rsidRDefault="00F63F94" w:rsidP="009C4674">
      <w:pPr>
        <w:pStyle w:val="Heading3"/>
      </w:pPr>
      <w:bookmarkStart w:id="14" w:name="_Toc508872567"/>
      <w:r w:rsidRPr="00316C10">
        <w:t>Measurement</w:t>
      </w:r>
      <w:bookmarkEnd w:id="14"/>
      <w:r w:rsidRPr="00316C10">
        <w:t xml:space="preserve"> </w:t>
      </w:r>
    </w:p>
    <w:p w14:paraId="12D4A5B6" w14:textId="77777777" w:rsidR="00316C10" w:rsidRPr="00316C10" w:rsidRDefault="00316C10" w:rsidP="00D56470">
      <w:pPr>
        <w:spacing w:after="0"/>
      </w:pPr>
    </w:p>
    <w:p w14:paraId="77258610" w14:textId="77777777" w:rsidR="00F63F94" w:rsidRPr="00316C10" w:rsidRDefault="00F63F94" w:rsidP="00EA648F">
      <w:pPr>
        <w:spacing w:after="240" w:line="240" w:lineRule="auto"/>
        <w:jc w:val="both"/>
        <w:rPr>
          <w:rFonts w:ascii="Calibri" w:hAnsi="Calibri" w:cs="Calibri"/>
          <w:sz w:val="24"/>
          <w:szCs w:val="24"/>
        </w:rPr>
      </w:pPr>
      <w:r w:rsidRPr="00316C10">
        <w:rPr>
          <w:rFonts w:ascii="Calibri" w:hAnsi="Calibri" w:cs="Calibri"/>
          <w:b/>
          <w:sz w:val="24"/>
          <w:szCs w:val="24"/>
          <w:lang w:val="en-GB"/>
        </w:rPr>
        <w:t xml:space="preserve">Since the data </w:t>
      </w:r>
      <w:r w:rsidRPr="00316C10">
        <w:rPr>
          <w:rFonts w:ascii="Calibri" w:hAnsi="Calibri" w:cs="Calibri"/>
          <w:b/>
          <w:noProof/>
          <w:sz w:val="24"/>
          <w:szCs w:val="24"/>
          <w:lang w:val="en-GB"/>
        </w:rPr>
        <w:t>was</w:t>
      </w:r>
      <w:r w:rsidRPr="00316C10">
        <w:rPr>
          <w:rFonts w:ascii="Calibri" w:hAnsi="Calibri" w:cs="Calibri"/>
          <w:b/>
          <w:sz w:val="24"/>
          <w:szCs w:val="24"/>
          <w:lang w:val="en-GB"/>
        </w:rPr>
        <w:t xml:space="preserve"> collected through telephone conversations in natural conditions, the transcripts of the conversations were transformed into quantitative measures. </w:t>
      </w:r>
      <w:r w:rsidRPr="00316C10">
        <w:rPr>
          <w:rFonts w:ascii="Calibri" w:hAnsi="Calibri" w:cs="Calibri"/>
          <w:sz w:val="24"/>
          <w:szCs w:val="24"/>
        </w:rPr>
        <w:t>To ensure the robustness of the quantitative data, the evaluation of the outcomes was performed by three independent raters in accordance with the usual standards of evaluations of observations in natural conditions.</w:t>
      </w:r>
      <w:r w:rsidRPr="00316C10">
        <w:rPr>
          <w:rStyle w:val="EndnoteReference"/>
          <w:rFonts w:ascii="Calibri" w:hAnsi="Calibri" w:cs="Calibri"/>
          <w:sz w:val="24"/>
          <w:szCs w:val="24"/>
        </w:rPr>
        <w:endnoteReference w:id="20"/>
      </w:r>
      <w:r w:rsidRPr="00316C10">
        <w:rPr>
          <w:rFonts w:ascii="Calibri" w:hAnsi="Calibri" w:cs="Calibri"/>
          <w:sz w:val="24"/>
          <w:szCs w:val="24"/>
        </w:rPr>
        <w:t xml:space="preserve"> Raters were in no way part of the experiment </w:t>
      </w:r>
      <w:r w:rsidRPr="00316C10">
        <w:rPr>
          <w:rFonts w:ascii="Calibri" w:hAnsi="Calibri" w:cs="Calibri"/>
          <w:sz w:val="24"/>
          <w:szCs w:val="24"/>
          <w:lang w:val="en-GB"/>
        </w:rPr>
        <w:t>and did not have a position on LGBTI rights that could skew their assessment. Their attitudes towards LGBTI rights were checked in their interviews for the job.</w:t>
      </w:r>
    </w:p>
    <w:p w14:paraId="77258611" w14:textId="77777777" w:rsidR="00F63F94" w:rsidRPr="00316C10" w:rsidRDefault="00F63F94" w:rsidP="00CB256D">
      <w:pPr>
        <w:tabs>
          <w:tab w:val="left" w:pos="270"/>
        </w:tabs>
        <w:spacing w:after="120" w:line="240" w:lineRule="auto"/>
        <w:jc w:val="both"/>
        <w:rPr>
          <w:rFonts w:ascii="Calibri" w:hAnsi="Calibri" w:cs="Calibri"/>
          <w:b/>
          <w:sz w:val="24"/>
          <w:szCs w:val="24"/>
          <w:lang w:val="en-GB"/>
        </w:rPr>
      </w:pPr>
      <w:r w:rsidRPr="00316C10">
        <w:rPr>
          <w:rFonts w:ascii="Calibri" w:hAnsi="Calibri" w:cs="Calibri"/>
          <w:b/>
          <w:sz w:val="24"/>
          <w:szCs w:val="24"/>
          <w:lang w:val="en-GB"/>
        </w:rPr>
        <w:t>The outcomes were evaluated on a five-point scale:</w:t>
      </w:r>
    </w:p>
    <w:p w14:paraId="77258612" w14:textId="77777777" w:rsidR="00F63F94" w:rsidRPr="00316C10" w:rsidRDefault="00F63F94" w:rsidP="00505F17">
      <w:pPr>
        <w:pStyle w:val="ListParagraph"/>
        <w:numPr>
          <w:ilvl w:val="0"/>
          <w:numId w:val="5"/>
        </w:numPr>
        <w:tabs>
          <w:tab w:val="left" w:pos="270"/>
        </w:tabs>
        <w:spacing w:after="0" w:line="240" w:lineRule="auto"/>
        <w:contextualSpacing w:val="0"/>
        <w:jc w:val="both"/>
        <w:rPr>
          <w:rFonts w:ascii="Calibri" w:hAnsi="Calibri" w:cs="Calibri"/>
          <w:sz w:val="24"/>
          <w:szCs w:val="24"/>
          <w:lang w:val="en-GB"/>
        </w:rPr>
      </w:pPr>
      <w:r w:rsidRPr="00316C10">
        <w:rPr>
          <w:rFonts w:ascii="Calibri" w:hAnsi="Calibri" w:cs="Calibri"/>
          <w:sz w:val="24"/>
          <w:szCs w:val="24"/>
          <w:lang w:val="en-GB"/>
        </w:rPr>
        <w:t xml:space="preserve">Accepted without hesitation or any additional conditions. </w:t>
      </w:r>
    </w:p>
    <w:p w14:paraId="77258613" w14:textId="77777777" w:rsidR="00F63F94" w:rsidRPr="00316C10" w:rsidRDefault="00F63F94" w:rsidP="00505F17">
      <w:pPr>
        <w:pStyle w:val="ListParagraph"/>
        <w:numPr>
          <w:ilvl w:val="0"/>
          <w:numId w:val="5"/>
        </w:numPr>
        <w:spacing w:after="0" w:line="240" w:lineRule="auto"/>
        <w:contextualSpacing w:val="0"/>
        <w:jc w:val="both"/>
        <w:rPr>
          <w:rFonts w:ascii="Calibri" w:hAnsi="Calibri" w:cs="Calibri"/>
          <w:sz w:val="24"/>
          <w:szCs w:val="24"/>
          <w:lang w:val="en-GB"/>
        </w:rPr>
      </w:pPr>
      <w:r w:rsidRPr="00316C10">
        <w:rPr>
          <w:rFonts w:ascii="Calibri" w:hAnsi="Calibri" w:cs="Calibri"/>
          <w:sz w:val="24"/>
          <w:szCs w:val="24"/>
          <w:lang w:val="en-GB"/>
        </w:rPr>
        <w:t xml:space="preserve">Accepted, but with hesitation, or postponement: the </w:t>
      </w:r>
      <w:r w:rsidRPr="00316C10">
        <w:rPr>
          <w:rFonts w:ascii="Calibri" w:hAnsi="Calibri" w:cs="Calibri"/>
          <w:noProof/>
          <w:sz w:val="24"/>
          <w:szCs w:val="24"/>
          <w:lang w:val="en-GB"/>
        </w:rPr>
        <w:t>decision</w:t>
      </w:r>
      <w:r w:rsidRPr="00316C10">
        <w:rPr>
          <w:rFonts w:ascii="Calibri" w:hAnsi="Calibri" w:cs="Calibri"/>
          <w:sz w:val="24"/>
          <w:szCs w:val="24"/>
          <w:lang w:val="en-GB"/>
        </w:rPr>
        <w:t xml:space="preserve"> was made either with the </w:t>
      </w:r>
      <w:r w:rsidRPr="00316C10">
        <w:rPr>
          <w:rFonts w:ascii="Calibri" w:hAnsi="Calibri" w:cs="Calibri"/>
          <w:noProof/>
          <w:sz w:val="24"/>
          <w:szCs w:val="24"/>
          <w:lang w:val="en-GB"/>
        </w:rPr>
        <w:t>hesitation</w:t>
      </w:r>
      <w:r w:rsidRPr="00316C10">
        <w:rPr>
          <w:rFonts w:ascii="Calibri" w:hAnsi="Calibri" w:cs="Calibri"/>
          <w:sz w:val="24"/>
          <w:szCs w:val="24"/>
          <w:lang w:val="en-GB"/>
        </w:rPr>
        <w:t xml:space="preserve"> of the contacted </w:t>
      </w:r>
      <w:r w:rsidRPr="00316C10">
        <w:rPr>
          <w:rFonts w:ascii="Calibri" w:hAnsi="Calibri" w:cs="Calibri"/>
          <w:noProof/>
          <w:sz w:val="24"/>
          <w:szCs w:val="24"/>
          <w:lang w:val="en-GB"/>
        </w:rPr>
        <w:t>person</w:t>
      </w:r>
      <w:r w:rsidRPr="00316C10">
        <w:rPr>
          <w:rFonts w:ascii="Calibri" w:hAnsi="Calibri" w:cs="Calibri"/>
          <w:sz w:val="24"/>
          <w:szCs w:val="24"/>
          <w:lang w:val="en-GB"/>
        </w:rPr>
        <w:t xml:space="preserve"> or only after consultation with school staff.</w:t>
      </w:r>
    </w:p>
    <w:p w14:paraId="77258614" w14:textId="77777777" w:rsidR="00F63F94" w:rsidRPr="00316C10" w:rsidRDefault="00F63F94" w:rsidP="00505F17">
      <w:pPr>
        <w:pStyle w:val="ListParagraph"/>
        <w:numPr>
          <w:ilvl w:val="0"/>
          <w:numId w:val="5"/>
        </w:numPr>
        <w:spacing w:after="0" w:line="240" w:lineRule="auto"/>
        <w:contextualSpacing w:val="0"/>
        <w:jc w:val="both"/>
        <w:rPr>
          <w:rFonts w:ascii="Calibri" w:hAnsi="Calibri" w:cs="Calibri"/>
          <w:sz w:val="24"/>
          <w:szCs w:val="24"/>
          <w:lang w:val="en-GB"/>
        </w:rPr>
      </w:pPr>
      <w:r w:rsidRPr="00316C10">
        <w:rPr>
          <w:rFonts w:ascii="Calibri" w:hAnsi="Calibri" w:cs="Calibri"/>
          <w:sz w:val="24"/>
          <w:szCs w:val="24"/>
          <w:lang w:val="en-GB"/>
        </w:rPr>
        <w:t xml:space="preserve">Unclear outcome: final decision was not achieved, i.e., the decision is postponed until the mother and her son can go to the </w:t>
      </w:r>
      <w:r w:rsidRPr="00316C10">
        <w:rPr>
          <w:rFonts w:ascii="Calibri" w:hAnsi="Calibri" w:cs="Calibri"/>
          <w:noProof/>
          <w:sz w:val="24"/>
          <w:szCs w:val="24"/>
          <w:lang w:val="en-GB"/>
        </w:rPr>
        <w:t>school</w:t>
      </w:r>
      <w:r w:rsidRPr="00316C10">
        <w:rPr>
          <w:rFonts w:ascii="Calibri" w:hAnsi="Calibri" w:cs="Calibri"/>
          <w:sz w:val="24"/>
          <w:szCs w:val="24"/>
          <w:lang w:val="en-GB"/>
        </w:rPr>
        <w:t xml:space="preserve"> and meet the school authorities face-to-face.</w:t>
      </w:r>
    </w:p>
    <w:p w14:paraId="77258615" w14:textId="77777777" w:rsidR="00F63F94" w:rsidRPr="00316C10" w:rsidRDefault="00F63F94" w:rsidP="00505F17">
      <w:pPr>
        <w:pStyle w:val="ListParagraph"/>
        <w:numPr>
          <w:ilvl w:val="0"/>
          <w:numId w:val="5"/>
        </w:numPr>
        <w:spacing w:after="0" w:line="240" w:lineRule="auto"/>
        <w:contextualSpacing w:val="0"/>
        <w:jc w:val="both"/>
        <w:rPr>
          <w:rFonts w:ascii="Calibri" w:hAnsi="Calibri" w:cs="Calibri"/>
          <w:sz w:val="24"/>
          <w:szCs w:val="24"/>
          <w:lang w:val="en-GB"/>
        </w:rPr>
      </w:pPr>
      <w:r w:rsidRPr="00316C10">
        <w:rPr>
          <w:rFonts w:ascii="Calibri" w:hAnsi="Calibri" w:cs="Calibri"/>
          <w:sz w:val="24"/>
          <w:szCs w:val="24"/>
          <w:lang w:val="en-GB"/>
        </w:rPr>
        <w:t xml:space="preserve">Rejected, but with hesitation: the </w:t>
      </w:r>
      <w:r w:rsidRPr="00316C10">
        <w:rPr>
          <w:rFonts w:ascii="Calibri" w:hAnsi="Calibri" w:cs="Calibri"/>
          <w:noProof/>
          <w:sz w:val="24"/>
          <w:szCs w:val="24"/>
          <w:lang w:val="en-GB"/>
        </w:rPr>
        <w:t>decision</w:t>
      </w:r>
      <w:r w:rsidRPr="00316C10">
        <w:rPr>
          <w:rFonts w:ascii="Calibri" w:hAnsi="Calibri" w:cs="Calibri"/>
          <w:sz w:val="24"/>
          <w:szCs w:val="24"/>
          <w:lang w:val="en-GB"/>
        </w:rPr>
        <w:t xml:space="preserve"> was made either with </w:t>
      </w:r>
      <w:r w:rsidRPr="00316C10">
        <w:rPr>
          <w:rFonts w:ascii="Calibri" w:hAnsi="Calibri" w:cs="Calibri"/>
          <w:noProof/>
          <w:sz w:val="24"/>
          <w:szCs w:val="24"/>
          <w:lang w:val="en-GB"/>
        </w:rPr>
        <w:t>hesitation</w:t>
      </w:r>
      <w:r w:rsidRPr="00316C10">
        <w:rPr>
          <w:rFonts w:ascii="Calibri" w:hAnsi="Calibri" w:cs="Calibri"/>
          <w:sz w:val="24"/>
          <w:szCs w:val="24"/>
          <w:lang w:val="en-GB"/>
        </w:rPr>
        <w:t xml:space="preserve"> of the contacted </w:t>
      </w:r>
      <w:r w:rsidRPr="00316C10">
        <w:rPr>
          <w:rFonts w:ascii="Calibri" w:hAnsi="Calibri" w:cs="Calibri"/>
          <w:noProof/>
          <w:sz w:val="24"/>
          <w:szCs w:val="24"/>
          <w:lang w:val="en-GB"/>
        </w:rPr>
        <w:t>person</w:t>
      </w:r>
      <w:r w:rsidRPr="00316C10">
        <w:rPr>
          <w:rFonts w:ascii="Calibri" w:hAnsi="Calibri" w:cs="Calibri"/>
          <w:sz w:val="24"/>
          <w:szCs w:val="24"/>
          <w:lang w:val="en-GB"/>
        </w:rPr>
        <w:t xml:space="preserve"> or only after consultation with school staff.</w:t>
      </w:r>
    </w:p>
    <w:p w14:paraId="77258616" w14:textId="77777777" w:rsidR="00F63F94" w:rsidRPr="00316C10" w:rsidRDefault="00F63F94" w:rsidP="00CB256D">
      <w:pPr>
        <w:pStyle w:val="ListParagraph"/>
        <w:numPr>
          <w:ilvl w:val="0"/>
          <w:numId w:val="5"/>
        </w:numPr>
        <w:spacing w:after="120" w:line="240" w:lineRule="auto"/>
        <w:contextualSpacing w:val="0"/>
        <w:jc w:val="both"/>
        <w:rPr>
          <w:rFonts w:ascii="Calibri" w:hAnsi="Calibri" w:cs="Calibri"/>
          <w:sz w:val="24"/>
          <w:szCs w:val="24"/>
          <w:lang w:val="en-GB"/>
        </w:rPr>
      </w:pPr>
      <w:r w:rsidRPr="00316C10">
        <w:rPr>
          <w:rFonts w:ascii="Calibri" w:hAnsi="Calibri" w:cs="Calibri"/>
          <w:sz w:val="24"/>
          <w:szCs w:val="24"/>
          <w:lang w:val="en-GB"/>
        </w:rPr>
        <w:t>Rejected without hesitation.</w:t>
      </w:r>
    </w:p>
    <w:p w14:paraId="77258617" w14:textId="275D797D" w:rsidR="009A5091" w:rsidRDefault="009A5091" w:rsidP="00F63F94">
      <w:pPr>
        <w:pStyle w:val="ListParagraph"/>
        <w:spacing w:after="120" w:line="240" w:lineRule="auto"/>
        <w:ind w:left="1260"/>
        <w:contextualSpacing w:val="0"/>
        <w:rPr>
          <w:rFonts w:ascii="Calibri" w:hAnsi="Calibri" w:cs="Calibri"/>
          <w:lang w:val="en-GB"/>
        </w:rPr>
      </w:pPr>
      <w:r>
        <w:rPr>
          <w:rFonts w:ascii="Calibri" w:hAnsi="Calibri" w:cs="Calibri"/>
          <w:lang w:val="en-GB"/>
        </w:rPr>
        <w:br w:type="page"/>
      </w:r>
    </w:p>
    <w:p w14:paraId="480A7173" w14:textId="77777777" w:rsidR="00F63F94" w:rsidRPr="001F7EB4" w:rsidRDefault="00F63F94" w:rsidP="00F63F94">
      <w:pPr>
        <w:pStyle w:val="ListParagraph"/>
        <w:spacing w:after="120" w:line="240" w:lineRule="auto"/>
        <w:ind w:left="1260"/>
        <w:contextualSpacing w:val="0"/>
        <w:rPr>
          <w:rFonts w:ascii="Calibri" w:hAnsi="Calibri" w:cs="Calibri"/>
          <w:lang w:val="en-GB"/>
        </w:rPr>
      </w:pPr>
    </w:p>
    <w:p w14:paraId="77258618" w14:textId="77777777" w:rsidR="00F63F94" w:rsidRDefault="00F63F94" w:rsidP="00316C10">
      <w:pPr>
        <w:pStyle w:val="Heading2"/>
        <w:numPr>
          <w:ilvl w:val="1"/>
          <w:numId w:val="3"/>
        </w:numPr>
        <w:ind w:left="0" w:firstLine="0"/>
        <w:contextualSpacing w:val="0"/>
        <w:jc w:val="both"/>
        <w:rPr>
          <w:rFonts w:cs="Arial"/>
          <w:color w:val="2F5496" w:themeColor="accent1" w:themeShade="BF"/>
          <w:spacing w:val="0"/>
          <w:kern w:val="0"/>
          <w:sz w:val="30"/>
          <w:szCs w:val="30"/>
        </w:rPr>
      </w:pPr>
      <w:bookmarkStart w:id="15" w:name="_Toc496087156"/>
      <w:bookmarkStart w:id="16" w:name="_Toc496098278"/>
      <w:bookmarkStart w:id="17" w:name="_Toc496087157"/>
      <w:bookmarkStart w:id="18" w:name="_Toc496098279"/>
      <w:bookmarkStart w:id="19" w:name="_Toc496087158"/>
      <w:bookmarkStart w:id="20" w:name="_Toc496098280"/>
      <w:bookmarkStart w:id="21" w:name="_Toc508872568"/>
      <w:bookmarkStart w:id="22" w:name="_Toc487467549"/>
      <w:bookmarkEnd w:id="15"/>
      <w:bookmarkEnd w:id="16"/>
      <w:bookmarkEnd w:id="17"/>
      <w:bookmarkEnd w:id="18"/>
      <w:bookmarkEnd w:id="19"/>
      <w:bookmarkEnd w:id="20"/>
      <w:r w:rsidRPr="00316C10">
        <w:rPr>
          <w:rFonts w:cs="Arial"/>
          <w:color w:val="2F5496" w:themeColor="accent1" w:themeShade="BF"/>
          <w:spacing w:val="0"/>
          <w:kern w:val="0"/>
          <w:sz w:val="30"/>
          <w:szCs w:val="30"/>
        </w:rPr>
        <w:t>Results</w:t>
      </w:r>
      <w:bookmarkEnd w:id="21"/>
    </w:p>
    <w:p w14:paraId="69534F1C" w14:textId="77777777" w:rsidR="00D56470" w:rsidRDefault="00D56470" w:rsidP="009C4674">
      <w:pPr>
        <w:pStyle w:val="Heading3"/>
      </w:pPr>
      <w:bookmarkStart w:id="23" w:name="_Toc508872569"/>
    </w:p>
    <w:p w14:paraId="77258619" w14:textId="77777777" w:rsidR="00F63F94" w:rsidRDefault="00F63F94" w:rsidP="009C4674">
      <w:pPr>
        <w:pStyle w:val="Heading3"/>
      </w:pPr>
      <w:r w:rsidRPr="00316C10">
        <w:t>Feminine Boys Have More Limited Access to Primary Schools</w:t>
      </w:r>
      <w:bookmarkEnd w:id="23"/>
    </w:p>
    <w:p w14:paraId="06E1E6DC" w14:textId="77777777" w:rsidR="00316C10" w:rsidRPr="00316C10" w:rsidRDefault="00316C10" w:rsidP="00D56470">
      <w:pPr>
        <w:spacing w:after="0"/>
        <w:jc w:val="both"/>
      </w:pPr>
    </w:p>
    <w:bookmarkEnd w:id="22"/>
    <w:p w14:paraId="7725861A" w14:textId="77777777" w:rsidR="00F63F94" w:rsidRDefault="00F63F94" w:rsidP="00EA648F">
      <w:pPr>
        <w:shd w:val="clear" w:color="auto" w:fill="FFFFFF"/>
        <w:spacing w:after="240" w:line="240" w:lineRule="auto"/>
        <w:jc w:val="both"/>
        <w:rPr>
          <w:rFonts w:ascii="Calibri" w:eastAsia="Times New Roman" w:hAnsi="Calibri" w:cs="Calibri"/>
          <w:color w:val="000000"/>
          <w:sz w:val="24"/>
          <w:szCs w:val="24"/>
          <w:lang w:val="en-GB"/>
        </w:rPr>
      </w:pPr>
      <w:r w:rsidRPr="00316C10">
        <w:rPr>
          <w:rFonts w:ascii="Calibri" w:eastAsia="Times New Roman" w:hAnsi="Calibri" w:cs="Calibri"/>
          <w:b/>
          <w:bCs/>
          <w:color w:val="000000"/>
          <w:sz w:val="24"/>
          <w:szCs w:val="24"/>
          <w:lang w:val="en-GB"/>
        </w:rPr>
        <w:t xml:space="preserve">Feminine boys were three times more likely (14 percent) to be refused enrollment in public primary schools than non-feminine boys (4 percent). </w:t>
      </w:r>
      <w:r w:rsidRPr="00316C10">
        <w:rPr>
          <w:rFonts w:ascii="Calibri" w:eastAsia="Times New Roman" w:hAnsi="Calibri" w:cs="Calibri"/>
          <w:color w:val="000000"/>
          <w:sz w:val="24"/>
          <w:szCs w:val="24"/>
        </w:rPr>
        <w:t xml:space="preserve">Most feminine boys did not face direct refusal; of the refusals, 78.6 percent (11 percent of all boys) came after some delay or hesitation on the part of the school. </w:t>
      </w:r>
      <w:r w:rsidRPr="00316C10">
        <w:rPr>
          <w:rFonts w:ascii="Calibri" w:eastAsia="Times New Roman" w:hAnsi="Calibri" w:cs="Calibri"/>
          <w:color w:val="000000"/>
          <w:sz w:val="24"/>
          <w:szCs w:val="24"/>
          <w:lang w:val="en-GB"/>
        </w:rPr>
        <w:t xml:space="preserve">None of the non-feminine boys were confronted with a refusal preceded by hesitation; they were refused without hesitation and for strictly technical reasons (schools at full capacity). </w:t>
      </w:r>
      <w:r w:rsidRPr="00316C10">
        <w:rPr>
          <w:rFonts w:ascii="Calibri" w:hAnsi="Calibri" w:cs="Calibri"/>
          <w:sz w:val="24"/>
          <w:szCs w:val="24"/>
          <w:lang w:val="en-GB"/>
        </w:rPr>
        <w:t xml:space="preserve">Amongst the boys who were accepted, feminine boys faced significantly more hesitation in the </w:t>
      </w:r>
      <w:r w:rsidRPr="00316C10">
        <w:rPr>
          <w:rFonts w:ascii="Calibri" w:hAnsi="Calibri" w:cs="Calibri"/>
          <w:noProof/>
          <w:sz w:val="24"/>
          <w:szCs w:val="24"/>
          <w:lang w:val="en-GB"/>
        </w:rPr>
        <w:t>decision</w:t>
      </w:r>
      <w:r w:rsidRPr="00316C10">
        <w:rPr>
          <w:rFonts w:ascii="Calibri" w:hAnsi="Calibri" w:cs="Calibri"/>
          <w:sz w:val="24"/>
          <w:szCs w:val="24"/>
          <w:lang w:val="en-GB"/>
        </w:rPr>
        <w:t xml:space="preserve"> than the non-feminine boys. Out of the accepted feminine boys, 51 percent were accepted with hesitation compared to only 25 percent of non-feminine boys.  Enrollment of non-feminine boys was only met with hesitation when the school perceived the boy’s academic performance and discipline to be a potential problem. </w:t>
      </w:r>
      <w:r w:rsidRPr="00316C10">
        <w:rPr>
          <w:rFonts w:ascii="Calibri" w:eastAsia="Times New Roman" w:hAnsi="Calibri" w:cs="Calibri"/>
          <w:color w:val="000000"/>
          <w:sz w:val="24"/>
          <w:szCs w:val="24"/>
          <w:lang w:val="en-GB"/>
        </w:rPr>
        <w:t xml:space="preserve">The difference in the kinds of refusals and acceptances faced by the two different groups of boys reinforces the conclusion that femininity is the reason for discrimination. </w:t>
      </w:r>
    </w:p>
    <w:tbl>
      <w:tblPr>
        <w:tblStyle w:val="TableGrid"/>
        <w:tblW w:w="0" w:type="auto"/>
        <w:tblBorders>
          <w:top w:val="single" w:sz="4" w:space="0" w:color="939492"/>
          <w:left w:val="single" w:sz="4" w:space="0" w:color="939492"/>
          <w:bottom w:val="single" w:sz="4" w:space="0" w:color="939492"/>
          <w:right w:val="single" w:sz="4" w:space="0" w:color="939492"/>
          <w:insideH w:val="single" w:sz="4" w:space="0" w:color="939492"/>
          <w:insideV w:val="single" w:sz="4" w:space="0" w:color="939492"/>
        </w:tblBorders>
        <w:tblCellMar>
          <w:top w:w="113" w:type="dxa"/>
          <w:bottom w:w="113" w:type="dxa"/>
        </w:tblCellMar>
        <w:tblLook w:val="04A0" w:firstRow="1" w:lastRow="0" w:firstColumn="1" w:lastColumn="0" w:noHBand="0" w:noVBand="1"/>
      </w:tblPr>
      <w:tblGrid>
        <w:gridCol w:w="9010"/>
      </w:tblGrid>
      <w:tr w:rsidR="00CC6B6A" w14:paraId="4BD74597" w14:textId="77777777" w:rsidTr="00CC6B6A">
        <w:tc>
          <w:tcPr>
            <w:tcW w:w="9010" w:type="dxa"/>
          </w:tcPr>
          <w:p w14:paraId="5A59F445" w14:textId="77777777" w:rsidR="003D24F2" w:rsidRPr="00316C10" w:rsidRDefault="003D24F2" w:rsidP="003D24F2">
            <w:pPr>
              <w:pStyle w:val="Subtitle"/>
              <w:numPr>
                <w:ilvl w:val="0"/>
                <w:numId w:val="0"/>
              </w:numPr>
              <w:jc w:val="center"/>
              <w:rPr>
                <w:rFonts w:ascii="Calibri" w:hAnsi="Calibri"/>
              </w:rPr>
            </w:pPr>
            <w:r w:rsidRPr="00316C10">
              <w:rPr>
                <w:rFonts w:ascii="Calibri" w:hAnsi="Calibri"/>
              </w:rPr>
              <w:t>Figure 1: Acceptance and refusal of feminine and non-feminine boys</w:t>
            </w:r>
          </w:p>
          <w:p w14:paraId="47FCDB80" w14:textId="465B83C1" w:rsidR="003D24F2" w:rsidRPr="001F7EB4" w:rsidRDefault="003D24F2" w:rsidP="003D24F2">
            <w:pPr>
              <w:spacing w:after="120"/>
              <w:rPr>
                <w:rFonts w:ascii="Calibri" w:hAnsi="Calibri" w:cs="Calibri"/>
                <w:color w:val="FF0000"/>
                <w:sz w:val="18"/>
                <w:lang w:val="en-GB"/>
              </w:rPr>
            </w:pPr>
            <w:r>
              <w:rPr>
                <w:rFonts w:ascii="Calibri" w:hAnsi="Calibri" w:cs="Calibri"/>
                <w:color w:val="FF0000"/>
                <w:sz w:val="18"/>
                <w:lang w:val="en-GB"/>
              </w:rPr>
              <w:t xml:space="preserve">         </w:t>
            </w:r>
            <w:r w:rsidRPr="001F7EB4">
              <w:rPr>
                <w:rFonts w:ascii="Calibri" w:hAnsi="Calibri" w:cs="Calibri"/>
                <w:color w:val="FF0000"/>
                <w:sz w:val="18"/>
                <w:lang w:val="en-GB"/>
              </w:rPr>
              <w:t xml:space="preserve"> </w:t>
            </w:r>
            <w:r w:rsidRPr="00AF63B6">
              <w:rPr>
                <w:rFonts w:ascii="Calibri" w:hAnsi="Calibri" w:cs="Calibri"/>
                <w:noProof/>
                <w:color w:val="5A5A5A"/>
              </w:rPr>
              <w:drawing>
                <wp:inline distT="0" distB="0" distL="0" distR="0" wp14:anchorId="4DD36568" wp14:editId="2AF22567">
                  <wp:extent cx="2676525" cy="3343275"/>
                  <wp:effectExtent l="0" t="0" r="15875" b="9525"/>
                  <wp:docPr id="353" name="Chart 3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1F7EB4">
              <w:rPr>
                <w:rFonts w:ascii="Calibri" w:hAnsi="Calibri" w:cs="Calibri"/>
                <w:color w:val="FF0000"/>
                <w:sz w:val="18"/>
                <w:lang w:val="en-GB"/>
              </w:rPr>
              <w:t xml:space="preserve"> </w:t>
            </w:r>
            <w:r w:rsidRPr="001F7EB4">
              <w:rPr>
                <w:rFonts w:ascii="Calibri" w:hAnsi="Calibri" w:cs="Calibri"/>
                <w:noProof/>
                <w:color w:val="FF0000"/>
              </w:rPr>
              <w:drawing>
                <wp:inline distT="0" distB="0" distL="0" distR="0" wp14:anchorId="37B18094" wp14:editId="2691AC8C">
                  <wp:extent cx="2590800" cy="3331028"/>
                  <wp:effectExtent l="0" t="0" r="12700" b="9525"/>
                  <wp:docPr id="354" name="Chart 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44F936C" w14:textId="11925AA2" w:rsidR="00CC6B6A" w:rsidRPr="003D24F2" w:rsidRDefault="003D24F2" w:rsidP="003D24F2">
            <w:pPr>
              <w:shd w:val="clear" w:color="auto" w:fill="FFFFFF"/>
              <w:spacing w:after="120"/>
              <w:ind w:firstLine="450"/>
              <w:rPr>
                <w:rFonts w:ascii="Calibri" w:eastAsia="Times New Roman" w:hAnsi="Calibri" w:cs="Calibri"/>
                <w:bCs/>
                <w:color w:val="000000"/>
                <w:sz w:val="20"/>
                <w:lang w:val="en-GB"/>
              </w:rPr>
            </w:pPr>
            <w:r w:rsidRPr="001F7EB4">
              <w:rPr>
                <w:rFonts w:ascii="Calibri" w:eastAsia="Times New Roman" w:hAnsi="Calibri" w:cs="Calibri"/>
                <w:bCs/>
                <w:noProof/>
                <w:color w:val="000000"/>
                <w:sz w:val="20"/>
                <w:lang w:val="en-GB"/>
              </w:rPr>
              <w:t>Database</w:t>
            </w:r>
            <w:r w:rsidRPr="001F7EB4">
              <w:rPr>
                <w:rFonts w:ascii="Calibri" w:eastAsia="Times New Roman" w:hAnsi="Calibri" w:cs="Calibri"/>
                <w:bCs/>
                <w:color w:val="000000"/>
                <w:sz w:val="20"/>
                <w:lang w:val="en-GB"/>
              </w:rPr>
              <w:t>: all schools, n=184</w:t>
            </w:r>
          </w:p>
        </w:tc>
      </w:tr>
    </w:tbl>
    <w:p w14:paraId="534036D5" w14:textId="77777777" w:rsidR="00CC6B6A" w:rsidRPr="00316C10" w:rsidRDefault="00CC6B6A" w:rsidP="007153E1">
      <w:pPr>
        <w:shd w:val="clear" w:color="auto" w:fill="FFFFFF"/>
        <w:spacing w:after="0" w:line="240" w:lineRule="auto"/>
        <w:jc w:val="both"/>
        <w:rPr>
          <w:rFonts w:ascii="Calibri" w:hAnsi="Calibri" w:cs="Calibri"/>
          <w:noProof/>
          <w:sz w:val="24"/>
          <w:szCs w:val="24"/>
        </w:rPr>
      </w:pPr>
    </w:p>
    <w:p w14:paraId="7725861E" w14:textId="77777777" w:rsidR="00F63F94" w:rsidRDefault="00F63F94" w:rsidP="00EA648F">
      <w:pPr>
        <w:spacing w:after="240"/>
        <w:jc w:val="both"/>
        <w:rPr>
          <w:rFonts w:ascii="Calibri" w:eastAsia="Times New Roman" w:hAnsi="Calibri" w:cs="Calibri"/>
          <w:bCs/>
          <w:color w:val="000000"/>
          <w:sz w:val="24"/>
          <w:szCs w:val="24"/>
          <w:lang w:val="en-GB"/>
        </w:rPr>
      </w:pPr>
      <w:r w:rsidRPr="00316C10">
        <w:rPr>
          <w:rFonts w:ascii="Calibri" w:eastAsia="Times New Roman" w:hAnsi="Calibri" w:cs="Calibri"/>
          <w:bCs/>
          <w:color w:val="000000"/>
          <w:sz w:val="24"/>
          <w:szCs w:val="24"/>
          <w:lang w:val="en-GB"/>
        </w:rPr>
        <w:t xml:space="preserve">Omitting the 7 percent of unclear cases (8 percent for feminine boys and 6 percent for non-feminine boys) and combining all acceptances and all refusals clearly </w:t>
      </w:r>
      <w:r w:rsidRPr="00316C10">
        <w:rPr>
          <w:rFonts w:ascii="Calibri" w:eastAsia="Times New Roman" w:hAnsi="Calibri" w:cs="Calibri"/>
          <w:bCs/>
          <w:noProof/>
          <w:color w:val="000000"/>
          <w:sz w:val="24"/>
          <w:szCs w:val="24"/>
          <w:lang w:val="en-GB"/>
        </w:rPr>
        <w:t>shows</w:t>
      </w:r>
      <w:r w:rsidRPr="00316C10">
        <w:rPr>
          <w:rFonts w:ascii="Calibri" w:eastAsia="Times New Roman" w:hAnsi="Calibri" w:cs="Calibri"/>
          <w:bCs/>
          <w:color w:val="000000"/>
          <w:sz w:val="24"/>
          <w:szCs w:val="24"/>
          <w:lang w:val="en-GB"/>
        </w:rPr>
        <w:t xml:space="preserve"> the discrimination against feminine boys</w:t>
      </w:r>
      <w:r w:rsidRPr="00316C10">
        <w:rPr>
          <w:rFonts w:ascii="Arial" w:eastAsia="Times New Roman" w:hAnsi="Arial" w:cs="Arial"/>
          <w:color w:val="000000"/>
          <w:sz w:val="24"/>
          <w:szCs w:val="24"/>
        </w:rPr>
        <w:t>—</w:t>
      </w:r>
      <w:r w:rsidRPr="00316C10">
        <w:rPr>
          <w:rFonts w:ascii="Calibri" w:eastAsia="Times New Roman" w:hAnsi="Calibri" w:cs="Calibri"/>
          <w:bCs/>
          <w:color w:val="000000"/>
          <w:sz w:val="24"/>
          <w:szCs w:val="24"/>
          <w:lang w:val="en-GB"/>
        </w:rPr>
        <w:t>their chances of being refused enrollment are three times higher (figure 2).</w:t>
      </w:r>
      <w:r w:rsidRPr="00316C10">
        <w:rPr>
          <w:rStyle w:val="EndnoteReference"/>
          <w:rFonts w:ascii="Calibri" w:eastAsia="Times New Roman" w:hAnsi="Calibri" w:cs="Calibri"/>
          <w:bCs/>
          <w:color w:val="000000"/>
          <w:sz w:val="24"/>
          <w:szCs w:val="24"/>
          <w:lang w:val="en-GB"/>
        </w:rPr>
        <w:endnoteReference w:id="21"/>
      </w:r>
      <w:r w:rsidRPr="00316C10">
        <w:rPr>
          <w:rFonts w:ascii="Calibri" w:eastAsia="Times New Roman" w:hAnsi="Calibri" w:cs="Calibri"/>
          <w:bCs/>
          <w:color w:val="000000"/>
          <w:sz w:val="24"/>
          <w:szCs w:val="24"/>
          <w:lang w:val="en-GB"/>
        </w:rPr>
        <w:t xml:space="preserve"> </w:t>
      </w:r>
    </w:p>
    <w:tbl>
      <w:tblPr>
        <w:tblStyle w:val="TableGrid"/>
        <w:tblW w:w="0" w:type="auto"/>
        <w:tblBorders>
          <w:top w:val="single" w:sz="4" w:space="0" w:color="939492"/>
          <w:left w:val="single" w:sz="4" w:space="0" w:color="939492"/>
          <w:bottom w:val="single" w:sz="4" w:space="0" w:color="939492"/>
          <w:right w:val="single" w:sz="4" w:space="0" w:color="939492"/>
          <w:insideH w:val="single" w:sz="4" w:space="0" w:color="939492"/>
          <w:insideV w:val="single" w:sz="4" w:space="0" w:color="939492"/>
        </w:tblBorders>
        <w:tblCellMar>
          <w:top w:w="113" w:type="dxa"/>
          <w:bottom w:w="113" w:type="dxa"/>
        </w:tblCellMar>
        <w:tblLook w:val="04A0" w:firstRow="1" w:lastRow="0" w:firstColumn="1" w:lastColumn="0" w:noHBand="0" w:noVBand="1"/>
      </w:tblPr>
      <w:tblGrid>
        <w:gridCol w:w="9010"/>
      </w:tblGrid>
      <w:tr w:rsidR="00CC6B6A" w14:paraId="4B88C98D" w14:textId="77777777" w:rsidTr="00A903A0">
        <w:tc>
          <w:tcPr>
            <w:tcW w:w="9010" w:type="dxa"/>
          </w:tcPr>
          <w:p w14:paraId="4C847A99" w14:textId="774B629B" w:rsidR="003D24F2" w:rsidRPr="00316C10" w:rsidRDefault="003D24F2" w:rsidP="003D24F2">
            <w:pPr>
              <w:pStyle w:val="Subtitle"/>
              <w:numPr>
                <w:ilvl w:val="0"/>
                <w:numId w:val="0"/>
              </w:numPr>
              <w:jc w:val="center"/>
              <w:rPr>
                <w:rFonts w:ascii="Calibri" w:hAnsi="Calibri"/>
              </w:rPr>
            </w:pPr>
            <w:r w:rsidRPr="00316C10">
              <w:rPr>
                <w:rFonts w:ascii="Calibri" w:hAnsi="Calibri"/>
              </w:rPr>
              <w:lastRenderedPageBreak/>
              <w:t>Figure 2: Acceptance and refusal of feminine and non-feminine boys—simplified</w:t>
            </w:r>
          </w:p>
          <w:p w14:paraId="11601F0B" w14:textId="77777777" w:rsidR="003D24F2" w:rsidRPr="001F7EB4" w:rsidRDefault="003D24F2" w:rsidP="003D24F2">
            <w:pPr>
              <w:spacing w:after="120"/>
              <w:rPr>
                <w:rFonts w:ascii="Calibri" w:hAnsi="Calibri" w:cs="Calibri"/>
                <w:color w:val="FF0000"/>
                <w:sz w:val="18"/>
                <w:lang w:val="en-GB"/>
              </w:rPr>
            </w:pPr>
            <w:r w:rsidRPr="001F7EB4">
              <w:rPr>
                <w:rFonts w:ascii="Calibri" w:hAnsi="Calibri" w:cs="Calibri"/>
                <w:color w:val="FF0000"/>
                <w:sz w:val="18"/>
                <w:lang w:val="en-GB"/>
              </w:rPr>
              <w:t xml:space="preserve">          </w:t>
            </w:r>
            <w:r w:rsidRPr="001F7EB4">
              <w:rPr>
                <w:rFonts w:ascii="Calibri" w:hAnsi="Calibri" w:cs="Calibri"/>
                <w:noProof/>
                <w:color w:val="FF0000"/>
              </w:rPr>
              <w:drawing>
                <wp:inline distT="0" distB="0" distL="0" distR="0" wp14:anchorId="4F424478" wp14:editId="2478B726">
                  <wp:extent cx="2676525" cy="2836506"/>
                  <wp:effectExtent l="0" t="0" r="15875" b="889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1F7EB4">
              <w:rPr>
                <w:rFonts w:ascii="Calibri" w:hAnsi="Calibri" w:cs="Calibri"/>
                <w:color w:val="FF0000"/>
                <w:sz w:val="18"/>
                <w:lang w:val="en-GB"/>
              </w:rPr>
              <w:t xml:space="preserve"> </w:t>
            </w:r>
            <w:r w:rsidRPr="001F7EB4">
              <w:rPr>
                <w:rFonts w:ascii="Calibri" w:hAnsi="Calibri" w:cs="Calibri"/>
                <w:noProof/>
                <w:color w:val="FF0000"/>
              </w:rPr>
              <w:drawing>
                <wp:inline distT="0" distB="0" distL="0" distR="0" wp14:anchorId="6EA29C8B" wp14:editId="461700A6">
                  <wp:extent cx="2590800" cy="2920482"/>
                  <wp:effectExtent l="0" t="0" r="12700" b="1333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BA7482E" w14:textId="3D94248F" w:rsidR="00CC6B6A" w:rsidRPr="003D24F2" w:rsidRDefault="003D24F2" w:rsidP="003D24F2">
            <w:pPr>
              <w:shd w:val="clear" w:color="auto" w:fill="FFFFFF"/>
              <w:spacing w:after="120"/>
              <w:ind w:left="360"/>
              <w:rPr>
                <w:rFonts w:ascii="Calibri" w:eastAsia="Times New Roman" w:hAnsi="Calibri" w:cs="Calibri"/>
                <w:bCs/>
                <w:color w:val="000000"/>
                <w:sz w:val="20"/>
              </w:rPr>
            </w:pPr>
            <w:r w:rsidRPr="001F7EB4">
              <w:rPr>
                <w:rFonts w:ascii="Calibri" w:eastAsia="Times New Roman" w:hAnsi="Calibri" w:cs="Calibri"/>
                <w:bCs/>
                <w:noProof/>
                <w:color w:val="000000"/>
                <w:sz w:val="20"/>
                <w:lang w:val="en-GB"/>
              </w:rPr>
              <w:t>Database</w:t>
            </w:r>
            <w:r w:rsidRPr="001F7EB4">
              <w:rPr>
                <w:rFonts w:ascii="Calibri" w:eastAsia="Times New Roman" w:hAnsi="Calibri" w:cs="Calibri"/>
                <w:bCs/>
                <w:color w:val="000000"/>
                <w:sz w:val="20"/>
                <w:lang w:val="en-GB"/>
              </w:rPr>
              <w:t>: Cases with clear outcome (</w:t>
            </w:r>
            <w:r>
              <w:rPr>
                <w:rFonts w:ascii="Calibri" w:eastAsia="Times New Roman" w:hAnsi="Calibri" w:cs="Calibri"/>
                <w:bCs/>
                <w:color w:val="000000"/>
                <w:sz w:val="20"/>
                <w:lang w:val="en-GB"/>
              </w:rPr>
              <w:t>un</w:t>
            </w:r>
            <w:r w:rsidRPr="001F7EB4">
              <w:rPr>
                <w:rFonts w:ascii="Calibri" w:eastAsia="Times New Roman" w:hAnsi="Calibri" w:cs="Calibri"/>
                <w:bCs/>
                <w:color w:val="000000"/>
                <w:sz w:val="20"/>
                <w:lang w:val="en-GB"/>
              </w:rPr>
              <w:t>clear cases omitted), n=172, 93% of schools, feminine boys n=85 (92%), non-feminine boys n=87 (95%)</w:t>
            </w:r>
          </w:p>
        </w:tc>
      </w:tr>
      <w:tr w:rsidR="00A614E1" w14:paraId="0FE47D50" w14:textId="77777777" w:rsidTr="00A903A0">
        <w:tc>
          <w:tcPr>
            <w:tcW w:w="9010" w:type="dxa"/>
          </w:tcPr>
          <w:p w14:paraId="3A59537C" w14:textId="77777777" w:rsidR="00A614E1" w:rsidRPr="00316C10" w:rsidRDefault="00A614E1" w:rsidP="003D24F2">
            <w:pPr>
              <w:pStyle w:val="Subtitle"/>
              <w:numPr>
                <w:ilvl w:val="0"/>
                <w:numId w:val="0"/>
              </w:numPr>
              <w:jc w:val="center"/>
              <w:rPr>
                <w:rFonts w:ascii="Calibri" w:hAnsi="Calibri"/>
              </w:rPr>
            </w:pPr>
          </w:p>
        </w:tc>
      </w:tr>
    </w:tbl>
    <w:p w14:paraId="77258622" w14:textId="77777777" w:rsidR="00F63F94" w:rsidRPr="001F7EB4" w:rsidRDefault="00F63F94" w:rsidP="007153E1">
      <w:pPr>
        <w:shd w:val="clear" w:color="auto" w:fill="FFFFFF"/>
        <w:spacing w:after="0" w:line="240" w:lineRule="auto"/>
        <w:rPr>
          <w:rFonts w:ascii="Calibri" w:hAnsi="Calibri" w:cs="Calibri"/>
          <w:lang w:val="en-GB"/>
        </w:rPr>
      </w:pPr>
    </w:p>
    <w:p w14:paraId="77258623" w14:textId="77777777" w:rsidR="00F63F94" w:rsidRDefault="00F63F94" w:rsidP="00EA648F">
      <w:pPr>
        <w:shd w:val="clear" w:color="auto" w:fill="FFFFFF"/>
        <w:spacing w:after="240" w:line="240" w:lineRule="auto"/>
        <w:jc w:val="both"/>
        <w:rPr>
          <w:rFonts w:ascii="Calibri" w:hAnsi="Calibri" w:cs="Calibri"/>
          <w:sz w:val="24"/>
          <w:szCs w:val="24"/>
          <w:lang w:val="en-GB"/>
        </w:rPr>
      </w:pPr>
      <w:r w:rsidRPr="00316C10">
        <w:rPr>
          <w:rFonts w:ascii="Calibri" w:hAnsi="Calibri" w:cs="Calibri"/>
          <w:sz w:val="24"/>
          <w:szCs w:val="24"/>
          <w:lang w:val="en-GB"/>
        </w:rPr>
        <w:t xml:space="preserve">The chances of a non-feminine boy being accepted into a school without hesitation are more than twice as high (72 percent) as the chances for feminine boys (35 percent; figure 3). </w:t>
      </w:r>
      <w:r w:rsidRPr="00316C10">
        <w:rPr>
          <w:rStyle w:val="EndnoteReference"/>
          <w:rFonts w:ascii="Calibri" w:hAnsi="Calibri" w:cs="Calibri"/>
          <w:sz w:val="24"/>
          <w:szCs w:val="24"/>
          <w:lang w:val="en-GB"/>
        </w:rPr>
        <w:endnoteReference w:id="22"/>
      </w:r>
    </w:p>
    <w:tbl>
      <w:tblPr>
        <w:tblStyle w:val="TableGrid"/>
        <w:tblW w:w="0" w:type="auto"/>
        <w:tblBorders>
          <w:top w:val="single" w:sz="4" w:space="0" w:color="939492"/>
          <w:left w:val="single" w:sz="4" w:space="0" w:color="939492"/>
          <w:bottom w:val="single" w:sz="4" w:space="0" w:color="939492"/>
          <w:right w:val="single" w:sz="4" w:space="0" w:color="939492"/>
          <w:insideH w:val="single" w:sz="4" w:space="0" w:color="939492"/>
          <w:insideV w:val="single" w:sz="4" w:space="0" w:color="939492"/>
        </w:tblBorders>
        <w:tblCellMar>
          <w:top w:w="113" w:type="dxa"/>
          <w:bottom w:w="113" w:type="dxa"/>
        </w:tblCellMar>
        <w:tblLook w:val="04A0" w:firstRow="1" w:lastRow="0" w:firstColumn="1" w:lastColumn="0" w:noHBand="0" w:noVBand="1"/>
      </w:tblPr>
      <w:tblGrid>
        <w:gridCol w:w="9010"/>
      </w:tblGrid>
      <w:tr w:rsidR="00CC6B6A" w14:paraId="62A7CCBF" w14:textId="77777777" w:rsidTr="00A903A0">
        <w:tc>
          <w:tcPr>
            <w:tcW w:w="9010" w:type="dxa"/>
          </w:tcPr>
          <w:p w14:paraId="0EAE0A2D" w14:textId="77777777" w:rsidR="003D24F2" w:rsidRPr="00316C10" w:rsidRDefault="003D24F2" w:rsidP="003D24F2">
            <w:pPr>
              <w:pStyle w:val="Subtitle"/>
              <w:numPr>
                <w:ilvl w:val="0"/>
                <w:numId w:val="0"/>
              </w:numPr>
              <w:jc w:val="center"/>
              <w:rPr>
                <w:rFonts w:ascii="Calibri" w:hAnsi="Calibri"/>
              </w:rPr>
            </w:pPr>
            <w:r w:rsidRPr="00316C10">
              <w:rPr>
                <w:rFonts w:ascii="Calibri" w:hAnsi="Calibri"/>
              </w:rPr>
              <w:t>Figure 3: Feminine and non-feminine boys accepted without hesitation</w:t>
            </w:r>
          </w:p>
          <w:p w14:paraId="45C90DFB" w14:textId="77777777" w:rsidR="003D24F2" w:rsidRPr="001F7EB4" w:rsidRDefault="003D24F2" w:rsidP="003D24F2">
            <w:pPr>
              <w:spacing w:after="120"/>
              <w:rPr>
                <w:rFonts w:ascii="Calibri" w:hAnsi="Calibri" w:cs="Calibri"/>
                <w:color w:val="FF0000"/>
                <w:sz w:val="18"/>
                <w:highlight w:val="magenta"/>
                <w:lang w:val="en-GB"/>
              </w:rPr>
            </w:pPr>
            <w:r w:rsidRPr="001F7EB4">
              <w:rPr>
                <w:rFonts w:ascii="Calibri" w:hAnsi="Calibri" w:cs="Calibri"/>
                <w:color w:val="FF0000"/>
                <w:sz w:val="18"/>
                <w:lang w:val="en-GB"/>
              </w:rPr>
              <w:t xml:space="preserve">          </w:t>
            </w:r>
            <w:r w:rsidRPr="001F7EB4">
              <w:rPr>
                <w:rFonts w:ascii="Calibri" w:hAnsi="Calibri" w:cs="Calibri"/>
                <w:noProof/>
                <w:color w:val="FF0000"/>
              </w:rPr>
              <w:drawing>
                <wp:inline distT="0" distB="0" distL="0" distR="0" wp14:anchorId="6450A111" wp14:editId="7B80C3F5">
                  <wp:extent cx="2595490" cy="2590800"/>
                  <wp:effectExtent l="0" t="0" r="8255" b="127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1F7EB4">
              <w:rPr>
                <w:rFonts w:ascii="Calibri" w:hAnsi="Calibri" w:cs="Calibri"/>
                <w:color w:val="FF0000"/>
                <w:sz w:val="18"/>
                <w:lang w:val="en-GB"/>
              </w:rPr>
              <w:t xml:space="preserve"> </w:t>
            </w:r>
            <w:r w:rsidRPr="001F7EB4">
              <w:rPr>
                <w:rFonts w:ascii="Calibri" w:hAnsi="Calibri" w:cs="Calibri"/>
                <w:noProof/>
                <w:color w:val="FF0000"/>
              </w:rPr>
              <w:drawing>
                <wp:inline distT="0" distB="0" distL="0" distR="0" wp14:anchorId="2755C42E" wp14:editId="15EA7E2D">
                  <wp:extent cx="2625725" cy="2659225"/>
                  <wp:effectExtent l="0" t="0" r="15875" b="825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AD5AF03" w14:textId="67316A02" w:rsidR="00CC6B6A" w:rsidRPr="003D24F2" w:rsidRDefault="003D24F2" w:rsidP="003D24F2">
            <w:pPr>
              <w:spacing w:after="120"/>
              <w:ind w:left="450"/>
              <w:rPr>
                <w:rFonts w:ascii="Calibri" w:hAnsi="Calibri" w:cs="Calibri"/>
                <w:color w:val="0070C0"/>
                <w:sz w:val="20"/>
                <w:szCs w:val="20"/>
                <w:lang w:val="en-GB"/>
              </w:rPr>
            </w:pPr>
            <w:r w:rsidRPr="001F7EB4">
              <w:rPr>
                <w:rFonts w:ascii="Calibri" w:hAnsi="Calibri" w:cs="Calibri"/>
                <w:noProof/>
                <w:sz w:val="20"/>
                <w:szCs w:val="20"/>
                <w:lang w:val="en-GB"/>
              </w:rPr>
              <w:t>Database</w:t>
            </w:r>
            <w:r w:rsidRPr="001F7EB4">
              <w:rPr>
                <w:rFonts w:ascii="Calibri" w:hAnsi="Calibri" w:cs="Calibri"/>
                <w:sz w:val="20"/>
                <w:szCs w:val="20"/>
                <w:lang w:val="en-GB"/>
              </w:rPr>
              <w:t>: Accepted boys only; n=155, 84% of schools; feminine boys n=72 (78%), non-feminine boys n=83 (90%)</w:t>
            </w:r>
            <w:bookmarkStart w:id="24" w:name="_GoBack"/>
            <w:bookmarkEnd w:id="24"/>
          </w:p>
        </w:tc>
      </w:tr>
    </w:tbl>
    <w:p w14:paraId="6AE979A8" w14:textId="77777777" w:rsidR="00EA648F" w:rsidRDefault="00EA648F" w:rsidP="009C4674">
      <w:pPr>
        <w:pStyle w:val="Heading3"/>
      </w:pPr>
      <w:bookmarkStart w:id="25" w:name="_Toc508872570"/>
      <w:bookmarkStart w:id="26" w:name="_Toc487467550"/>
    </w:p>
    <w:p w14:paraId="749A9C4D" w14:textId="77777777" w:rsidR="00AE6824" w:rsidRDefault="00AE6824" w:rsidP="009C4674">
      <w:pPr>
        <w:pStyle w:val="Heading3"/>
      </w:pPr>
      <w:r>
        <w:br w:type="page"/>
      </w:r>
    </w:p>
    <w:p w14:paraId="77258627" w14:textId="40E38CBA" w:rsidR="00F63F94" w:rsidRDefault="00F63F94" w:rsidP="009C4674">
      <w:pPr>
        <w:pStyle w:val="Heading3"/>
      </w:pPr>
      <w:r w:rsidRPr="00316C10">
        <w:lastRenderedPageBreak/>
        <w:t>Reasons for Rejections</w:t>
      </w:r>
      <w:bookmarkEnd w:id="25"/>
      <w:r w:rsidRPr="00316C10">
        <w:t xml:space="preserve"> </w:t>
      </w:r>
    </w:p>
    <w:p w14:paraId="544AFB56" w14:textId="77777777" w:rsidR="00316C10" w:rsidRPr="00316C10" w:rsidRDefault="00316C10" w:rsidP="00EA648F">
      <w:pPr>
        <w:spacing w:after="0"/>
      </w:pPr>
    </w:p>
    <w:bookmarkEnd w:id="26"/>
    <w:p w14:paraId="77258628" w14:textId="77777777" w:rsidR="00F63F94" w:rsidRPr="00CB256D" w:rsidRDefault="00F63F94" w:rsidP="00CB256D">
      <w:pPr>
        <w:spacing w:after="120" w:line="240" w:lineRule="auto"/>
        <w:jc w:val="both"/>
        <w:rPr>
          <w:rFonts w:ascii="Calibri" w:hAnsi="Calibri" w:cs="Calibri"/>
          <w:b/>
          <w:sz w:val="24"/>
          <w:szCs w:val="24"/>
          <w:lang w:val="en-GB"/>
        </w:rPr>
      </w:pPr>
      <w:r w:rsidRPr="00CB256D">
        <w:rPr>
          <w:rFonts w:ascii="Calibri" w:hAnsi="Calibri" w:cs="Calibri"/>
          <w:b/>
          <w:sz w:val="24"/>
          <w:szCs w:val="24"/>
          <w:lang w:val="en-GB"/>
        </w:rPr>
        <w:t xml:space="preserve">Non-feminine boys were only refused enrollment because the schools lacked space for new students. </w:t>
      </w:r>
      <w:r w:rsidRPr="00CB256D">
        <w:rPr>
          <w:rFonts w:ascii="Calibri" w:hAnsi="Calibri" w:cs="Calibri"/>
          <w:sz w:val="24"/>
          <w:szCs w:val="24"/>
          <w:lang w:val="en-GB"/>
        </w:rPr>
        <w:t xml:space="preserve">Although the schools used the same argument to refuse the enrollment of feminine boys their </w:t>
      </w:r>
      <w:r w:rsidRPr="00CB256D">
        <w:rPr>
          <w:rFonts w:ascii="Calibri" w:hAnsi="Calibri" w:cs="Calibri"/>
          <w:b/>
          <w:sz w:val="24"/>
          <w:szCs w:val="24"/>
          <w:lang w:val="en-GB"/>
        </w:rPr>
        <w:t>responses made it obvious that the reason for the refusal was in fact grounded in the boy’s perceived femininity</w:t>
      </w:r>
      <w:r w:rsidRPr="00CB256D">
        <w:rPr>
          <w:rFonts w:ascii="Calibri" w:hAnsi="Calibri" w:cs="Calibri"/>
          <w:sz w:val="24"/>
          <w:szCs w:val="24"/>
          <w:lang w:val="en-GB"/>
        </w:rPr>
        <w:t>.</w:t>
      </w:r>
    </w:p>
    <w:p w14:paraId="77258629" w14:textId="24FBDDAB" w:rsidR="00F63F94" w:rsidRPr="009A5091" w:rsidRDefault="00F63F94" w:rsidP="00713EC6">
      <w:pPr>
        <w:spacing w:after="240" w:line="240" w:lineRule="auto"/>
        <w:ind w:left="360" w:right="720"/>
        <w:jc w:val="both"/>
        <w:rPr>
          <w:rFonts w:ascii="Calibri" w:hAnsi="Calibri" w:cs="Calibri"/>
          <w:b/>
          <w:i/>
          <w:sz w:val="24"/>
          <w:szCs w:val="24"/>
          <w:lang w:val="en-GB"/>
        </w:rPr>
      </w:pPr>
      <w:r w:rsidRPr="009A5091">
        <w:rPr>
          <w:rFonts w:ascii="Calibri" w:hAnsi="Calibri" w:cs="Calibri"/>
          <w:i/>
          <w:sz w:val="24"/>
          <w:szCs w:val="24"/>
          <w:lang w:val="en-GB"/>
        </w:rPr>
        <w:t xml:space="preserve">Our classes have 25-26 students. I have talked to the class masters and they are not willing to accept new students. There are other schools with a smaller number of students </w:t>
      </w:r>
      <w:r w:rsidR="009A5091" w:rsidRPr="009A5091">
        <w:rPr>
          <w:rFonts w:ascii="Calibri" w:hAnsi="Calibri" w:cs="Calibri"/>
          <w:i/>
          <w:sz w:val="24"/>
          <w:szCs w:val="24"/>
          <w:lang w:val="en-GB"/>
        </w:rPr>
        <w:t xml:space="preserve">... </w:t>
      </w:r>
      <w:r w:rsidRPr="009A5091">
        <w:rPr>
          <w:rFonts w:ascii="Calibri" w:hAnsi="Calibri" w:cs="Calibri"/>
          <w:i/>
          <w:sz w:val="24"/>
          <w:szCs w:val="24"/>
          <w:lang w:val="en-GB"/>
        </w:rPr>
        <w:t xml:space="preserve">So, I can’t make this possible. And another thing, we have aggressive seventh graders and I’m afraid that this wouldn’t be a good environment for your son. You know that they always look for a victim. And the victim is the one slightly different. You will surely do better if you look for a school with a smaller number of students </w:t>
      </w:r>
      <w:r w:rsidR="009A5091" w:rsidRPr="009A5091">
        <w:rPr>
          <w:rFonts w:ascii="Calibri" w:hAnsi="Calibri" w:cs="Calibri"/>
          <w:i/>
          <w:sz w:val="24"/>
          <w:szCs w:val="24"/>
          <w:lang w:val="en-GB"/>
        </w:rPr>
        <w:t xml:space="preserve">... </w:t>
      </w:r>
    </w:p>
    <w:p w14:paraId="7725862A" w14:textId="77777777" w:rsidR="00F63F94" w:rsidRPr="00CB256D" w:rsidRDefault="00F63F94" w:rsidP="00CB256D">
      <w:pPr>
        <w:spacing w:after="120" w:line="240" w:lineRule="auto"/>
        <w:jc w:val="both"/>
        <w:rPr>
          <w:rFonts w:ascii="Calibri" w:hAnsi="Calibri" w:cs="Calibri"/>
          <w:b/>
          <w:sz w:val="24"/>
          <w:szCs w:val="24"/>
          <w:lang w:val="en-GB"/>
        </w:rPr>
      </w:pPr>
      <w:r w:rsidRPr="00CB256D">
        <w:rPr>
          <w:rFonts w:ascii="Calibri" w:hAnsi="Calibri" w:cs="Calibri"/>
          <w:b/>
          <w:sz w:val="24"/>
          <w:szCs w:val="24"/>
          <w:lang w:val="en-GB"/>
        </w:rPr>
        <w:t xml:space="preserve">School administrators stress the homophobic atmosphere among the students and their inability to protect feminine boys from discrimination. </w:t>
      </w:r>
      <w:r w:rsidRPr="00CB256D">
        <w:rPr>
          <w:rFonts w:ascii="Calibri" w:hAnsi="Calibri" w:cs="Calibri"/>
          <w:sz w:val="24"/>
          <w:szCs w:val="24"/>
          <w:lang w:val="en-GB"/>
        </w:rPr>
        <w:t>See for example, some quotes below.</w:t>
      </w:r>
    </w:p>
    <w:p w14:paraId="7725862B" w14:textId="77777777" w:rsidR="00F63F94" w:rsidRPr="009A5091" w:rsidRDefault="00F63F94" w:rsidP="00713EC6">
      <w:pPr>
        <w:spacing w:after="240" w:line="240" w:lineRule="auto"/>
        <w:ind w:left="360" w:right="720"/>
        <w:jc w:val="both"/>
        <w:rPr>
          <w:rFonts w:ascii="Calibri" w:hAnsi="Calibri" w:cs="Calibri"/>
          <w:i/>
          <w:sz w:val="24"/>
          <w:szCs w:val="24"/>
          <w:lang w:val="en-GB"/>
        </w:rPr>
      </w:pPr>
      <w:r w:rsidRPr="009A5091">
        <w:rPr>
          <w:rFonts w:ascii="Calibri" w:hAnsi="Calibri" w:cs="Calibri"/>
          <w:i/>
          <w:sz w:val="24"/>
          <w:szCs w:val="24"/>
          <w:lang w:val="en-GB"/>
        </w:rPr>
        <w:t>Given that the child has such a profile, and the children of that age in our school are cruel, I would kindly ask you to try with another school. And don’t mention that your son is feminine. You will immediately face a strong barrier. That’s what I would suggest. I know what our children are like. They tolerate differences with lots of difficulties. They actually can’t stand any differences.</w:t>
      </w:r>
      <w:r w:rsidRPr="009A5091" w:rsidDel="006B280A">
        <w:rPr>
          <w:rFonts w:ascii="Calibri" w:hAnsi="Calibri" w:cs="Calibri"/>
          <w:i/>
          <w:sz w:val="24"/>
          <w:szCs w:val="24"/>
          <w:lang w:val="en-GB"/>
        </w:rPr>
        <w:t xml:space="preserve"> </w:t>
      </w:r>
    </w:p>
    <w:p w14:paraId="7725862C" w14:textId="52FA8BEA" w:rsidR="00F63F94" w:rsidRPr="009A5091" w:rsidRDefault="00F63F94" w:rsidP="00EA648F">
      <w:pPr>
        <w:spacing w:after="0" w:line="240" w:lineRule="auto"/>
        <w:ind w:left="360" w:right="720"/>
        <w:jc w:val="both"/>
        <w:rPr>
          <w:rFonts w:ascii="Calibri" w:hAnsi="Calibri" w:cs="Calibri"/>
          <w:i/>
          <w:sz w:val="24"/>
          <w:szCs w:val="24"/>
          <w:lang w:val="en-GB"/>
        </w:rPr>
      </w:pPr>
      <w:r w:rsidRPr="009A5091">
        <w:rPr>
          <w:rFonts w:ascii="Calibri" w:hAnsi="Calibri" w:cs="Calibri"/>
          <w:i/>
          <w:sz w:val="24"/>
          <w:szCs w:val="24"/>
          <w:lang w:val="en-GB"/>
        </w:rPr>
        <w:t xml:space="preserve">We have a lot of seventh graders and they are very problematic </w:t>
      </w:r>
      <w:r w:rsidR="009A5091" w:rsidRPr="009A5091">
        <w:rPr>
          <w:rFonts w:ascii="Calibri" w:hAnsi="Calibri" w:cs="Calibri"/>
          <w:i/>
          <w:sz w:val="24"/>
          <w:szCs w:val="24"/>
          <w:lang w:val="en-GB"/>
        </w:rPr>
        <w:t xml:space="preserve">... </w:t>
      </w:r>
      <w:r w:rsidRPr="009A5091">
        <w:rPr>
          <w:rFonts w:ascii="Calibri" w:hAnsi="Calibri" w:cs="Calibri"/>
          <w:i/>
          <w:sz w:val="24"/>
          <w:szCs w:val="24"/>
          <w:lang w:val="en-GB"/>
        </w:rPr>
        <w:t xml:space="preserve">This characteristic of your boy may be a problem; perhaps children wouldn’t react to it properly. We do have lots of problems with seventh graders </w:t>
      </w:r>
      <w:r w:rsidR="009A5091" w:rsidRPr="009A5091">
        <w:rPr>
          <w:rFonts w:ascii="Calibri" w:hAnsi="Calibri" w:cs="Calibri"/>
          <w:i/>
          <w:sz w:val="24"/>
          <w:szCs w:val="24"/>
          <w:lang w:val="en-GB"/>
        </w:rPr>
        <w:t xml:space="preserve">... </w:t>
      </w:r>
      <w:r w:rsidRPr="009A5091">
        <w:rPr>
          <w:rFonts w:ascii="Calibri" w:hAnsi="Calibri" w:cs="Calibri"/>
          <w:i/>
          <w:sz w:val="24"/>
          <w:szCs w:val="24"/>
          <w:lang w:val="en-GB"/>
        </w:rPr>
        <w:t>And our capacities are rather full</w:t>
      </w:r>
      <w:r w:rsidR="009A5091" w:rsidRPr="009A5091">
        <w:rPr>
          <w:rFonts w:ascii="Calibri" w:hAnsi="Calibri" w:cs="Calibri"/>
          <w:i/>
          <w:sz w:val="24"/>
          <w:szCs w:val="24"/>
          <w:lang w:val="en-GB"/>
        </w:rPr>
        <w:t xml:space="preserve">... </w:t>
      </w:r>
    </w:p>
    <w:p w14:paraId="1D623DC8" w14:textId="77777777" w:rsidR="00316C10" w:rsidRDefault="00316C10" w:rsidP="009C4674">
      <w:pPr>
        <w:pStyle w:val="Heading3"/>
      </w:pPr>
      <w:bookmarkStart w:id="27" w:name="_Toc508872571"/>
      <w:bookmarkStart w:id="28" w:name="_Toc487467552"/>
    </w:p>
    <w:p w14:paraId="7725862D" w14:textId="77777777" w:rsidR="00F63F94" w:rsidRDefault="00F63F94" w:rsidP="009C4674">
      <w:pPr>
        <w:pStyle w:val="Heading3"/>
      </w:pPr>
      <w:r w:rsidRPr="00316C10">
        <w:t>Reasons for Hesitation in Enrollment</w:t>
      </w:r>
      <w:bookmarkEnd w:id="27"/>
      <w:r w:rsidRPr="00316C10">
        <w:t xml:space="preserve"> </w:t>
      </w:r>
      <w:bookmarkEnd w:id="28"/>
    </w:p>
    <w:p w14:paraId="2F59A6D6" w14:textId="77777777" w:rsidR="00316C10" w:rsidRPr="00316C10" w:rsidRDefault="00316C10" w:rsidP="00EA648F">
      <w:pPr>
        <w:spacing w:after="0"/>
      </w:pPr>
    </w:p>
    <w:p w14:paraId="7725862E" w14:textId="77777777" w:rsidR="00F63F94" w:rsidRPr="00CB256D" w:rsidRDefault="00F63F94" w:rsidP="00EA648F">
      <w:pPr>
        <w:spacing w:after="240" w:line="240" w:lineRule="auto"/>
        <w:jc w:val="both"/>
        <w:rPr>
          <w:rFonts w:ascii="Calibri" w:hAnsi="Calibri" w:cs="Calibri"/>
          <w:sz w:val="24"/>
          <w:szCs w:val="24"/>
          <w:lang w:val="en-GB"/>
        </w:rPr>
      </w:pPr>
      <w:r w:rsidRPr="00CB256D">
        <w:rPr>
          <w:rFonts w:ascii="Calibri" w:hAnsi="Calibri" w:cs="Calibri"/>
          <w:b/>
          <w:sz w:val="24"/>
          <w:szCs w:val="24"/>
          <w:lang w:val="en-GB"/>
        </w:rPr>
        <w:t xml:space="preserve">The study reveals that the boys’ perceived femininity is more problematic than low academic performance or </w:t>
      </w:r>
      <w:r w:rsidRPr="00CB256D">
        <w:rPr>
          <w:rFonts w:ascii="Calibri" w:hAnsi="Calibri" w:cs="Calibri"/>
          <w:b/>
          <w:noProof/>
          <w:sz w:val="24"/>
          <w:szCs w:val="24"/>
          <w:lang w:val="en-GB"/>
        </w:rPr>
        <w:t>behavioral</w:t>
      </w:r>
      <w:r w:rsidRPr="00CB256D">
        <w:rPr>
          <w:rFonts w:ascii="Calibri" w:hAnsi="Calibri" w:cs="Calibri"/>
          <w:b/>
          <w:sz w:val="24"/>
          <w:szCs w:val="24"/>
          <w:lang w:val="en-GB"/>
        </w:rPr>
        <w:t xml:space="preserve"> problems.</w:t>
      </w:r>
      <w:r w:rsidRPr="00CB256D">
        <w:rPr>
          <w:rFonts w:ascii="Calibri" w:hAnsi="Calibri" w:cs="Calibri"/>
          <w:sz w:val="24"/>
          <w:szCs w:val="24"/>
          <w:lang w:val="en-GB"/>
        </w:rPr>
        <w:t xml:space="preserve"> As shown above, considerably more requests for enrollment of feminine boys than non-feminine boys were accepted with hesitation. Analyses of the interview recordings </w:t>
      </w:r>
      <w:r w:rsidRPr="00CB256D">
        <w:rPr>
          <w:rFonts w:ascii="Calibri" w:hAnsi="Calibri" w:cs="Calibri"/>
          <w:noProof/>
          <w:sz w:val="24"/>
          <w:szCs w:val="24"/>
          <w:lang w:val="en-GB"/>
        </w:rPr>
        <w:t>show</w:t>
      </w:r>
      <w:r w:rsidRPr="00CB256D">
        <w:rPr>
          <w:rFonts w:ascii="Calibri" w:hAnsi="Calibri" w:cs="Calibri"/>
          <w:sz w:val="24"/>
          <w:szCs w:val="24"/>
          <w:lang w:val="en-GB"/>
        </w:rPr>
        <w:t xml:space="preserve"> that hesitation was in general due to the </w:t>
      </w:r>
      <w:r w:rsidRPr="00CB256D">
        <w:rPr>
          <w:rFonts w:ascii="Calibri" w:hAnsi="Calibri" w:cs="Calibri"/>
          <w:noProof/>
          <w:sz w:val="24"/>
          <w:szCs w:val="24"/>
          <w:lang w:val="en-GB"/>
        </w:rPr>
        <w:t>unwillingness</w:t>
      </w:r>
      <w:r w:rsidRPr="00CB256D">
        <w:rPr>
          <w:rFonts w:ascii="Calibri" w:hAnsi="Calibri" w:cs="Calibri"/>
          <w:sz w:val="24"/>
          <w:szCs w:val="24"/>
          <w:lang w:val="en-GB"/>
        </w:rPr>
        <w:t xml:space="preserve"> of the schools to </w:t>
      </w:r>
      <w:r w:rsidRPr="00CB256D">
        <w:rPr>
          <w:rFonts w:ascii="Calibri" w:hAnsi="Calibri" w:cs="Calibri"/>
          <w:noProof/>
          <w:sz w:val="24"/>
          <w:szCs w:val="24"/>
          <w:lang w:val="en-GB"/>
        </w:rPr>
        <w:t>enroll</w:t>
      </w:r>
      <w:r w:rsidRPr="00CB256D">
        <w:rPr>
          <w:rFonts w:ascii="Calibri" w:hAnsi="Calibri" w:cs="Calibri"/>
          <w:sz w:val="24"/>
          <w:szCs w:val="24"/>
          <w:lang w:val="en-GB"/>
        </w:rPr>
        <w:t xml:space="preserve"> students perceived as potential problems. But perceptions of the potential problems were strikingly different in the case of feminine and non-feminine boys.</w:t>
      </w:r>
    </w:p>
    <w:p w14:paraId="7725862F" w14:textId="77777777" w:rsidR="00F63F94" w:rsidRPr="00CB256D" w:rsidRDefault="00F63F94" w:rsidP="00EA648F">
      <w:pPr>
        <w:spacing w:after="240" w:line="240" w:lineRule="auto"/>
        <w:jc w:val="both"/>
        <w:rPr>
          <w:rFonts w:ascii="Calibri" w:hAnsi="Calibri" w:cs="Calibri"/>
          <w:sz w:val="24"/>
          <w:szCs w:val="24"/>
          <w:lang w:val="en-GB"/>
        </w:rPr>
      </w:pPr>
      <w:r w:rsidRPr="00CB256D">
        <w:rPr>
          <w:rFonts w:ascii="Calibri" w:hAnsi="Calibri" w:cs="Calibri"/>
          <w:b/>
          <w:sz w:val="24"/>
          <w:szCs w:val="24"/>
          <w:lang w:val="en-GB"/>
        </w:rPr>
        <w:t>While in the case of non-feminine boys, hesitations were expressed through additional questions about the boys’ school achievement and discipline, in the case of feminine boys they were related to the boys’ femininity</w:t>
      </w:r>
      <w:r w:rsidRPr="00CB256D">
        <w:rPr>
          <w:rFonts w:ascii="Calibri" w:hAnsi="Calibri" w:cs="Calibri"/>
          <w:sz w:val="24"/>
          <w:szCs w:val="24"/>
          <w:lang w:val="en-GB"/>
        </w:rPr>
        <w:t>.</w:t>
      </w:r>
      <w:r w:rsidRPr="00CB256D">
        <w:rPr>
          <w:rFonts w:ascii="Calibri" w:hAnsi="Calibri" w:cs="Calibri"/>
          <w:b/>
          <w:sz w:val="24"/>
          <w:szCs w:val="24"/>
          <w:lang w:val="en-GB"/>
        </w:rPr>
        <w:t xml:space="preserve"> </w:t>
      </w:r>
      <w:r w:rsidRPr="00CB256D">
        <w:rPr>
          <w:rFonts w:ascii="Calibri" w:hAnsi="Calibri" w:cs="Calibri"/>
          <w:sz w:val="24"/>
          <w:szCs w:val="24"/>
          <w:lang w:val="en-GB"/>
        </w:rPr>
        <w:t>See for example:</w:t>
      </w:r>
    </w:p>
    <w:p w14:paraId="77258630" w14:textId="502024CA" w:rsidR="00F63F94" w:rsidRPr="009A5091" w:rsidRDefault="00F63F94" w:rsidP="00EA648F">
      <w:pPr>
        <w:spacing w:after="240" w:line="240" w:lineRule="auto"/>
        <w:ind w:left="720" w:right="720"/>
        <w:jc w:val="both"/>
        <w:rPr>
          <w:rFonts w:ascii="Calibri" w:hAnsi="Calibri" w:cs="Calibri"/>
          <w:i/>
          <w:sz w:val="24"/>
          <w:szCs w:val="24"/>
        </w:rPr>
      </w:pPr>
      <w:r w:rsidRPr="009A5091">
        <w:rPr>
          <w:rFonts w:ascii="Calibri" w:hAnsi="Calibri" w:cs="Calibri"/>
          <w:i/>
          <w:sz w:val="24"/>
          <w:szCs w:val="24"/>
          <w:lang w:val="en-GB"/>
        </w:rPr>
        <w:t xml:space="preserve">I don’t know what to tell you </w:t>
      </w:r>
      <w:r w:rsidR="009A5091" w:rsidRPr="009A5091">
        <w:rPr>
          <w:rFonts w:ascii="Calibri" w:hAnsi="Calibri" w:cs="Calibri"/>
          <w:i/>
          <w:sz w:val="24"/>
          <w:szCs w:val="24"/>
          <w:lang w:val="en-GB"/>
        </w:rPr>
        <w:t xml:space="preserve">... </w:t>
      </w:r>
      <w:r w:rsidRPr="009A5091">
        <w:rPr>
          <w:rFonts w:ascii="Calibri" w:hAnsi="Calibri" w:cs="Calibri"/>
          <w:i/>
          <w:sz w:val="24"/>
          <w:szCs w:val="24"/>
          <w:lang w:val="en-GB"/>
        </w:rPr>
        <w:t xml:space="preserve">Well, I’m not saying that it is a problem, the child is as he is </w:t>
      </w:r>
      <w:r w:rsidR="009A5091" w:rsidRPr="009A5091">
        <w:rPr>
          <w:rFonts w:ascii="Calibri" w:hAnsi="Calibri" w:cs="Calibri"/>
          <w:i/>
          <w:sz w:val="24"/>
          <w:szCs w:val="24"/>
          <w:lang w:val="en-GB"/>
        </w:rPr>
        <w:t xml:space="preserve">... </w:t>
      </w:r>
      <w:r w:rsidRPr="009A5091">
        <w:rPr>
          <w:rFonts w:ascii="Calibri" w:hAnsi="Calibri" w:cs="Calibri"/>
          <w:i/>
          <w:sz w:val="24"/>
          <w:szCs w:val="24"/>
          <w:lang w:val="en-GB"/>
        </w:rPr>
        <w:t xml:space="preserve">But before you make the decision about the school, perhaps it would be advisable to consult professionals, to hear what they would say </w:t>
      </w:r>
      <w:r w:rsidR="009A5091" w:rsidRPr="009A5091">
        <w:rPr>
          <w:rFonts w:ascii="Calibri" w:hAnsi="Calibri" w:cs="Calibri"/>
          <w:i/>
          <w:sz w:val="24"/>
          <w:szCs w:val="24"/>
          <w:lang w:val="en-GB"/>
        </w:rPr>
        <w:t xml:space="preserve">... </w:t>
      </w:r>
      <w:r w:rsidRPr="009A5091">
        <w:rPr>
          <w:rFonts w:ascii="Calibri" w:hAnsi="Calibri" w:cs="Calibri"/>
          <w:i/>
          <w:sz w:val="24"/>
          <w:szCs w:val="24"/>
          <w:lang w:val="en-GB"/>
        </w:rPr>
        <w:t xml:space="preserve">I can’t tell you anything, you can </w:t>
      </w:r>
      <w:r w:rsidRPr="009A5091">
        <w:rPr>
          <w:rFonts w:ascii="Calibri" w:hAnsi="Calibri" w:cs="Calibri"/>
          <w:i/>
          <w:noProof/>
          <w:sz w:val="24"/>
          <w:szCs w:val="24"/>
          <w:lang w:val="en-GB"/>
        </w:rPr>
        <w:t>enroll</w:t>
      </w:r>
      <w:r w:rsidRPr="009A5091">
        <w:rPr>
          <w:rFonts w:ascii="Calibri" w:hAnsi="Calibri" w:cs="Calibri"/>
          <w:i/>
          <w:sz w:val="24"/>
          <w:szCs w:val="24"/>
          <w:lang w:val="en-GB"/>
        </w:rPr>
        <w:t xml:space="preserve"> your child wherever you want, in whichever school, that’s your right as a parent. But if I were you, I would first ask around, get informed, check out the classes, how the child would fit in, do </w:t>
      </w:r>
      <w:r w:rsidRPr="009A5091">
        <w:rPr>
          <w:rFonts w:ascii="Calibri" w:hAnsi="Calibri" w:cs="Calibri"/>
          <w:i/>
          <w:sz w:val="24"/>
          <w:szCs w:val="24"/>
          <w:lang w:val="en-GB"/>
        </w:rPr>
        <w:lastRenderedPageBreak/>
        <w:t xml:space="preserve">you understand me? I had to say this, but if you want to </w:t>
      </w:r>
      <w:r w:rsidRPr="009A5091">
        <w:rPr>
          <w:rFonts w:ascii="Calibri" w:hAnsi="Calibri" w:cs="Calibri"/>
          <w:i/>
          <w:noProof/>
          <w:sz w:val="24"/>
          <w:szCs w:val="24"/>
          <w:lang w:val="en-GB"/>
        </w:rPr>
        <w:t>enroll</w:t>
      </w:r>
      <w:r w:rsidRPr="009A5091">
        <w:rPr>
          <w:rFonts w:ascii="Calibri" w:hAnsi="Calibri" w:cs="Calibri"/>
          <w:i/>
          <w:sz w:val="24"/>
          <w:szCs w:val="24"/>
          <w:lang w:val="en-GB"/>
        </w:rPr>
        <w:t xml:space="preserve"> your child in our school, you are welcome, and that’s all.</w:t>
      </w:r>
    </w:p>
    <w:p w14:paraId="77258631" w14:textId="77777777" w:rsidR="00F63F94" w:rsidRPr="00CB256D" w:rsidRDefault="00F63F94" w:rsidP="00EA648F">
      <w:pPr>
        <w:spacing w:after="240" w:line="240" w:lineRule="auto"/>
        <w:jc w:val="both"/>
        <w:rPr>
          <w:rFonts w:ascii="Calibri" w:hAnsi="Calibri" w:cs="Calibri"/>
          <w:sz w:val="24"/>
          <w:szCs w:val="24"/>
          <w:lang w:val="en-GB"/>
        </w:rPr>
      </w:pPr>
      <w:r w:rsidRPr="00CB256D">
        <w:rPr>
          <w:rFonts w:ascii="Calibri" w:hAnsi="Calibri" w:cs="Calibri"/>
          <w:b/>
          <w:sz w:val="24"/>
          <w:szCs w:val="24"/>
          <w:lang w:val="en-GB"/>
        </w:rPr>
        <w:t xml:space="preserve">Even when the enrollment of a feminine boy was accepted, all school administrators stressed that they could not guarantee the boy’s safety. </w:t>
      </w:r>
      <w:r w:rsidRPr="00CB256D">
        <w:rPr>
          <w:rFonts w:ascii="Calibri" w:hAnsi="Calibri" w:cs="Calibri"/>
          <w:sz w:val="24"/>
          <w:szCs w:val="24"/>
          <w:lang w:val="en-GB"/>
        </w:rPr>
        <w:t>See for example:</w:t>
      </w:r>
    </w:p>
    <w:p w14:paraId="77258632" w14:textId="20A37469" w:rsidR="00F63F94" w:rsidRPr="009A5091" w:rsidRDefault="00F63F94" w:rsidP="00713EC6">
      <w:pPr>
        <w:spacing w:after="240" w:line="240" w:lineRule="auto"/>
        <w:ind w:left="720" w:right="720"/>
        <w:jc w:val="both"/>
        <w:rPr>
          <w:rFonts w:ascii="Calibri" w:hAnsi="Calibri" w:cs="Calibri"/>
          <w:i/>
          <w:sz w:val="24"/>
          <w:szCs w:val="24"/>
        </w:rPr>
      </w:pPr>
      <w:r w:rsidRPr="009A5091">
        <w:rPr>
          <w:rFonts w:ascii="Calibri" w:hAnsi="Calibri" w:cs="Calibri"/>
          <w:i/>
          <w:sz w:val="24"/>
          <w:szCs w:val="24"/>
          <w:lang w:val="en-GB"/>
        </w:rPr>
        <w:t xml:space="preserve">What you told me is so general </w:t>
      </w:r>
      <w:r w:rsidR="009A5091" w:rsidRPr="009A5091">
        <w:rPr>
          <w:rFonts w:ascii="Calibri" w:hAnsi="Calibri" w:cs="Calibri"/>
          <w:i/>
          <w:sz w:val="24"/>
          <w:szCs w:val="24"/>
          <w:lang w:val="en-GB"/>
        </w:rPr>
        <w:t xml:space="preserve">... </w:t>
      </w:r>
      <w:r w:rsidRPr="009A5091">
        <w:rPr>
          <w:rFonts w:ascii="Calibri" w:hAnsi="Calibri" w:cs="Calibri"/>
          <w:i/>
          <w:sz w:val="24"/>
          <w:szCs w:val="24"/>
          <w:lang w:val="en-GB"/>
        </w:rPr>
        <w:t xml:space="preserve">of </w:t>
      </w:r>
      <w:r w:rsidRPr="009A5091">
        <w:rPr>
          <w:rFonts w:ascii="Calibri" w:hAnsi="Calibri" w:cs="Calibri"/>
          <w:i/>
          <w:noProof/>
          <w:sz w:val="24"/>
          <w:szCs w:val="24"/>
          <w:lang w:val="en-GB"/>
        </w:rPr>
        <w:t>course,</w:t>
      </w:r>
      <w:r w:rsidRPr="009A5091">
        <w:rPr>
          <w:rFonts w:ascii="Calibri" w:hAnsi="Calibri" w:cs="Calibri"/>
          <w:i/>
          <w:sz w:val="24"/>
          <w:szCs w:val="24"/>
          <w:lang w:val="en-GB"/>
        </w:rPr>
        <w:t xml:space="preserve"> the child has the right to be enrolled. So, what you have told me about the child being feminine </w:t>
      </w:r>
      <w:r w:rsidR="009A5091" w:rsidRPr="009A5091">
        <w:rPr>
          <w:rFonts w:ascii="Calibri" w:hAnsi="Calibri" w:cs="Calibri"/>
          <w:i/>
          <w:sz w:val="24"/>
          <w:szCs w:val="24"/>
          <w:lang w:val="en-GB"/>
        </w:rPr>
        <w:t xml:space="preserve">... </w:t>
      </w:r>
      <w:r w:rsidRPr="009A5091">
        <w:rPr>
          <w:rFonts w:ascii="Calibri" w:hAnsi="Calibri" w:cs="Calibri"/>
          <w:i/>
          <w:sz w:val="24"/>
          <w:szCs w:val="24"/>
          <w:lang w:val="en-GB"/>
        </w:rPr>
        <w:t xml:space="preserve">If you are asking me for advice </w:t>
      </w:r>
      <w:r w:rsidR="009A5091" w:rsidRPr="009A5091">
        <w:rPr>
          <w:rFonts w:ascii="Calibri" w:hAnsi="Calibri" w:cs="Calibri"/>
          <w:i/>
          <w:sz w:val="24"/>
          <w:szCs w:val="24"/>
          <w:lang w:val="en-GB"/>
        </w:rPr>
        <w:t xml:space="preserve">... </w:t>
      </w:r>
      <w:r w:rsidRPr="009A5091">
        <w:rPr>
          <w:rFonts w:ascii="Calibri" w:hAnsi="Calibri" w:cs="Calibri"/>
          <w:i/>
          <w:sz w:val="24"/>
          <w:szCs w:val="24"/>
          <w:lang w:val="en-GB"/>
        </w:rPr>
        <w:t xml:space="preserve">I don’t know how visible this is on your child </w:t>
      </w:r>
      <w:r w:rsidR="009A5091" w:rsidRPr="009A5091">
        <w:rPr>
          <w:rFonts w:ascii="Calibri" w:hAnsi="Calibri" w:cs="Calibri"/>
          <w:i/>
          <w:sz w:val="24"/>
          <w:szCs w:val="24"/>
          <w:lang w:val="en-GB"/>
        </w:rPr>
        <w:t xml:space="preserve">... </w:t>
      </w:r>
      <w:r w:rsidRPr="009A5091">
        <w:rPr>
          <w:rFonts w:ascii="Calibri" w:hAnsi="Calibri" w:cs="Calibri"/>
          <w:i/>
          <w:sz w:val="24"/>
          <w:szCs w:val="24"/>
          <w:lang w:val="en-GB"/>
        </w:rPr>
        <w:t>we can’t protect him from teasing and other simi</w:t>
      </w:r>
      <w:r w:rsidR="009A5091">
        <w:rPr>
          <w:rFonts w:ascii="Calibri" w:hAnsi="Calibri" w:cs="Calibri"/>
          <w:i/>
          <w:sz w:val="24"/>
          <w:szCs w:val="24"/>
          <w:lang w:val="en-GB"/>
        </w:rPr>
        <w:t>lar things</w:t>
      </w:r>
      <w:r w:rsidR="009A5091" w:rsidRPr="009A5091">
        <w:rPr>
          <w:rFonts w:ascii="Calibri" w:hAnsi="Calibri" w:cs="Calibri"/>
          <w:i/>
          <w:sz w:val="24"/>
          <w:szCs w:val="24"/>
          <w:lang w:val="en-GB"/>
        </w:rPr>
        <w:t xml:space="preserve">... </w:t>
      </w:r>
      <w:r w:rsidRPr="009A5091">
        <w:rPr>
          <w:rFonts w:ascii="Calibri" w:hAnsi="Calibri" w:cs="Calibri"/>
          <w:i/>
          <w:sz w:val="24"/>
          <w:szCs w:val="24"/>
          <w:lang w:val="en-GB"/>
        </w:rPr>
        <w:t xml:space="preserve">But, of course, you can </w:t>
      </w:r>
      <w:r w:rsidRPr="009A5091">
        <w:rPr>
          <w:rFonts w:ascii="Calibri" w:hAnsi="Calibri" w:cs="Calibri"/>
          <w:i/>
          <w:noProof/>
          <w:sz w:val="24"/>
          <w:szCs w:val="24"/>
          <w:lang w:val="en-GB"/>
        </w:rPr>
        <w:t>enroll</w:t>
      </w:r>
      <w:r w:rsidRPr="009A5091">
        <w:rPr>
          <w:rFonts w:ascii="Calibri" w:hAnsi="Calibri" w:cs="Calibri"/>
          <w:i/>
          <w:sz w:val="24"/>
          <w:szCs w:val="24"/>
          <w:lang w:val="en-GB"/>
        </w:rPr>
        <w:t xml:space="preserve"> him here, that’s your civil right.</w:t>
      </w:r>
    </w:p>
    <w:p w14:paraId="77258633" w14:textId="71F12E40" w:rsidR="00F63F94" w:rsidRPr="009A5091" w:rsidRDefault="00F63F94" w:rsidP="00D56470">
      <w:pPr>
        <w:spacing w:after="120" w:line="240" w:lineRule="auto"/>
        <w:ind w:left="720" w:right="720"/>
        <w:jc w:val="both"/>
        <w:rPr>
          <w:rFonts w:ascii="Calibri" w:hAnsi="Calibri" w:cs="Calibri"/>
          <w:i/>
          <w:sz w:val="24"/>
          <w:szCs w:val="24"/>
        </w:rPr>
      </w:pPr>
      <w:r w:rsidRPr="009A5091">
        <w:rPr>
          <w:rFonts w:ascii="Calibri" w:hAnsi="Calibri" w:cs="Calibri"/>
          <w:i/>
          <w:sz w:val="24"/>
          <w:szCs w:val="24"/>
          <w:lang w:val="en-GB"/>
        </w:rPr>
        <w:t xml:space="preserve">Each school can </w:t>
      </w:r>
      <w:r w:rsidRPr="009A5091">
        <w:rPr>
          <w:rFonts w:ascii="Calibri" w:hAnsi="Calibri" w:cs="Calibri"/>
          <w:i/>
          <w:noProof/>
          <w:sz w:val="24"/>
          <w:szCs w:val="24"/>
          <w:lang w:val="en-GB"/>
        </w:rPr>
        <w:t>enroll</w:t>
      </w:r>
      <w:r w:rsidRPr="009A5091">
        <w:rPr>
          <w:rFonts w:ascii="Calibri" w:hAnsi="Calibri" w:cs="Calibri"/>
          <w:i/>
          <w:sz w:val="24"/>
          <w:szCs w:val="24"/>
          <w:lang w:val="en-GB"/>
        </w:rPr>
        <w:t xml:space="preserve"> one more child at least, two per class, but I don’t know what to tell you. It is your right to choose where you will </w:t>
      </w:r>
      <w:r w:rsidRPr="009A5091">
        <w:rPr>
          <w:rFonts w:ascii="Calibri" w:hAnsi="Calibri" w:cs="Calibri"/>
          <w:i/>
          <w:noProof/>
          <w:sz w:val="24"/>
          <w:szCs w:val="24"/>
          <w:lang w:val="en-GB"/>
        </w:rPr>
        <w:t>enroll</w:t>
      </w:r>
      <w:r w:rsidRPr="009A5091">
        <w:rPr>
          <w:rFonts w:ascii="Calibri" w:hAnsi="Calibri" w:cs="Calibri"/>
          <w:i/>
          <w:sz w:val="24"/>
          <w:szCs w:val="24"/>
          <w:lang w:val="en-GB"/>
        </w:rPr>
        <w:t xml:space="preserve"> your child. I can’t refuse any child</w:t>
      </w:r>
      <w:r w:rsidR="009A5091" w:rsidRPr="009A5091">
        <w:rPr>
          <w:rFonts w:ascii="Calibri" w:hAnsi="Calibri" w:cs="Calibri"/>
          <w:i/>
          <w:sz w:val="24"/>
          <w:szCs w:val="24"/>
          <w:lang w:val="en-GB"/>
        </w:rPr>
        <w:t xml:space="preserve">... </w:t>
      </w:r>
      <w:r w:rsidRPr="009A5091">
        <w:rPr>
          <w:rFonts w:ascii="Calibri" w:hAnsi="Calibri" w:cs="Calibri"/>
          <w:i/>
          <w:sz w:val="24"/>
          <w:szCs w:val="24"/>
          <w:lang w:val="en-GB"/>
        </w:rPr>
        <w:t xml:space="preserve">But I can’t promise that other children won’t say anything, you must know how cruel children are, especially at that </w:t>
      </w:r>
      <w:r w:rsidR="009A5091">
        <w:rPr>
          <w:rFonts w:ascii="Calibri" w:hAnsi="Calibri" w:cs="Calibri"/>
          <w:i/>
          <w:sz w:val="24"/>
          <w:szCs w:val="24"/>
          <w:lang w:val="en-GB"/>
        </w:rPr>
        <w:t>age, I can’t guarantee anything</w:t>
      </w:r>
      <w:r w:rsidR="009A5091" w:rsidRPr="009A5091">
        <w:rPr>
          <w:rFonts w:ascii="Calibri" w:hAnsi="Calibri" w:cs="Calibri"/>
          <w:i/>
          <w:sz w:val="24"/>
          <w:szCs w:val="24"/>
          <w:lang w:val="en-GB"/>
        </w:rPr>
        <w:t xml:space="preserve">... </w:t>
      </w:r>
      <w:r w:rsidRPr="009A5091">
        <w:rPr>
          <w:rFonts w:ascii="Calibri" w:hAnsi="Calibri" w:cs="Calibri"/>
          <w:i/>
          <w:sz w:val="24"/>
          <w:szCs w:val="24"/>
          <w:lang w:val="en-GB"/>
        </w:rPr>
        <w:t>the child can be enrolled, of course</w:t>
      </w:r>
      <w:r w:rsidR="009A5091" w:rsidRPr="009A5091">
        <w:rPr>
          <w:rFonts w:ascii="Calibri" w:hAnsi="Calibri" w:cs="Calibri"/>
          <w:i/>
          <w:sz w:val="24"/>
          <w:szCs w:val="24"/>
          <w:lang w:val="en-GB"/>
        </w:rPr>
        <w:t xml:space="preserve">... </w:t>
      </w:r>
      <w:r w:rsidRPr="009A5091">
        <w:rPr>
          <w:rFonts w:ascii="Calibri" w:hAnsi="Calibri" w:cs="Calibri"/>
          <w:i/>
          <w:sz w:val="24"/>
          <w:szCs w:val="24"/>
          <w:lang w:val="en-GB"/>
        </w:rPr>
        <w:t xml:space="preserve">But don’t expect the impossible from us, alright? That’s what I can say, and you are entitled to </w:t>
      </w:r>
      <w:r w:rsidRPr="009A5091">
        <w:rPr>
          <w:rFonts w:ascii="Calibri" w:hAnsi="Calibri" w:cs="Calibri"/>
          <w:i/>
          <w:noProof/>
          <w:sz w:val="24"/>
          <w:szCs w:val="24"/>
          <w:lang w:val="en-GB"/>
        </w:rPr>
        <w:t>enroll</w:t>
      </w:r>
      <w:r w:rsidRPr="009A5091">
        <w:rPr>
          <w:rFonts w:ascii="Calibri" w:hAnsi="Calibri" w:cs="Calibri"/>
          <w:i/>
          <w:sz w:val="24"/>
          <w:szCs w:val="24"/>
          <w:lang w:val="en-GB"/>
        </w:rPr>
        <w:t xml:space="preserve"> your child wherever you want.</w:t>
      </w:r>
    </w:p>
    <w:p w14:paraId="77258634" w14:textId="77777777" w:rsidR="00F63F94" w:rsidRPr="001F7EB4" w:rsidRDefault="00F63F94" w:rsidP="00F63F94">
      <w:pPr>
        <w:shd w:val="clear" w:color="auto" w:fill="FFFFFF"/>
        <w:spacing w:after="120" w:line="240" w:lineRule="auto"/>
        <w:rPr>
          <w:rFonts w:ascii="Calibri" w:hAnsi="Calibri" w:cs="Calibri"/>
        </w:rPr>
      </w:pPr>
      <w:bookmarkStart w:id="29" w:name="_Toc496098288"/>
      <w:bookmarkEnd w:id="29"/>
      <w:r w:rsidRPr="001F7EB4">
        <w:rPr>
          <w:rFonts w:ascii="Calibri" w:hAnsi="Calibri" w:cs="Calibri"/>
        </w:rPr>
        <w:t xml:space="preserve"> </w:t>
      </w:r>
    </w:p>
    <w:p w14:paraId="77258635" w14:textId="77777777" w:rsidR="00F63F94" w:rsidRPr="001F7EB4" w:rsidRDefault="00F63F94" w:rsidP="00F63F94">
      <w:pPr>
        <w:spacing w:after="120" w:line="240" w:lineRule="auto"/>
        <w:rPr>
          <w:rFonts w:ascii="Calibri" w:hAnsi="Calibri" w:cs="Calibri"/>
        </w:rPr>
      </w:pPr>
      <w:r w:rsidRPr="001F7EB4">
        <w:rPr>
          <w:rFonts w:ascii="Calibri" w:hAnsi="Calibri" w:cs="Calibri"/>
        </w:rPr>
        <w:br w:type="page"/>
      </w:r>
    </w:p>
    <w:p w14:paraId="77258636" w14:textId="25B1B554" w:rsidR="00F63F94" w:rsidRDefault="00F63F94" w:rsidP="00316C10">
      <w:pPr>
        <w:pStyle w:val="Heading1"/>
        <w:numPr>
          <w:ilvl w:val="0"/>
          <w:numId w:val="19"/>
        </w:numPr>
        <w:spacing w:before="40"/>
        <w:ind w:left="426" w:hanging="426"/>
        <w:contextualSpacing w:val="0"/>
        <w:rPr>
          <w:rFonts w:cs="Arial"/>
          <w:color w:val="2F5496" w:themeColor="accent1" w:themeShade="BF"/>
          <w:spacing w:val="0"/>
          <w:kern w:val="0"/>
          <w:sz w:val="36"/>
          <w:szCs w:val="36"/>
          <w:lang w:val="en-US"/>
        </w:rPr>
      </w:pPr>
      <w:bookmarkStart w:id="30" w:name="_Toc496098290"/>
      <w:bookmarkStart w:id="31" w:name="_Toc487467555"/>
      <w:bookmarkStart w:id="32" w:name="_Toc508872572"/>
      <w:bookmarkEnd w:id="30"/>
      <w:r w:rsidRPr="00316C10">
        <w:rPr>
          <w:rFonts w:cs="Arial"/>
          <w:color w:val="2F5496" w:themeColor="accent1" w:themeShade="BF"/>
          <w:spacing w:val="0"/>
          <w:kern w:val="0"/>
          <w:sz w:val="36"/>
          <w:szCs w:val="36"/>
          <w:lang w:val="en-US"/>
        </w:rPr>
        <w:lastRenderedPageBreak/>
        <w:t>Access to Housing for Gay and Lesbian Couples</w:t>
      </w:r>
      <w:bookmarkEnd w:id="31"/>
      <w:bookmarkEnd w:id="32"/>
    </w:p>
    <w:p w14:paraId="409B3941" w14:textId="77777777" w:rsidR="00316C10" w:rsidRPr="00316C10" w:rsidRDefault="00316C10" w:rsidP="00316C10"/>
    <w:p w14:paraId="77258637" w14:textId="77777777" w:rsidR="00F63F94" w:rsidRPr="00CB256D" w:rsidRDefault="00F63F94" w:rsidP="00EA648F">
      <w:pPr>
        <w:spacing w:after="0" w:line="240" w:lineRule="auto"/>
        <w:jc w:val="both"/>
        <w:rPr>
          <w:rFonts w:ascii="Calibri" w:hAnsi="Calibri" w:cs="Calibri"/>
          <w:sz w:val="24"/>
          <w:szCs w:val="24"/>
          <w:lang w:val="en-GB"/>
        </w:rPr>
      </w:pPr>
      <w:r w:rsidRPr="00CB256D">
        <w:rPr>
          <w:rFonts w:ascii="Calibri" w:hAnsi="Calibri" w:cs="Calibri"/>
          <w:b/>
          <w:sz w:val="24"/>
          <w:szCs w:val="24"/>
          <w:lang w:val="en-GB"/>
        </w:rPr>
        <w:t xml:space="preserve">Access to secure and affordable housing is important for all </w:t>
      </w:r>
      <w:r w:rsidRPr="00CB256D">
        <w:rPr>
          <w:rFonts w:ascii="Calibri" w:hAnsi="Calibri" w:cs="Calibri"/>
          <w:b/>
          <w:noProof/>
          <w:sz w:val="24"/>
          <w:szCs w:val="24"/>
          <w:lang w:val="en-GB"/>
        </w:rPr>
        <w:t>people</w:t>
      </w:r>
      <w:r w:rsidRPr="00CB256D">
        <w:rPr>
          <w:rFonts w:ascii="Calibri" w:hAnsi="Calibri" w:cs="Calibri"/>
          <w:b/>
          <w:sz w:val="24"/>
          <w:szCs w:val="24"/>
          <w:lang w:val="en-GB"/>
        </w:rPr>
        <w:t xml:space="preserve"> but is a particularly pressing issue for LGBTI people.</w:t>
      </w:r>
      <w:r w:rsidRPr="00CB256D">
        <w:rPr>
          <w:rFonts w:ascii="Calibri" w:hAnsi="Calibri" w:cs="Calibri"/>
          <w:sz w:val="24"/>
          <w:szCs w:val="24"/>
          <w:lang w:val="en-GB"/>
        </w:rPr>
        <w:t xml:space="preserve"> Sexual and gender minorities are often made to feel unwelcome by their families and forced to leave home early, increasing their reliance on the private housing market. In many countries, sexual and gender minorities are overrepresented in homeless populations.</w:t>
      </w:r>
      <w:r w:rsidRPr="00CB256D">
        <w:rPr>
          <w:rStyle w:val="EndnoteReference"/>
          <w:rFonts w:ascii="Calibri" w:hAnsi="Calibri" w:cs="Calibri"/>
          <w:sz w:val="24"/>
          <w:szCs w:val="24"/>
          <w:lang w:val="en-GB"/>
        </w:rPr>
        <w:endnoteReference w:id="23"/>
      </w:r>
      <w:r w:rsidRPr="00CB256D">
        <w:rPr>
          <w:rFonts w:ascii="Calibri" w:hAnsi="Calibri" w:cs="Calibri"/>
          <w:sz w:val="24"/>
          <w:szCs w:val="24"/>
          <w:lang w:val="en-GB"/>
        </w:rPr>
        <w:t xml:space="preserve"> Understanding LGBTI discrimination in the housing market becomes especially important considering Sustainable Development Goal 11, which requires Serbia (and all nations) to make cities and human settlements inclusive, safe, resilient, and sustainable. This experiment highlights the extent of discrimination in the private rental housing market and is </w:t>
      </w:r>
      <w:r w:rsidRPr="00CB256D">
        <w:rPr>
          <w:rFonts w:ascii="Calibri" w:hAnsi="Calibri" w:cs="Calibri"/>
          <w:noProof/>
          <w:sz w:val="24"/>
          <w:szCs w:val="24"/>
          <w:lang w:val="en-GB"/>
        </w:rPr>
        <w:t>designed to inform</w:t>
      </w:r>
      <w:r w:rsidRPr="00CB256D">
        <w:rPr>
          <w:rFonts w:ascii="Calibri" w:hAnsi="Calibri" w:cs="Calibri"/>
          <w:sz w:val="24"/>
          <w:szCs w:val="24"/>
          <w:lang w:val="en-GB"/>
        </w:rPr>
        <w:t xml:space="preserve"> future policies that allow LGBTI people access to adequate, safe, and affordable housing.  </w:t>
      </w:r>
    </w:p>
    <w:p w14:paraId="77258638" w14:textId="77777777" w:rsidR="00F63F94" w:rsidRPr="001F7EB4" w:rsidRDefault="00F63F94" w:rsidP="00EA648F">
      <w:pPr>
        <w:spacing w:after="0" w:line="240" w:lineRule="auto"/>
        <w:rPr>
          <w:rFonts w:ascii="Calibri" w:hAnsi="Calibri" w:cs="Calibri"/>
          <w:lang w:val="en-GB"/>
        </w:rPr>
      </w:pPr>
    </w:p>
    <w:p w14:paraId="77D087B6" w14:textId="0B3CF9DB" w:rsidR="00316C10" w:rsidRPr="00316C10" w:rsidRDefault="00F63F94" w:rsidP="00316C10">
      <w:pPr>
        <w:pStyle w:val="Heading2"/>
        <w:numPr>
          <w:ilvl w:val="1"/>
          <w:numId w:val="19"/>
        </w:numPr>
        <w:ind w:left="567" w:hanging="578"/>
        <w:contextualSpacing w:val="0"/>
        <w:jc w:val="both"/>
        <w:rPr>
          <w:rFonts w:cs="Arial"/>
          <w:color w:val="2F5496" w:themeColor="accent1" w:themeShade="BF"/>
          <w:spacing w:val="0"/>
          <w:kern w:val="0"/>
          <w:sz w:val="30"/>
          <w:szCs w:val="30"/>
        </w:rPr>
      </w:pPr>
      <w:bookmarkStart w:id="33" w:name="_Toc501122391"/>
      <w:bookmarkStart w:id="34" w:name="_Toc501547622"/>
      <w:bookmarkStart w:id="35" w:name="_Toc508872573"/>
      <w:bookmarkStart w:id="36" w:name="_Toc508872574"/>
      <w:bookmarkEnd w:id="33"/>
      <w:bookmarkEnd w:id="34"/>
      <w:bookmarkEnd w:id="35"/>
      <w:r w:rsidRPr="00316C10">
        <w:rPr>
          <w:rFonts w:cs="Arial"/>
          <w:color w:val="2F5496" w:themeColor="accent1" w:themeShade="BF"/>
          <w:spacing w:val="0"/>
          <w:kern w:val="0"/>
          <w:sz w:val="30"/>
          <w:szCs w:val="30"/>
        </w:rPr>
        <w:t>Methodology</w:t>
      </w:r>
      <w:bookmarkEnd w:id="36"/>
    </w:p>
    <w:p w14:paraId="385ACE8E" w14:textId="77777777" w:rsidR="00316C10" w:rsidRDefault="00316C10" w:rsidP="009C4674">
      <w:pPr>
        <w:pStyle w:val="Heading3"/>
      </w:pPr>
      <w:bookmarkStart w:id="37" w:name="_Toc508872575"/>
    </w:p>
    <w:p w14:paraId="7725863B" w14:textId="77777777" w:rsidR="00F63F94" w:rsidRPr="00316C10" w:rsidRDefault="00F63F94" w:rsidP="009C4674">
      <w:pPr>
        <w:pStyle w:val="Heading3"/>
      </w:pPr>
      <w:r w:rsidRPr="00316C10">
        <w:t>Experimental scenario</w:t>
      </w:r>
      <w:bookmarkEnd w:id="37"/>
    </w:p>
    <w:p w14:paraId="0EB2E90B" w14:textId="77777777" w:rsidR="00316C10" w:rsidRDefault="00316C10" w:rsidP="00EA648F">
      <w:pPr>
        <w:spacing w:after="0" w:line="240" w:lineRule="auto"/>
        <w:rPr>
          <w:rFonts w:ascii="Calibri" w:hAnsi="Calibri" w:cs="Calibri"/>
          <w:b/>
          <w:lang w:val="en-GB"/>
        </w:rPr>
      </w:pPr>
    </w:p>
    <w:p w14:paraId="7725863C" w14:textId="77777777" w:rsidR="00F63F94" w:rsidRPr="00316C10" w:rsidRDefault="00F63F94" w:rsidP="009A5091">
      <w:pPr>
        <w:spacing w:after="240" w:line="240" w:lineRule="auto"/>
        <w:jc w:val="both"/>
        <w:rPr>
          <w:rFonts w:ascii="Calibri" w:hAnsi="Calibri" w:cs="Calibri"/>
          <w:b/>
          <w:sz w:val="24"/>
          <w:szCs w:val="24"/>
          <w:lang w:val="en-GB"/>
        </w:rPr>
      </w:pPr>
      <w:r w:rsidRPr="00316C10">
        <w:rPr>
          <w:rFonts w:ascii="Calibri" w:hAnsi="Calibri" w:cs="Calibri"/>
          <w:b/>
          <w:sz w:val="24"/>
          <w:szCs w:val="24"/>
          <w:lang w:val="en-GB"/>
        </w:rPr>
        <w:t>Couples contacted landlords via telephone to inquire about renting an apartment.</w:t>
      </w:r>
      <w:r w:rsidRPr="00316C10">
        <w:rPr>
          <w:rFonts w:ascii="Calibri" w:hAnsi="Calibri" w:cs="Calibri"/>
          <w:sz w:val="24"/>
          <w:szCs w:val="24"/>
          <w:lang w:val="en-GB"/>
        </w:rPr>
        <w:t xml:space="preserve"> All couples were 30 to 34 years old, and both partners were employed with a </w:t>
      </w:r>
      <w:r w:rsidRPr="00316C10">
        <w:rPr>
          <w:rFonts w:ascii="Calibri" w:hAnsi="Calibri" w:cs="Calibri"/>
          <w:noProof/>
          <w:sz w:val="24"/>
          <w:szCs w:val="24"/>
          <w:lang w:val="en-GB"/>
        </w:rPr>
        <w:t>stable</w:t>
      </w:r>
      <w:r w:rsidRPr="00316C10">
        <w:rPr>
          <w:rFonts w:ascii="Calibri" w:hAnsi="Calibri" w:cs="Calibri"/>
          <w:sz w:val="24"/>
          <w:szCs w:val="24"/>
          <w:lang w:val="en-GB"/>
        </w:rPr>
        <w:t xml:space="preserve"> income. They were interested in renting apartments of approximately the same size (one-bedroom apartments) and price. Couples only differed by their sexual orientation. Each landlord was contacted twice, once by a same-sex couple (randomly assigned to be a gay or lesbian couple) and once by a heterosexual couple. </w:t>
      </w:r>
      <w:r w:rsidRPr="00316C10">
        <w:rPr>
          <w:rFonts w:ascii="Calibri" w:hAnsi="Calibri" w:cs="Calibri"/>
          <w:sz w:val="24"/>
          <w:szCs w:val="24"/>
        </w:rPr>
        <w:t xml:space="preserve">When a lesbian couple contacted the landlord, the female member of the heterosexual couple made the call as a </w:t>
      </w:r>
      <w:r w:rsidRPr="00316C10">
        <w:rPr>
          <w:rFonts w:ascii="Calibri" w:hAnsi="Calibri" w:cs="Calibri"/>
          <w:noProof/>
          <w:sz w:val="24"/>
          <w:szCs w:val="24"/>
        </w:rPr>
        <w:t>control for</w:t>
      </w:r>
      <w:r w:rsidRPr="00316C10">
        <w:rPr>
          <w:rFonts w:ascii="Calibri" w:hAnsi="Calibri" w:cs="Calibri"/>
          <w:sz w:val="24"/>
          <w:szCs w:val="24"/>
        </w:rPr>
        <w:t xml:space="preserve"> any gender bias. </w:t>
      </w:r>
      <w:r w:rsidRPr="00316C10">
        <w:rPr>
          <w:rFonts w:ascii="Calibri" w:hAnsi="Calibri" w:cs="Calibri"/>
          <w:sz w:val="24"/>
          <w:szCs w:val="24"/>
          <w:lang w:val="en-GB"/>
        </w:rPr>
        <w:t>The same applied to the gay couple, where the male member of the heterosexual couple contacted the landlord. The scenario of the telephone conversation has three basic assumptions</w:t>
      </w:r>
      <w:r w:rsidRPr="00316C10">
        <w:rPr>
          <w:rFonts w:ascii="Calibri" w:hAnsi="Calibri" w:cs="Calibri"/>
          <w:b/>
          <w:sz w:val="24"/>
          <w:szCs w:val="24"/>
          <w:lang w:val="en-GB"/>
        </w:rPr>
        <w:t xml:space="preserve">: </w:t>
      </w:r>
    </w:p>
    <w:p w14:paraId="7725863D" w14:textId="77777777" w:rsidR="00F63F94" w:rsidRPr="00316C10" w:rsidRDefault="00F63F94" w:rsidP="009A5091">
      <w:pPr>
        <w:pStyle w:val="ListParagraph"/>
        <w:numPr>
          <w:ilvl w:val="0"/>
          <w:numId w:val="6"/>
        </w:numPr>
        <w:spacing w:after="0" w:line="240" w:lineRule="auto"/>
        <w:contextualSpacing w:val="0"/>
        <w:jc w:val="both"/>
        <w:rPr>
          <w:rFonts w:ascii="Calibri" w:hAnsi="Calibri" w:cs="Calibri"/>
          <w:sz w:val="24"/>
          <w:szCs w:val="24"/>
          <w:lang w:val="en-GB"/>
        </w:rPr>
      </w:pPr>
      <w:r w:rsidRPr="00316C10">
        <w:rPr>
          <w:rFonts w:ascii="Calibri" w:hAnsi="Calibri" w:cs="Calibri"/>
          <w:sz w:val="24"/>
          <w:szCs w:val="24"/>
          <w:lang w:val="en-GB"/>
        </w:rPr>
        <w:t xml:space="preserve">Sexual orientation is the only characteristic distinguishing the couples; </w:t>
      </w:r>
    </w:p>
    <w:p w14:paraId="7725863E" w14:textId="77777777" w:rsidR="00F63F94" w:rsidRPr="00316C10" w:rsidRDefault="00F63F94" w:rsidP="009A5091">
      <w:pPr>
        <w:pStyle w:val="ListParagraph"/>
        <w:numPr>
          <w:ilvl w:val="0"/>
          <w:numId w:val="6"/>
        </w:numPr>
        <w:spacing w:after="0" w:line="240" w:lineRule="auto"/>
        <w:contextualSpacing w:val="0"/>
        <w:jc w:val="both"/>
        <w:rPr>
          <w:rFonts w:ascii="Calibri" w:hAnsi="Calibri" w:cs="Calibri"/>
          <w:sz w:val="24"/>
          <w:szCs w:val="24"/>
          <w:lang w:val="en-GB"/>
        </w:rPr>
      </w:pPr>
      <w:r w:rsidRPr="00316C10">
        <w:rPr>
          <w:rFonts w:ascii="Calibri" w:hAnsi="Calibri" w:cs="Calibri"/>
          <w:sz w:val="24"/>
          <w:szCs w:val="24"/>
          <w:lang w:val="en-GB"/>
        </w:rPr>
        <w:t xml:space="preserve">Statements about the couple’s sexual orientation are very clear, but also conveyed in a </w:t>
      </w:r>
      <w:r w:rsidRPr="00316C10">
        <w:rPr>
          <w:rFonts w:ascii="Calibri" w:hAnsi="Calibri" w:cs="Calibri"/>
          <w:noProof/>
          <w:sz w:val="24"/>
          <w:szCs w:val="24"/>
          <w:lang w:val="en-GB"/>
        </w:rPr>
        <w:t>relaxed/colloquial</w:t>
      </w:r>
      <w:r w:rsidRPr="00316C10">
        <w:rPr>
          <w:rFonts w:ascii="Calibri" w:hAnsi="Calibri" w:cs="Calibri"/>
          <w:sz w:val="24"/>
          <w:szCs w:val="24"/>
          <w:lang w:val="en-GB"/>
        </w:rPr>
        <w:t xml:space="preserve"> manner; </w:t>
      </w:r>
    </w:p>
    <w:p w14:paraId="7725863F" w14:textId="77777777" w:rsidR="00F63F94" w:rsidRPr="00316C10" w:rsidRDefault="00F63F94" w:rsidP="009A5091">
      <w:pPr>
        <w:pStyle w:val="ListParagraph"/>
        <w:numPr>
          <w:ilvl w:val="0"/>
          <w:numId w:val="6"/>
        </w:numPr>
        <w:spacing w:after="240" w:line="240" w:lineRule="auto"/>
        <w:contextualSpacing w:val="0"/>
        <w:jc w:val="both"/>
        <w:rPr>
          <w:rFonts w:ascii="Calibri" w:hAnsi="Calibri" w:cs="Calibri"/>
          <w:sz w:val="24"/>
          <w:szCs w:val="24"/>
          <w:lang w:val="en-GB"/>
        </w:rPr>
      </w:pPr>
      <w:r w:rsidRPr="00316C10">
        <w:rPr>
          <w:rFonts w:ascii="Calibri" w:hAnsi="Calibri" w:cs="Calibri"/>
          <w:sz w:val="24"/>
          <w:szCs w:val="24"/>
          <w:lang w:val="en-GB"/>
        </w:rPr>
        <w:t>The conversation should gather information that can be transformed into statistically comparable data.</w:t>
      </w:r>
      <w:r w:rsidRPr="00316C10">
        <w:rPr>
          <w:rStyle w:val="EndnoteReference"/>
          <w:rFonts w:ascii="Calibri" w:hAnsi="Calibri" w:cs="Calibri"/>
          <w:sz w:val="24"/>
          <w:szCs w:val="24"/>
          <w:lang w:val="en-GB"/>
        </w:rPr>
        <w:endnoteReference w:id="24"/>
      </w:r>
      <w:r w:rsidRPr="00316C10">
        <w:rPr>
          <w:rFonts w:ascii="Calibri" w:hAnsi="Calibri" w:cs="Calibri"/>
          <w:sz w:val="24"/>
          <w:szCs w:val="24"/>
          <w:lang w:val="en-GB"/>
        </w:rPr>
        <w:t xml:space="preserve">  </w:t>
      </w:r>
    </w:p>
    <w:p w14:paraId="77258640" w14:textId="77777777" w:rsidR="00F63F94" w:rsidRPr="00316C10" w:rsidRDefault="00F63F94" w:rsidP="009C4674">
      <w:pPr>
        <w:pStyle w:val="Heading3"/>
      </w:pPr>
      <w:bookmarkStart w:id="38" w:name="_Toc508872576"/>
      <w:r w:rsidRPr="00316C10">
        <w:t>Sampling of Landlords</w:t>
      </w:r>
      <w:bookmarkEnd w:id="38"/>
    </w:p>
    <w:p w14:paraId="057BAE58" w14:textId="77777777" w:rsidR="00316C10" w:rsidRDefault="00316C10" w:rsidP="00EA648F">
      <w:pPr>
        <w:spacing w:after="0" w:line="240" w:lineRule="auto"/>
        <w:rPr>
          <w:rFonts w:ascii="Calibri" w:hAnsi="Calibri" w:cs="Calibri"/>
          <w:b/>
          <w:lang w:val="en-GB"/>
        </w:rPr>
      </w:pPr>
    </w:p>
    <w:p w14:paraId="77258641" w14:textId="77777777" w:rsidR="00F63F94" w:rsidRPr="00CB256D" w:rsidRDefault="00F63F94" w:rsidP="009A5091">
      <w:pPr>
        <w:spacing w:after="240" w:line="240" w:lineRule="auto"/>
        <w:jc w:val="both"/>
        <w:rPr>
          <w:rFonts w:ascii="Calibri" w:hAnsi="Calibri" w:cs="Calibri"/>
          <w:sz w:val="24"/>
          <w:szCs w:val="24"/>
          <w:lang w:val="en-GB"/>
        </w:rPr>
      </w:pPr>
      <w:r w:rsidRPr="00CB256D">
        <w:rPr>
          <w:rFonts w:ascii="Calibri" w:hAnsi="Calibri" w:cs="Calibri"/>
          <w:b/>
          <w:sz w:val="24"/>
          <w:szCs w:val="24"/>
          <w:lang w:val="en-GB"/>
        </w:rPr>
        <w:t>A total of 160 landlords were contacted based on their online advertisement of apartments in four cities (Belgrade, Nis, Novi Sad, and</w:t>
      </w:r>
      <w:r w:rsidRPr="00CB256D">
        <w:rPr>
          <w:rFonts w:ascii="Calibri" w:hAnsi="Calibri" w:cs="Calibri"/>
          <w:b/>
          <w:sz w:val="24"/>
          <w:szCs w:val="24"/>
        </w:rPr>
        <w:t xml:space="preserve"> Kragujevac)</w:t>
      </w:r>
      <w:r w:rsidRPr="00CB256D">
        <w:rPr>
          <w:rFonts w:ascii="Calibri" w:hAnsi="Calibri" w:cs="Calibri"/>
          <w:b/>
          <w:sz w:val="24"/>
          <w:szCs w:val="24"/>
          <w:lang w:val="en-GB"/>
        </w:rPr>
        <w:t>.</w:t>
      </w:r>
      <w:r w:rsidRPr="00CB256D">
        <w:rPr>
          <w:rFonts w:ascii="Calibri" w:hAnsi="Calibri" w:cs="Calibri"/>
          <w:sz w:val="24"/>
          <w:szCs w:val="24"/>
          <w:lang w:val="en-GB"/>
        </w:rPr>
        <w:t xml:space="preserve"> Since there were two treatment groups (lesbian couple and gay couple) and two corresponding control groups (two heterosexual couples), landlords were randomly assigned to one of the treatment groups and the corresponding control group. Eighty landlords were assigned to the gay couple and the corresponding heterosexual couple, and 80 to the lesbian couple and the corresponding heterosexual couple. Since each landlord was contacted twice, there were a total of 320 observations.</w:t>
      </w:r>
    </w:p>
    <w:p w14:paraId="22E9C10D" w14:textId="77777777" w:rsidR="00AE6824" w:rsidRDefault="00AE6824" w:rsidP="009C4674">
      <w:pPr>
        <w:pStyle w:val="Heading3"/>
      </w:pPr>
      <w:bookmarkStart w:id="39" w:name="_Toc508872577"/>
      <w:r>
        <w:br w:type="page"/>
      </w:r>
    </w:p>
    <w:p w14:paraId="77258642" w14:textId="2B276F68" w:rsidR="00F63F94" w:rsidRPr="00316C10" w:rsidRDefault="00F63F94" w:rsidP="009C4674">
      <w:pPr>
        <w:pStyle w:val="Heading3"/>
      </w:pPr>
      <w:r w:rsidRPr="00316C10">
        <w:lastRenderedPageBreak/>
        <w:t>Measurement</w:t>
      </w:r>
      <w:bookmarkEnd w:id="39"/>
    </w:p>
    <w:p w14:paraId="74DC1F07" w14:textId="77777777" w:rsidR="00316C10" w:rsidRDefault="00316C10" w:rsidP="00EA648F">
      <w:pPr>
        <w:spacing w:after="0" w:line="240" w:lineRule="auto"/>
        <w:rPr>
          <w:rFonts w:ascii="Calibri" w:hAnsi="Calibri" w:cs="Calibri"/>
          <w:b/>
          <w:lang w:val="en-GB"/>
        </w:rPr>
      </w:pPr>
    </w:p>
    <w:p w14:paraId="77258643" w14:textId="77777777" w:rsidR="00F63F94" w:rsidRPr="00316C10" w:rsidRDefault="00F63F94" w:rsidP="009A5091">
      <w:pPr>
        <w:spacing w:after="240" w:line="240" w:lineRule="auto"/>
        <w:jc w:val="both"/>
        <w:rPr>
          <w:rFonts w:ascii="Calibri" w:hAnsi="Calibri" w:cs="Calibri"/>
          <w:sz w:val="24"/>
          <w:szCs w:val="24"/>
          <w:lang w:val="en-GB"/>
        </w:rPr>
      </w:pPr>
      <w:r w:rsidRPr="00316C10">
        <w:rPr>
          <w:rFonts w:ascii="Calibri" w:hAnsi="Calibri" w:cs="Calibri"/>
          <w:b/>
          <w:sz w:val="24"/>
          <w:szCs w:val="24"/>
          <w:lang w:val="en-GB"/>
        </w:rPr>
        <w:t xml:space="preserve">Since the data were collected through telephone conversations in natural conditions, the qualitative data were transformed into </w:t>
      </w:r>
      <w:r w:rsidRPr="00316C10">
        <w:rPr>
          <w:rFonts w:ascii="Calibri" w:hAnsi="Calibri" w:cs="Calibri"/>
          <w:b/>
          <w:noProof/>
          <w:sz w:val="24"/>
          <w:szCs w:val="24"/>
          <w:lang w:val="en-GB"/>
        </w:rPr>
        <w:t>quantitative</w:t>
      </w:r>
      <w:r w:rsidRPr="00316C10">
        <w:rPr>
          <w:rFonts w:ascii="Calibri" w:hAnsi="Calibri" w:cs="Calibri"/>
          <w:b/>
          <w:sz w:val="24"/>
          <w:szCs w:val="24"/>
          <w:lang w:val="en-GB"/>
        </w:rPr>
        <w:t xml:space="preserve"> outcomes.</w:t>
      </w:r>
      <w:r w:rsidRPr="00316C10">
        <w:rPr>
          <w:rFonts w:ascii="Calibri" w:hAnsi="Calibri" w:cs="Calibri"/>
          <w:sz w:val="24"/>
          <w:szCs w:val="24"/>
          <w:lang w:val="en-GB"/>
        </w:rPr>
        <w:t xml:space="preserve"> </w:t>
      </w:r>
      <w:r w:rsidRPr="00316C10">
        <w:rPr>
          <w:rFonts w:ascii="Calibri" w:hAnsi="Calibri" w:cs="Calibri"/>
          <w:sz w:val="24"/>
          <w:szCs w:val="24"/>
        </w:rPr>
        <w:t xml:space="preserve">To ensure the robustness of the quantitative data, evaluation transcripts </w:t>
      </w:r>
      <w:r w:rsidRPr="00316C10">
        <w:rPr>
          <w:rFonts w:ascii="Calibri" w:hAnsi="Calibri" w:cs="Calibri"/>
          <w:noProof/>
          <w:sz w:val="24"/>
          <w:szCs w:val="24"/>
        </w:rPr>
        <w:t>were done</w:t>
      </w:r>
      <w:r w:rsidRPr="00316C10">
        <w:rPr>
          <w:rFonts w:ascii="Calibri" w:hAnsi="Calibri" w:cs="Calibri"/>
          <w:sz w:val="24"/>
          <w:szCs w:val="24"/>
        </w:rPr>
        <w:t xml:space="preserve"> by three independent raters in accordance with the usual standards of evaluations of observations in natural conditions.</w:t>
      </w:r>
      <w:r w:rsidRPr="00316C10">
        <w:rPr>
          <w:rStyle w:val="EndnoteReference"/>
          <w:rFonts w:ascii="Calibri" w:hAnsi="Calibri" w:cs="Calibri"/>
          <w:sz w:val="24"/>
          <w:szCs w:val="24"/>
        </w:rPr>
        <w:endnoteReference w:id="25"/>
      </w:r>
      <w:r w:rsidRPr="00316C10">
        <w:rPr>
          <w:rFonts w:ascii="Calibri" w:hAnsi="Calibri" w:cs="Calibri"/>
          <w:sz w:val="24"/>
          <w:szCs w:val="24"/>
          <w:lang w:val="en-GB"/>
        </w:rPr>
        <w:t xml:space="preserve"> The raters did not take part in the study, do not identify as LGBTI, and did not have a position on LGBTI rights that could skew their assessment. </w:t>
      </w:r>
    </w:p>
    <w:p w14:paraId="77258644" w14:textId="77777777" w:rsidR="00F63F94" w:rsidRPr="00316C10" w:rsidRDefault="00F63F94" w:rsidP="00CB256D">
      <w:pPr>
        <w:tabs>
          <w:tab w:val="left" w:pos="270"/>
        </w:tabs>
        <w:spacing w:after="120" w:line="240" w:lineRule="auto"/>
        <w:jc w:val="both"/>
        <w:rPr>
          <w:rFonts w:ascii="Calibri" w:hAnsi="Calibri" w:cs="Calibri"/>
          <w:b/>
          <w:color w:val="FF0000"/>
          <w:sz w:val="24"/>
          <w:szCs w:val="24"/>
          <w:lang w:val="en-GB"/>
        </w:rPr>
      </w:pPr>
      <w:r w:rsidRPr="00316C10">
        <w:rPr>
          <w:rFonts w:ascii="Calibri" w:hAnsi="Calibri" w:cs="Calibri"/>
          <w:b/>
          <w:sz w:val="24"/>
          <w:szCs w:val="24"/>
          <w:lang w:val="en-GB"/>
        </w:rPr>
        <w:t>To evaluate the outcomes, a five-level scale was used:</w:t>
      </w:r>
    </w:p>
    <w:p w14:paraId="77258645" w14:textId="77777777" w:rsidR="00F63F94" w:rsidRPr="00316C10" w:rsidRDefault="00F63F94" w:rsidP="009A5091">
      <w:pPr>
        <w:pStyle w:val="ListParagraph"/>
        <w:numPr>
          <w:ilvl w:val="0"/>
          <w:numId w:val="2"/>
        </w:numPr>
        <w:spacing w:after="0" w:line="240" w:lineRule="auto"/>
        <w:contextualSpacing w:val="0"/>
        <w:jc w:val="both"/>
        <w:rPr>
          <w:rFonts w:ascii="Calibri" w:hAnsi="Calibri" w:cs="Calibri"/>
          <w:sz w:val="24"/>
          <w:szCs w:val="24"/>
          <w:lang w:val="en-GB"/>
        </w:rPr>
      </w:pPr>
      <w:r w:rsidRPr="00316C10">
        <w:rPr>
          <w:rFonts w:ascii="Calibri" w:hAnsi="Calibri" w:cs="Calibri"/>
          <w:sz w:val="24"/>
          <w:szCs w:val="24"/>
          <w:lang w:val="en-GB"/>
        </w:rPr>
        <w:t xml:space="preserve">Accepted without hesitation </w:t>
      </w:r>
      <w:r w:rsidRPr="00316C10">
        <w:rPr>
          <w:rFonts w:ascii="Calibri" w:hAnsi="Calibri" w:cs="Calibri"/>
          <w:noProof/>
          <w:sz w:val="24"/>
          <w:szCs w:val="24"/>
          <w:lang w:val="en-GB"/>
        </w:rPr>
        <w:t>or</w:t>
      </w:r>
      <w:r w:rsidRPr="00316C10">
        <w:rPr>
          <w:rFonts w:ascii="Calibri" w:hAnsi="Calibri" w:cs="Calibri"/>
          <w:sz w:val="24"/>
          <w:szCs w:val="24"/>
          <w:lang w:val="en-GB"/>
        </w:rPr>
        <w:t xml:space="preserve"> additional conditions.</w:t>
      </w:r>
    </w:p>
    <w:p w14:paraId="77258646" w14:textId="77777777" w:rsidR="00F63F94" w:rsidRPr="00316C10" w:rsidRDefault="00F63F94" w:rsidP="009A5091">
      <w:pPr>
        <w:pStyle w:val="ListParagraph"/>
        <w:numPr>
          <w:ilvl w:val="0"/>
          <w:numId w:val="2"/>
        </w:numPr>
        <w:spacing w:after="0" w:line="240" w:lineRule="auto"/>
        <w:contextualSpacing w:val="0"/>
        <w:jc w:val="both"/>
        <w:rPr>
          <w:rFonts w:ascii="Calibri" w:hAnsi="Calibri" w:cs="Calibri"/>
          <w:sz w:val="24"/>
          <w:szCs w:val="24"/>
          <w:lang w:val="en-GB"/>
        </w:rPr>
      </w:pPr>
      <w:r w:rsidRPr="00316C10">
        <w:rPr>
          <w:rFonts w:ascii="Calibri" w:hAnsi="Calibri" w:cs="Calibri"/>
          <w:sz w:val="24"/>
          <w:szCs w:val="24"/>
          <w:lang w:val="en-GB"/>
        </w:rPr>
        <w:t>Accepted, but with hesitation or postponement.</w:t>
      </w:r>
    </w:p>
    <w:p w14:paraId="77258647" w14:textId="77777777" w:rsidR="00F63F94" w:rsidRPr="00316C10" w:rsidRDefault="00F63F94" w:rsidP="009A5091">
      <w:pPr>
        <w:pStyle w:val="ListParagraph"/>
        <w:numPr>
          <w:ilvl w:val="0"/>
          <w:numId w:val="2"/>
        </w:numPr>
        <w:spacing w:after="0" w:line="240" w:lineRule="auto"/>
        <w:contextualSpacing w:val="0"/>
        <w:jc w:val="both"/>
        <w:rPr>
          <w:rFonts w:ascii="Calibri" w:hAnsi="Calibri" w:cs="Calibri"/>
          <w:sz w:val="24"/>
          <w:szCs w:val="24"/>
          <w:lang w:val="en-GB"/>
        </w:rPr>
      </w:pPr>
      <w:r w:rsidRPr="00316C10">
        <w:rPr>
          <w:rFonts w:ascii="Calibri" w:hAnsi="Calibri" w:cs="Calibri"/>
          <w:sz w:val="24"/>
          <w:szCs w:val="24"/>
          <w:lang w:val="en-GB"/>
        </w:rPr>
        <w:t>Unclear outcome (final decision not clear).</w:t>
      </w:r>
    </w:p>
    <w:p w14:paraId="77258648" w14:textId="77777777" w:rsidR="00F63F94" w:rsidRPr="00316C10" w:rsidRDefault="00F63F94" w:rsidP="009A5091">
      <w:pPr>
        <w:pStyle w:val="ListParagraph"/>
        <w:numPr>
          <w:ilvl w:val="0"/>
          <w:numId w:val="2"/>
        </w:numPr>
        <w:spacing w:after="0" w:line="240" w:lineRule="auto"/>
        <w:contextualSpacing w:val="0"/>
        <w:jc w:val="both"/>
        <w:rPr>
          <w:rFonts w:ascii="Calibri" w:hAnsi="Calibri" w:cs="Calibri"/>
          <w:sz w:val="24"/>
          <w:szCs w:val="24"/>
          <w:lang w:val="en-GB"/>
        </w:rPr>
      </w:pPr>
      <w:r w:rsidRPr="00316C10">
        <w:rPr>
          <w:rFonts w:ascii="Calibri" w:hAnsi="Calibri" w:cs="Calibri"/>
          <w:sz w:val="24"/>
          <w:szCs w:val="24"/>
          <w:lang w:val="en-GB"/>
        </w:rPr>
        <w:t>Rejected, but with hesitation.</w:t>
      </w:r>
    </w:p>
    <w:p w14:paraId="77258649" w14:textId="77777777" w:rsidR="00F63F94" w:rsidRDefault="00F63F94" w:rsidP="009A5091">
      <w:pPr>
        <w:pStyle w:val="ListParagraph"/>
        <w:numPr>
          <w:ilvl w:val="0"/>
          <w:numId w:val="2"/>
        </w:numPr>
        <w:spacing w:after="0" w:line="240" w:lineRule="auto"/>
        <w:contextualSpacing w:val="0"/>
        <w:jc w:val="both"/>
        <w:rPr>
          <w:rFonts w:ascii="Calibri" w:hAnsi="Calibri" w:cs="Calibri"/>
          <w:sz w:val="24"/>
          <w:szCs w:val="24"/>
          <w:lang w:val="en-GB"/>
        </w:rPr>
      </w:pPr>
      <w:r w:rsidRPr="00316C10">
        <w:rPr>
          <w:rFonts w:ascii="Calibri" w:hAnsi="Calibri" w:cs="Calibri"/>
          <w:sz w:val="24"/>
          <w:szCs w:val="24"/>
          <w:lang w:val="en-GB"/>
        </w:rPr>
        <w:t xml:space="preserve">Rejected without hesitation.  </w:t>
      </w:r>
    </w:p>
    <w:p w14:paraId="61856975" w14:textId="77777777" w:rsidR="00316C10" w:rsidRPr="00316C10" w:rsidRDefault="00316C10" w:rsidP="00A56D85">
      <w:pPr>
        <w:spacing w:after="0" w:line="240" w:lineRule="auto"/>
        <w:rPr>
          <w:rFonts w:ascii="Calibri" w:hAnsi="Calibri" w:cs="Calibri"/>
          <w:sz w:val="24"/>
          <w:szCs w:val="24"/>
          <w:lang w:val="en-GB"/>
        </w:rPr>
      </w:pPr>
    </w:p>
    <w:p w14:paraId="0FE7B934" w14:textId="437B0AD6" w:rsidR="00316C10" w:rsidRPr="00316C10" w:rsidRDefault="00F63F94" w:rsidP="00316C10">
      <w:pPr>
        <w:pStyle w:val="Heading2"/>
        <w:numPr>
          <w:ilvl w:val="1"/>
          <w:numId w:val="19"/>
        </w:numPr>
        <w:ind w:left="567" w:hanging="578"/>
        <w:contextualSpacing w:val="0"/>
        <w:jc w:val="both"/>
        <w:rPr>
          <w:rFonts w:cs="Arial"/>
          <w:color w:val="2F5496" w:themeColor="accent1" w:themeShade="BF"/>
          <w:spacing w:val="0"/>
          <w:kern w:val="0"/>
          <w:sz w:val="30"/>
          <w:szCs w:val="30"/>
        </w:rPr>
      </w:pPr>
      <w:bookmarkStart w:id="40" w:name="_Toc496098296"/>
      <w:bookmarkStart w:id="41" w:name="_Toc508872578"/>
      <w:bookmarkEnd w:id="40"/>
      <w:r w:rsidRPr="00316C10">
        <w:rPr>
          <w:rFonts w:cs="Arial"/>
          <w:color w:val="2F5496" w:themeColor="accent1" w:themeShade="BF"/>
          <w:spacing w:val="0"/>
          <w:kern w:val="0"/>
          <w:sz w:val="30"/>
          <w:szCs w:val="30"/>
        </w:rPr>
        <w:t>Results</w:t>
      </w:r>
      <w:bookmarkEnd w:id="41"/>
    </w:p>
    <w:p w14:paraId="625B97C5" w14:textId="77777777" w:rsidR="00316C10" w:rsidRDefault="00316C10" w:rsidP="009C4674">
      <w:pPr>
        <w:pStyle w:val="Heading3"/>
        <w:rPr>
          <w:rFonts w:eastAsiaTheme="minorHAnsi"/>
          <w:lang w:val="en-GB"/>
        </w:rPr>
      </w:pPr>
      <w:bookmarkStart w:id="42" w:name="_Toc487467561"/>
      <w:bookmarkStart w:id="43" w:name="_Toc508872579"/>
    </w:p>
    <w:p w14:paraId="7725864C" w14:textId="77777777" w:rsidR="00F63F94" w:rsidRDefault="00F63F94" w:rsidP="009C4674">
      <w:pPr>
        <w:pStyle w:val="Heading3"/>
      </w:pPr>
      <w:r w:rsidRPr="00316C10">
        <w:t>Same-sex couples face discrimination when renting apartments</w:t>
      </w:r>
      <w:bookmarkEnd w:id="42"/>
      <w:bookmarkEnd w:id="43"/>
    </w:p>
    <w:p w14:paraId="510A6AFC" w14:textId="77777777" w:rsidR="00316C10" w:rsidRPr="00316C10" w:rsidRDefault="00316C10" w:rsidP="00EA648F">
      <w:pPr>
        <w:spacing w:after="0"/>
      </w:pPr>
    </w:p>
    <w:p w14:paraId="7725864E" w14:textId="49B73749" w:rsidR="00F63F94" w:rsidRPr="003D24F2" w:rsidRDefault="00F63F94" w:rsidP="003D24F2">
      <w:pPr>
        <w:spacing w:after="240" w:line="240" w:lineRule="auto"/>
        <w:jc w:val="both"/>
        <w:rPr>
          <w:rFonts w:ascii="Calibri" w:hAnsi="Calibri" w:cs="Calibri"/>
          <w:sz w:val="24"/>
          <w:szCs w:val="24"/>
          <w:lang w:val="en-GB"/>
        </w:rPr>
      </w:pPr>
      <w:r w:rsidRPr="00316C10">
        <w:rPr>
          <w:rFonts w:ascii="Calibri" w:hAnsi="Calibri" w:cs="Calibri"/>
          <w:b/>
          <w:sz w:val="24"/>
          <w:szCs w:val="24"/>
          <w:lang w:val="en-GB"/>
        </w:rPr>
        <w:t>Almost one in five (18 percent) same-sex couples were refused rental of an apartment by the landlord; none of the heterosexual couples were.</w:t>
      </w:r>
      <w:r w:rsidRPr="00316C10">
        <w:rPr>
          <w:rFonts w:ascii="Calibri" w:hAnsi="Calibri" w:cs="Calibri"/>
          <w:sz w:val="24"/>
          <w:szCs w:val="24"/>
          <w:lang w:val="en-GB"/>
        </w:rPr>
        <w:t xml:space="preserve"> Same-sex couples also faced significantly more hesitation (8 percent) when accepted compared to their heterosexual counterparts (1 percent; figure 4).</w:t>
      </w:r>
      <w:r w:rsidRPr="00316C10">
        <w:rPr>
          <w:rStyle w:val="EndnoteReference"/>
          <w:rFonts w:ascii="Calibri" w:hAnsi="Calibri" w:cs="Calibri"/>
          <w:sz w:val="24"/>
          <w:szCs w:val="24"/>
          <w:lang w:val="en-GB"/>
        </w:rPr>
        <w:endnoteReference w:id="26"/>
      </w:r>
    </w:p>
    <w:tbl>
      <w:tblPr>
        <w:tblStyle w:val="TableGrid"/>
        <w:tblW w:w="0" w:type="auto"/>
        <w:tblBorders>
          <w:top w:val="single" w:sz="4" w:space="0" w:color="939492"/>
          <w:left w:val="single" w:sz="4" w:space="0" w:color="939492"/>
          <w:bottom w:val="single" w:sz="4" w:space="0" w:color="939492"/>
          <w:right w:val="single" w:sz="4" w:space="0" w:color="939492"/>
          <w:insideH w:val="single" w:sz="4" w:space="0" w:color="939492"/>
          <w:insideV w:val="single" w:sz="4" w:space="0" w:color="939492"/>
        </w:tblBorders>
        <w:tblCellMar>
          <w:top w:w="113" w:type="dxa"/>
          <w:bottom w:w="113" w:type="dxa"/>
        </w:tblCellMar>
        <w:tblLook w:val="04A0" w:firstRow="1" w:lastRow="0" w:firstColumn="1" w:lastColumn="0" w:noHBand="0" w:noVBand="1"/>
      </w:tblPr>
      <w:tblGrid>
        <w:gridCol w:w="9010"/>
      </w:tblGrid>
      <w:tr w:rsidR="00CC6B6A" w14:paraId="36BA244B" w14:textId="77777777" w:rsidTr="00A903A0">
        <w:tc>
          <w:tcPr>
            <w:tcW w:w="9010" w:type="dxa"/>
          </w:tcPr>
          <w:p w14:paraId="609939E9" w14:textId="77777777" w:rsidR="00CC6B6A" w:rsidRDefault="003D24F2" w:rsidP="003D24F2">
            <w:pPr>
              <w:spacing w:after="240"/>
              <w:jc w:val="center"/>
              <w:rPr>
                <w:rFonts w:eastAsiaTheme="minorEastAsia"/>
                <w:color w:val="5A5A5A" w:themeColor="text1" w:themeTint="A5"/>
              </w:rPr>
            </w:pPr>
            <w:r w:rsidRPr="00316C10">
              <w:rPr>
                <w:rFonts w:eastAsiaTheme="minorEastAsia"/>
                <w:color w:val="5A5A5A" w:themeColor="text1" w:themeTint="A5"/>
              </w:rPr>
              <w:t>Figure 4: Acceptance and refusal of same-sex and heterosexual couples when seeking rental apartments</w:t>
            </w:r>
          </w:p>
          <w:p w14:paraId="714F9BDF" w14:textId="77777777" w:rsidR="003D24F2" w:rsidRPr="001F7EB4" w:rsidRDefault="003D24F2" w:rsidP="003D24F2">
            <w:pPr>
              <w:spacing w:after="120"/>
              <w:rPr>
                <w:rFonts w:ascii="Calibri" w:hAnsi="Calibri" w:cs="Calibri"/>
                <w:color w:val="FF0000"/>
                <w:sz w:val="18"/>
                <w:highlight w:val="magenta"/>
                <w:lang w:val="en-GB"/>
              </w:rPr>
            </w:pPr>
            <w:r w:rsidRPr="001F7EB4">
              <w:rPr>
                <w:rFonts w:ascii="Calibri" w:hAnsi="Calibri" w:cs="Calibri"/>
                <w:color w:val="FF0000"/>
                <w:sz w:val="18"/>
                <w:lang w:val="en-GB"/>
              </w:rPr>
              <w:t xml:space="preserve">          </w:t>
            </w:r>
            <w:r w:rsidRPr="001F7EB4">
              <w:rPr>
                <w:rFonts w:ascii="Calibri" w:hAnsi="Calibri" w:cs="Calibri"/>
                <w:noProof/>
                <w:color w:val="FF0000"/>
              </w:rPr>
              <w:drawing>
                <wp:inline distT="0" distB="0" distL="0" distR="0" wp14:anchorId="41AF571F" wp14:editId="79D90E03">
                  <wp:extent cx="2676525" cy="2929812"/>
                  <wp:effectExtent l="0" t="0" r="15875" b="171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1F7EB4">
              <w:rPr>
                <w:rFonts w:ascii="Calibri" w:hAnsi="Calibri" w:cs="Calibri"/>
                <w:color w:val="FF0000"/>
                <w:sz w:val="18"/>
                <w:lang w:val="en-GB"/>
              </w:rPr>
              <w:t xml:space="preserve"> </w:t>
            </w:r>
            <w:r w:rsidRPr="001F7EB4">
              <w:rPr>
                <w:rFonts w:ascii="Calibri" w:hAnsi="Calibri" w:cs="Calibri"/>
                <w:noProof/>
                <w:color w:val="FF0000"/>
              </w:rPr>
              <w:drawing>
                <wp:inline distT="0" distB="0" distL="0" distR="0" wp14:anchorId="7A3FF130" wp14:editId="2EBCBFF8">
                  <wp:extent cx="2590800" cy="2901820"/>
                  <wp:effectExtent l="0" t="0" r="12700" b="698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63838A" w14:textId="641B87DF" w:rsidR="003D24F2" w:rsidRPr="003D24F2" w:rsidRDefault="003D24F2" w:rsidP="003D24F2">
            <w:pPr>
              <w:shd w:val="clear" w:color="auto" w:fill="FFFFFF"/>
              <w:spacing w:after="120"/>
              <w:ind w:left="360"/>
              <w:rPr>
                <w:rFonts w:ascii="Calibri" w:eastAsia="Times New Roman" w:hAnsi="Calibri" w:cs="Calibri"/>
                <w:bCs/>
                <w:color w:val="000000"/>
                <w:sz w:val="20"/>
                <w:szCs w:val="20"/>
                <w:lang w:val="en-GB"/>
              </w:rPr>
            </w:pPr>
            <w:r w:rsidRPr="003D24F2">
              <w:rPr>
                <w:rFonts w:ascii="Calibri" w:eastAsia="Times New Roman" w:hAnsi="Calibri" w:cs="Calibri"/>
                <w:bCs/>
                <w:noProof/>
                <w:color w:val="000000"/>
                <w:sz w:val="20"/>
                <w:szCs w:val="20"/>
                <w:lang w:val="en-GB"/>
              </w:rPr>
              <w:t>Database</w:t>
            </w:r>
            <w:r w:rsidRPr="003D24F2">
              <w:rPr>
                <w:rFonts w:ascii="Calibri" w:eastAsia="Times New Roman" w:hAnsi="Calibri" w:cs="Calibri"/>
                <w:bCs/>
                <w:color w:val="000000"/>
                <w:sz w:val="20"/>
                <w:szCs w:val="20"/>
                <w:lang w:val="en-GB"/>
              </w:rPr>
              <w:t>: all observations, 160 observations per treatment and control groups, 320 observations in total.</w:t>
            </w:r>
          </w:p>
        </w:tc>
      </w:tr>
    </w:tbl>
    <w:p w14:paraId="7F99E2BE" w14:textId="77777777" w:rsidR="00316C10" w:rsidRPr="00316C10" w:rsidRDefault="00316C10" w:rsidP="00EA648F">
      <w:pPr>
        <w:shd w:val="clear" w:color="auto" w:fill="FFFFFF"/>
        <w:spacing w:after="0" w:line="240" w:lineRule="auto"/>
        <w:ind w:left="360"/>
        <w:rPr>
          <w:rFonts w:ascii="Calibri" w:eastAsia="Times New Roman" w:hAnsi="Calibri" w:cs="Calibri"/>
          <w:bCs/>
          <w:color w:val="000000"/>
          <w:lang w:val="en-GB"/>
        </w:rPr>
      </w:pPr>
    </w:p>
    <w:p w14:paraId="77258654" w14:textId="4C5BCEA0" w:rsidR="00F63F94" w:rsidRDefault="00F63F94" w:rsidP="009C4674">
      <w:pPr>
        <w:pStyle w:val="Heading3"/>
      </w:pPr>
      <w:bookmarkStart w:id="44" w:name="_Toc508872580"/>
      <w:r w:rsidRPr="00CB256D">
        <w:t>Gay couples face more discrimination than lesbian couples</w:t>
      </w:r>
      <w:bookmarkEnd w:id="44"/>
    </w:p>
    <w:p w14:paraId="0BC99CB9" w14:textId="77777777" w:rsidR="00CB256D" w:rsidRPr="00CB256D" w:rsidRDefault="00CB256D" w:rsidP="009A5091">
      <w:pPr>
        <w:spacing w:after="0"/>
      </w:pPr>
    </w:p>
    <w:p w14:paraId="77258655" w14:textId="77777777" w:rsidR="00F63F94" w:rsidRDefault="00F63F94" w:rsidP="009A5091">
      <w:pPr>
        <w:autoSpaceDE w:val="0"/>
        <w:autoSpaceDN w:val="0"/>
        <w:adjustRightInd w:val="0"/>
        <w:spacing w:after="240" w:line="240" w:lineRule="auto"/>
        <w:jc w:val="both"/>
        <w:rPr>
          <w:rFonts w:ascii="Calibri" w:hAnsi="Calibri" w:cs="Calibri"/>
          <w:b/>
          <w:sz w:val="24"/>
          <w:szCs w:val="24"/>
          <w:lang w:val="en-GB"/>
        </w:rPr>
      </w:pPr>
      <w:r w:rsidRPr="00316C10">
        <w:rPr>
          <w:rFonts w:ascii="Calibri" w:hAnsi="Calibri" w:cs="Calibri"/>
          <w:b/>
          <w:sz w:val="24"/>
          <w:szCs w:val="24"/>
          <w:lang w:val="en-GB"/>
        </w:rPr>
        <w:t>Gay couples face a much higher likelihood of being refused a rental apartment (29 percent) compared to their lesbian counterparts (8 percent; figure 5).</w:t>
      </w:r>
      <w:r w:rsidRPr="00316C10">
        <w:rPr>
          <w:rStyle w:val="EndnoteReference"/>
          <w:rFonts w:ascii="Calibri" w:hAnsi="Calibri" w:cs="Calibri"/>
          <w:b/>
          <w:sz w:val="24"/>
          <w:szCs w:val="24"/>
          <w:lang w:val="en-GB"/>
        </w:rPr>
        <w:endnoteReference w:id="27"/>
      </w:r>
    </w:p>
    <w:tbl>
      <w:tblPr>
        <w:tblStyle w:val="TableGrid"/>
        <w:tblW w:w="0" w:type="auto"/>
        <w:tblBorders>
          <w:top w:val="single" w:sz="4" w:space="0" w:color="939492"/>
          <w:left w:val="single" w:sz="4" w:space="0" w:color="939492"/>
          <w:bottom w:val="single" w:sz="4" w:space="0" w:color="939492"/>
          <w:right w:val="single" w:sz="4" w:space="0" w:color="939492"/>
          <w:insideH w:val="single" w:sz="4" w:space="0" w:color="939492"/>
          <w:insideV w:val="single" w:sz="4" w:space="0" w:color="939492"/>
        </w:tblBorders>
        <w:tblCellMar>
          <w:top w:w="113" w:type="dxa"/>
          <w:bottom w:w="113" w:type="dxa"/>
        </w:tblCellMar>
        <w:tblLook w:val="04A0" w:firstRow="1" w:lastRow="0" w:firstColumn="1" w:lastColumn="0" w:noHBand="0" w:noVBand="1"/>
      </w:tblPr>
      <w:tblGrid>
        <w:gridCol w:w="9010"/>
      </w:tblGrid>
      <w:tr w:rsidR="00CC6B6A" w14:paraId="11040C09" w14:textId="77777777" w:rsidTr="00A903A0">
        <w:tc>
          <w:tcPr>
            <w:tcW w:w="9010" w:type="dxa"/>
          </w:tcPr>
          <w:p w14:paraId="7921569C" w14:textId="77777777" w:rsidR="003D24F2" w:rsidRPr="00316C10" w:rsidRDefault="003D24F2" w:rsidP="003D24F2">
            <w:pPr>
              <w:pStyle w:val="Subtitle"/>
              <w:numPr>
                <w:ilvl w:val="0"/>
                <w:numId w:val="0"/>
              </w:numPr>
              <w:jc w:val="center"/>
              <w:rPr>
                <w:rFonts w:ascii="Calibri" w:hAnsi="Calibri"/>
              </w:rPr>
            </w:pPr>
            <w:r w:rsidRPr="00316C10">
              <w:rPr>
                <w:rFonts w:ascii="Calibri" w:hAnsi="Calibri"/>
              </w:rPr>
              <w:t>Figure 5: Acceptance and refusal of gay and lesbian couples when seeking rental apartments</w:t>
            </w:r>
          </w:p>
          <w:p w14:paraId="0F04A53F" w14:textId="77777777" w:rsidR="003D24F2" w:rsidRPr="001F7EB4" w:rsidRDefault="003D24F2" w:rsidP="003D24F2">
            <w:pPr>
              <w:shd w:val="clear" w:color="auto" w:fill="FFFFFF"/>
              <w:spacing w:after="120"/>
              <w:rPr>
                <w:rFonts w:ascii="Calibri" w:hAnsi="Calibri" w:cs="Calibri"/>
                <w:color w:val="FF0000"/>
                <w:sz w:val="18"/>
                <w:highlight w:val="magenta"/>
                <w:lang w:val="en-GB"/>
              </w:rPr>
            </w:pPr>
            <w:r w:rsidRPr="001F7EB4">
              <w:rPr>
                <w:rFonts w:ascii="Calibri" w:hAnsi="Calibri" w:cs="Calibri"/>
                <w:color w:val="FF0000"/>
                <w:sz w:val="18"/>
                <w:lang w:val="en-GB"/>
              </w:rPr>
              <w:t xml:space="preserve">          </w:t>
            </w:r>
            <w:r w:rsidRPr="001F7EB4">
              <w:rPr>
                <w:rFonts w:ascii="Calibri" w:hAnsi="Calibri" w:cs="Calibri"/>
                <w:noProof/>
                <w:color w:val="FF0000"/>
              </w:rPr>
              <w:drawing>
                <wp:inline distT="0" distB="0" distL="0" distR="0" wp14:anchorId="1041D375" wp14:editId="44021488">
                  <wp:extent cx="2676525" cy="1996751"/>
                  <wp:effectExtent l="0" t="0" r="15875" b="101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1F7EB4">
              <w:rPr>
                <w:rFonts w:ascii="Calibri" w:hAnsi="Calibri" w:cs="Calibri"/>
                <w:color w:val="FF0000"/>
                <w:sz w:val="18"/>
                <w:lang w:val="en-GB"/>
              </w:rPr>
              <w:t xml:space="preserve"> </w:t>
            </w:r>
            <w:r w:rsidRPr="001F7EB4">
              <w:rPr>
                <w:rFonts w:ascii="Calibri" w:hAnsi="Calibri" w:cs="Calibri"/>
                <w:noProof/>
                <w:color w:val="FF0000"/>
              </w:rPr>
              <w:drawing>
                <wp:inline distT="0" distB="0" distL="0" distR="0" wp14:anchorId="3E6DA5F0" wp14:editId="3452416B">
                  <wp:extent cx="2590800" cy="1903445"/>
                  <wp:effectExtent l="0" t="0" r="12700" b="1460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AF9822F" w14:textId="14BD68D4" w:rsidR="00CC6B6A" w:rsidRPr="003D24F2" w:rsidRDefault="003D24F2" w:rsidP="00AE6824">
            <w:pPr>
              <w:shd w:val="clear" w:color="auto" w:fill="FFFFFF"/>
              <w:spacing w:after="120"/>
              <w:rPr>
                <w:rFonts w:ascii="Calibri" w:hAnsi="Calibri" w:cs="Calibri"/>
                <w:bCs/>
                <w:color w:val="000000"/>
                <w:sz w:val="20"/>
              </w:rPr>
            </w:pPr>
            <w:r w:rsidRPr="001F7EB4">
              <w:rPr>
                <w:rFonts w:ascii="Calibri" w:eastAsia="Times New Roman" w:hAnsi="Calibri" w:cs="Calibri"/>
                <w:bCs/>
                <w:noProof/>
                <w:color w:val="000000"/>
                <w:sz w:val="20"/>
                <w:lang w:val="en-GB"/>
              </w:rPr>
              <w:t>Database</w:t>
            </w:r>
            <w:r w:rsidRPr="001F7EB4">
              <w:rPr>
                <w:rFonts w:ascii="Calibri" w:eastAsia="Times New Roman" w:hAnsi="Calibri" w:cs="Calibri"/>
                <w:bCs/>
                <w:color w:val="000000"/>
                <w:sz w:val="20"/>
                <w:lang w:val="en-GB"/>
              </w:rPr>
              <w:t>: treatment groups only, 80 observations per group, 160 observations in total.</w:t>
            </w:r>
          </w:p>
        </w:tc>
      </w:tr>
    </w:tbl>
    <w:p w14:paraId="6D679CDB" w14:textId="77777777" w:rsidR="00CC6B6A" w:rsidRPr="00316C10" w:rsidRDefault="00CC6B6A" w:rsidP="003D24F2">
      <w:pPr>
        <w:autoSpaceDE w:val="0"/>
        <w:autoSpaceDN w:val="0"/>
        <w:adjustRightInd w:val="0"/>
        <w:spacing w:after="0" w:line="240" w:lineRule="auto"/>
        <w:jc w:val="both"/>
        <w:rPr>
          <w:rFonts w:ascii="Calibri" w:hAnsi="Calibri" w:cs="Calibri"/>
          <w:sz w:val="24"/>
          <w:szCs w:val="24"/>
          <w:lang w:val="en-GB"/>
        </w:rPr>
      </w:pPr>
    </w:p>
    <w:p w14:paraId="77258659" w14:textId="77777777" w:rsidR="00F63F94" w:rsidRDefault="00F63F94" w:rsidP="00EA648F">
      <w:pPr>
        <w:autoSpaceDE w:val="0"/>
        <w:autoSpaceDN w:val="0"/>
        <w:adjustRightInd w:val="0"/>
        <w:spacing w:after="240" w:line="240" w:lineRule="auto"/>
        <w:jc w:val="both"/>
        <w:rPr>
          <w:rFonts w:ascii="Calibri" w:hAnsi="Calibri" w:cs="Calibri"/>
          <w:sz w:val="24"/>
          <w:szCs w:val="24"/>
          <w:lang w:val="en-GB"/>
        </w:rPr>
      </w:pPr>
      <w:r w:rsidRPr="00316C10">
        <w:rPr>
          <w:rFonts w:ascii="Calibri" w:eastAsia="Times New Roman" w:hAnsi="Calibri" w:cs="Calibri"/>
          <w:b/>
          <w:bCs/>
          <w:color w:val="000000"/>
          <w:sz w:val="24"/>
          <w:szCs w:val="24"/>
          <w:lang w:val="en-GB"/>
        </w:rPr>
        <w:t>G</w:t>
      </w:r>
      <w:r w:rsidRPr="00316C10">
        <w:rPr>
          <w:rFonts w:ascii="Calibri" w:hAnsi="Calibri" w:cs="Calibri"/>
          <w:b/>
          <w:sz w:val="24"/>
          <w:szCs w:val="24"/>
          <w:lang w:val="en-GB"/>
        </w:rPr>
        <w:t>ay couples also faced more hesitation than heterosexual or lesbian couples.</w:t>
      </w:r>
      <w:r w:rsidRPr="00316C10">
        <w:rPr>
          <w:rStyle w:val="EndnoteReference"/>
          <w:rFonts w:ascii="Calibri" w:hAnsi="Calibri" w:cs="Calibri"/>
          <w:sz w:val="24"/>
          <w:szCs w:val="24"/>
          <w:lang w:val="en-GB"/>
        </w:rPr>
        <w:t xml:space="preserve"> </w:t>
      </w:r>
      <w:r w:rsidRPr="00316C10">
        <w:rPr>
          <w:rFonts w:ascii="Calibri" w:hAnsi="Calibri" w:cs="Calibri"/>
          <w:sz w:val="24"/>
          <w:szCs w:val="24"/>
          <w:lang w:val="en-GB"/>
        </w:rPr>
        <w:t>Of the gay couples accepted, 12 percent were accepted with hesitation, while only 1 percent of the corresponding heterosexual couples experienced such hesitation (figure 6).</w:t>
      </w:r>
      <w:r w:rsidRPr="00316C10">
        <w:rPr>
          <w:rStyle w:val="EndnoteReference"/>
          <w:rFonts w:ascii="Calibri" w:hAnsi="Calibri" w:cs="Calibri"/>
          <w:sz w:val="24"/>
          <w:szCs w:val="24"/>
          <w:lang w:val="en-GB"/>
        </w:rPr>
        <w:t xml:space="preserve"> </w:t>
      </w:r>
      <w:r w:rsidRPr="00316C10">
        <w:rPr>
          <w:rStyle w:val="EndnoteReference"/>
          <w:rFonts w:ascii="Calibri" w:hAnsi="Calibri" w:cs="Calibri"/>
          <w:sz w:val="24"/>
          <w:szCs w:val="24"/>
          <w:lang w:val="en-GB"/>
        </w:rPr>
        <w:endnoteReference w:id="28"/>
      </w:r>
      <w:r w:rsidRPr="00316C10">
        <w:rPr>
          <w:rFonts w:ascii="Calibri" w:hAnsi="Calibri" w:cs="Calibri"/>
          <w:sz w:val="24"/>
          <w:szCs w:val="24"/>
          <w:lang w:val="en-GB"/>
        </w:rPr>
        <w:t xml:space="preserve"> The difference in the case of lesbian couples was smaller, and not statistically significant: 7 percent of lesbian couples were accepted with hesitation and 1 percent of the corresponding heterosexual couples.</w:t>
      </w:r>
      <w:r w:rsidRPr="00316C10">
        <w:rPr>
          <w:rStyle w:val="EndnoteReference"/>
          <w:rFonts w:ascii="Calibri" w:hAnsi="Calibri" w:cs="Calibri"/>
          <w:sz w:val="24"/>
          <w:szCs w:val="24"/>
          <w:lang w:val="en-GB"/>
        </w:rPr>
        <w:endnoteReference w:id="29"/>
      </w:r>
      <w:r w:rsidRPr="00316C10">
        <w:rPr>
          <w:rFonts w:ascii="Calibri" w:hAnsi="Calibri" w:cs="Calibri"/>
          <w:sz w:val="24"/>
          <w:szCs w:val="24"/>
          <w:lang w:val="en-GB"/>
        </w:rPr>
        <w:t xml:space="preserve"> </w:t>
      </w:r>
    </w:p>
    <w:tbl>
      <w:tblPr>
        <w:tblStyle w:val="TableGrid"/>
        <w:tblW w:w="0" w:type="auto"/>
        <w:tblBorders>
          <w:top w:val="single" w:sz="4" w:space="0" w:color="939492"/>
          <w:left w:val="single" w:sz="4" w:space="0" w:color="939492"/>
          <w:bottom w:val="single" w:sz="4" w:space="0" w:color="939492"/>
          <w:right w:val="single" w:sz="4" w:space="0" w:color="939492"/>
          <w:insideH w:val="single" w:sz="4" w:space="0" w:color="939492"/>
          <w:insideV w:val="single" w:sz="4" w:space="0" w:color="939492"/>
        </w:tblBorders>
        <w:tblCellMar>
          <w:top w:w="113" w:type="dxa"/>
          <w:bottom w:w="113" w:type="dxa"/>
        </w:tblCellMar>
        <w:tblLook w:val="04A0" w:firstRow="1" w:lastRow="0" w:firstColumn="1" w:lastColumn="0" w:noHBand="0" w:noVBand="1"/>
      </w:tblPr>
      <w:tblGrid>
        <w:gridCol w:w="9010"/>
      </w:tblGrid>
      <w:tr w:rsidR="00CC6B6A" w14:paraId="4D428F37" w14:textId="77777777" w:rsidTr="00A903A0">
        <w:tc>
          <w:tcPr>
            <w:tcW w:w="9010" w:type="dxa"/>
          </w:tcPr>
          <w:p w14:paraId="724BAF28" w14:textId="77777777" w:rsidR="003D24F2" w:rsidRPr="00316C10" w:rsidRDefault="003D24F2" w:rsidP="003D24F2">
            <w:pPr>
              <w:pStyle w:val="Subtitle"/>
              <w:numPr>
                <w:ilvl w:val="0"/>
                <w:numId w:val="0"/>
              </w:numPr>
            </w:pPr>
            <w:r w:rsidRPr="00316C10">
              <w:t xml:space="preserve">Figure 6: Acceptance with hesitation—gay couples and heterosexual couples </w:t>
            </w:r>
          </w:p>
          <w:p w14:paraId="5C8B77E2" w14:textId="3C3ECEAC" w:rsidR="003D24F2" w:rsidRPr="001F7EB4" w:rsidRDefault="003D24F2" w:rsidP="003D24F2">
            <w:pPr>
              <w:spacing w:after="120"/>
              <w:rPr>
                <w:rFonts w:ascii="Calibri" w:hAnsi="Calibri" w:cs="Calibri"/>
                <w:color w:val="FF0000"/>
                <w:sz w:val="18"/>
                <w:highlight w:val="magenta"/>
                <w:lang w:val="en-GB"/>
              </w:rPr>
            </w:pPr>
            <w:r>
              <w:rPr>
                <w:rFonts w:ascii="Calibri" w:hAnsi="Calibri" w:cs="Calibri"/>
                <w:color w:val="FF0000"/>
                <w:sz w:val="18"/>
                <w:lang w:val="en-GB"/>
              </w:rPr>
              <w:t xml:space="preserve">  </w:t>
            </w:r>
            <w:r w:rsidRPr="001F7EB4">
              <w:rPr>
                <w:rFonts w:ascii="Calibri" w:hAnsi="Calibri" w:cs="Calibri"/>
                <w:color w:val="FF0000"/>
                <w:sz w:val="18"/>
                <w:lang w:val="en-GB"/>
              </w:rPr>
              <w:t xml:space="preserve">  </w:t>
            </w:r>
            <w:r w:rsidRPr="001F7EB4">
              <w:rPr>
                <w:rFonts w:ascii="Calibri" w:hAnsi="Calibri" w:cs="Calibri"/>
                <w:noProof/>
                <w:color w:val="FF0000"/>
              </w:rPr>
              <w:drawing>
                <wp:inline distT="0" distB="0" distL="0" distR="0" wp14:anchorId="5466D0F2" wp14:editId="6D7E02BA">
                  <wp:extent cx="2712720" cy="2659225"/>
                  <wp:effectExtent l="0" t="0" r="17780" b="825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1F7EB4">
              <w:rPr>
                <w:rFonts w:ascii="Calibri" w:hAnsi="Calibri" w:cs="Calibri"/>
                <w:color w:val="FF0000"/>
                <w:sz w:val="18"/>
                <w:lang w:val="en-GB"/>
              </w:rPr>
              <w:t xml:space="preserve"> </w:t>
            </w:r>
            <w:r w:rsidRPr="001F7EB4">
              <w:rPr>
                <w:rFonts w:ascii="Calibri" w:hAnsi="Calibri" w:cs="Calibri"/>
                <w:noProof/>
                <w:color w:val="FF0000"/>
              </w:rPr>
              <w:drawing>
                <wp:inline distT="0" distB="0" distL="0" distR="0" wp14:anchorId="23450F07" wp14:editId="163B97AD">
                  <wp:extent cx="2606040" cy="2771192"/>
                  <wp:effectExtent l="0" t="0" r="10160" b="1016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90DB0BF" w14:textId="508B7DAA" w:rsidR="00CC6B6A" w:rsidRPr="003D24F2" w:rsidRDefault="003D24F2" w:rsidP="003D24F2">
            <w:pPr>
              <w:shd w:val="clear" w:color="auto" w:fill="FFFFFF"/>
              <w:spacing w:after="120"/>
              <w:jc w:val="both"/>
              <w:rPr>
                <w:rFonts w:ascii="Calibri" w:eastAsia="Times New Roman" w:hAnsi="Calibri" w:cs="Calibri"/>
                <w:bCs/>
                <w:color w:val="000000"/>
                <w:sz w:val="20"/>
              </w:rPr>
            </w:pPr>
            <w:r w:rsidRPr="008640F1">
              <w:rPr>
                <w:rFonts w:ascii="Calibri" w:eastAsia="Times New Roman" w:hAnsi="Calibri" w:cs="Calibri"/>
                <w:bCs/>
                <w:noProof/>
                <w:color w:val="000000"/>
                <w:sz w:val="20"/>
                <w:lang w:val="en-GB"/>
              </w:rPr>
              <w:t>Database</w:t>
            </w:r>
            <w:r w:rsidRPr="008640F1">
              <w:rPr>
                <w:rFonts w:ascii="Calibri" w:eastAsia="Times New Roman" w:hAnsi="Calibri" w:cs="Calibri"/>
                <w:bCs/>
                <w:color w:val="000000"/>
                <w:sz w:val="20"/>
                <w:lang w:val="en-GB"/>
              </w:rPr>
              <w:t xml:space="preserve">: accepted couples only; 100% of heterosexual couples, 71% of gay couples </w:t>
            </w:r>
          </w:p>
        </w:tc>
      </w:tr>
    </w:tbl>
    <w:p w14:paraId="1727B313" w14:textId="77777777" w:rsidR="00CC6B6A" w:rsidRPr="00316C10" w:rsidRDefault="00CC6B6A" w:rsidP="003D24F2">
      <w:pPr>
        <w:autoSpaceDE w:val="0"/>
        <w:autoSpaceDN w:val="0"/>
        <w:adjustRightInd w:val="0"/>
        <w:spacing w:after="0" w:line="240" w:lineRule="auto"/>
        <w:jc w:val="both"/>
        <w:rPr>
          <w:rFonts w:ascii="Calibri" w:hAnsi="Calibri" w:cs="Calibri"/>
          <w:sz w:val="24"/>
          <w:szCs w:val="24"/>
          <w:lang w:val="en-GB"/>
        </w:rPr>
      </w:pPr>
    </w:p>
    <w:p w14:paraId="77258667" w14:textId="4D9B5D25" w:rsidR="00F63F94" w:rsidRDefault="00F63F94" w:rsidP="009C4674">
      <w:pPr>
        <w:pStyle w:val="Heading3"/>
      </w:pPr>
      <w:bookmarkStart w:id="45" w:name="_Toc487467562"/>
      <w:bookmarkStart w:id="46" w:name="_Toc508872581"/>
      <w:r w:rsidRPr="00316C10">
        <w:t xml:space="preserve">Male landlords discriminate more against gay couples </w:t>
      </w:r>
      <w:bookmarkEnd w:id="45"/>
      <w:r w:rsidRPr="00316C10">
        <w:t>than female landlords</w:t>
      </w:r>
      <w:bookmarkEnd w:id="46"/>
    </w:p>
    <w:p w14:paraId="289040F9" w14:textId="77777777" w:rsidR="00316C10" w:rsidRPr="00316C10" w:rsidRDefault="00316C10" w:rsidP="00EA648F">
      <w:pPr>
        <w:spacing w:after="0"/>
      </w:pPr>
    </w:p>
    <w:p w14:paraId="77258669" w14:textId="307CDF97" w:rsidR="00F63F94" w:rsidRDefault="00F63F94" w:rsidP="00EA648F">
      <w:pPr>
        <w:autoSpaceDE w:val="0"/>
        <w:autoSpaceDN w:val="0"/>
        <w:adjustRightInd w:val="0"/>
        <w:spacing w:after="240" w:line="240" w:lineRule="auto"/>
        <w:jc w:val="both"/>
        <w:rPr>
          <w:rFonts w:ascii="Calibri" w:hAnsi="Calibri" w:cs="Calibri"/>
          <w:sz w:val="24"/>
          <w:szCs w:val="24"/>
          <w:lang w:val="en-GB"/>
        </w:rPr>
      </w:pPr>
      <w:r w:rsidRPr="00CB256D">
        <w:rPr>
          <w:rFonts w:ascii="Calibri" w:hAnsi="Calibri" w:cs="Calibri"/>
          <w:b/>
          <w:sz w:val="24"/>
          <w:szCs w:val="24"/>
          <w:lang w:val="en-GB"/>
        </w:rPr>
        <w:t>Male landlords rejected gay couples significantly more often than lesbian couples.</w:t>
      </w:r>
      <w:r w:rsidRPr="00CB256D" w:rsidDel="00E9374C">
        <w:rPr>
          <w:rFonts w:ascii="Calibri" w:hAnsi="Calibri" w:cs="Calibri"/>
          <w:b/>
          <w:sz w:val="24"/>
          <w:szCs w:val="24"/>
          <w:lang w:val="en-GB"/>
        </w:rPr>
        <w:t xml:space="preserve"> </w:t>
      </w:r>
      <w:r w:rsidRPr="00CB256D">
        <w:rPr>
          <w:rFonts w:ascii="Calibri" w:hAnsi="Calibri" w:cs="Calibri"/>
          <w:sz w:val="24"/>
          <w:szCs w:val="24"/>
          <w:lang w:val="en-GB"/>
        </w:rPr>
        <w:t>As much as 36 percent of male landlords refused gay couples, while only 7 percent refused lesbian couples.</w:t>
      </w:r>
      <w:r w:rsidRPr="00CB256D">
        <w:rPr>
          <w:rStyle w:val="EndnoteReference"/>
          <w:rFonts w:ascii="Calibri" w:hAnsi="Calibri" w:cs="Calibri"/>
          <w:sz w:val="24"/>
          <w:szCs w:val="24"/>
          <w:lang w:val="en-GB"/>
        </w:rPr>
        <w:endnoteReference w:id="30"/>
      </w:r>
      <w:r w:rsidRPr="00CB256D">
        <w:rPr>
          <w:rFonts w:ascii="Calibri" w:hAnsi="Calibri" w:cs="Calibri"/>
          <w:sz w:val="24"/>
          <w:szCs w:val="24"/>
          <w:lang w:val="en-GB"/>
        </w:rPr>
        <w:t xml:space="preserve"> On the other hand, female landlords rejected gay and lesbian couples to the same extent.</w:t>
      </w:r>
      <w:r w:rsidRPr="00CB256D">
        <w:rPr>
          <w:rStyle w:val="EndnoteReference"/>
          <w:rFonts w:ascii="Calibri" w:hAnsi="Calibri" w:cs="Calibri"/>
          <w:sz w:val="24"/>
          <w:szCs w:val="24"/>
          <w:lang w:val="en-GB"/>
        </w:rPr>
        <w:endnoteReference w:id="31"/>
      </w:r>
      <w:r w:rsidRPr="00CB256D">
        <w:rPr>
          <w:rFonts w:ascii="Calibri" w:hAnsi="Calibri" w:cs="Calibri"/>
          <w:sz w:val="24"/>
          <w:szCs w:val="24"/>
          <w:lang w:val="en-GB"/>
        </w:rPr>
        <w:t xml:space="preserve"> Male landlords rejected lesbian couples at similar levels of female landlords (figure 7).</w:t>
      </w:r>
    </w:p>
    <w:tbl>
      <w:tblPr>
        <w:tblStyle w:val="TableGrid"/>
        <w:tblW w:w="0" w:type="auto"/>
        <w:tblBorders>
          <w:top w:val="single" w:sz="4" w:space="0" w:color="939492"/>
          <w:left w:val="single" w:sz="4" w:space="0" w:color="939492"/>
          <w:bottom w:val="single" w:sz="4" w:space="0" w:color="939492"/>
          <w:right w:val="single" w:sz="4" w:space="0" w:color="939492"/>
          <w:insideH w:val="single" w:sz="4" w:space="0" w:color="939492"/>
          <w:insideV w:val="single" w:sz="4" w:space="0" w:color="939492"/>
        </w:tblBorders>
        <w:tblCellMar>
          <w:top w:w="113" w:type="dxa"/>
          <w:bottom w:w="113" w:type="dxa"/>
        </w:tblCellMar>
        <w:tblLook w:val="04A0" w:firstRow="1" w:lastRow="0" w:firstColumn="1" w:lastColumn="0" w:noHBand="0" w:noVBand="1"/>
      </w:tblPr>
      <w:tblGrid>
        <w:gridCol w:w="9010"/>
      </w:tblGrid>
      <w:tr w:rsidR="00CC6B6A" w14:paraId="4B107944" w14:textId="77777777" w:rsidTr="00A903A0">
        <w:tc>
          <w:tcPr>
            <w:tcW w:w="9010" w:type="dxa"/>
          </w:tcPr>
          <w:p w14:paraId="5F17AE7B" w14:textId="77777777" w:rsidR="003D24F2" w:rsidRPr="00316C10" w:rsidRDefault="003D24F2" w:rsidP="003D24F2">
            <w:pPr>
              <w:pStyle w:val="Subtitle"/>
              <w:numPr>
                <w:ilvl w:val="0"/>
                <w:numId w:val="0"/>
              </w:numPr>
              <w:rPr>
                <w:rFonts w:ascii="Calibri" w:hAnsi="Calibri"/>
              </w:rPr>
            </w:pPr>
            <w:r w:rsidRPr="00316C10">
              <w:rPr>
                <w:rFonts w:ascii="Calibri" w:hAnsi="Calibri"/>
              </w:rPr>
              <w:t xml:space="preserve">Figure 7: Acceptance and refusal of lesbian and gay couples by female and male landlords  </w:t>
            </w:r>
          </w:p>
          <w:p w14:paraId="2A8D8771" w14:textId="1C4261CF" w:rsidR="003D24F2" w:rsidRPr="001F7EB4" w:rsidRDefault="00FE2652" w:rsidP="003D24F2">
            <w:pPr>
              <w:spacing w:after="120"/>
              <w:rPr>
                <w:rFonts w:ascii="Calibri" w:hAnsi="Calibri" w:cs="Calibri"/>
                <w:color w:val="FF0000"/>
                <w:sz w:val="18"/>
                <w:highlight w:val="magenta"/>
                <w:lang w:val="en-GB"/>
              </w:rPr>
            </w:pPr>
            <w:r>
              <w:rPr>
                <w:noProof/>
              </w:rPr>
              <w:drawing>
                <wp:inline distT="0" distB="0" distL="0" distR="0" wp14:anchorId="39AEFB85" wp14:editId="7182347D">
                  <wp:extent cx="5486400" cy="2677885"/>
                  <wp:effectExtent l="0" t="0" r="0" b="19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0AD1521" w14:textId="0444A116" w:rsidR="00CC6B6A" w:rsidRPr="003D24F2" w:rsidRDefault="003D24F2" w:rsidP="003D24F2">
            <w:pPr>
              <w:spacing w:after="120"/>
              <w:rPr>
                <w:rFonts w:ascii="Calibri" w:hAnsi="Calibri" w:cs="Calibri"/>
                <w:sz w:val="20"/>
                <w:highlight w:val="yellow"/>
                <w:lang w:val="en-GB"/>
              </w:rPr>
            </w:pPr>
            <w:r w:rsidRPr="001F7EB4">
              <w:rPr>
                <w:rFonts w:ascii="Calibri" w:eastAsia="Times New Roman" w:hAnsi="Calibri" w:cs="Calibri"/>
                <w:bCs/>
                <w:noProof/>
                <w:color w:val="000000"/>
                <w:sz w:val="20"/>
                <w:lang w:val="en-GB"/>
              </w:rPr>
              <w:t>Database</w:t>
            </w:r>
            <w:r w:rsidRPr="001F7EB4">
              <w:rPr>
                <w:rFonts w:ascii="Calibri" w:eastAsia="Times New Roman" w:hAnsi="Calibri" w:cs="Calibri"/>
                <w:bCs/>
                <w:color w:val="000000"/>
                <w:sz w:val="20"/>
                <w:lang w:val="en-GB"/>
              </w:rPr>
              <w:t>: 86 male landlords</w:t>
            </w:r>
            <w:r>
              <w:rPr>
                <w:rFonts w:ascii="Calibri" w:eastAsia="Times New Roman" w:hAnsi="Calibri" w:cs="Calibri"/>
                <w:bCs/>
                <w:color w:val="000000"/>
                <w:sz w:val="20"/>
                <w:lang w:val="en-GB"/>
              </w:rPr>
              <w:t>—</w:t>
            </w:r>
            <w:r w:rsidRPr="001F7EB4">
              <w:rPr>
                <w:rFonts w:ascii="Calibri" w:eastAsia="Times New Roman" w:hAnsi="Calibri" w:cs="Calibri"/>
                <w:bCs/>
                <w:color w:val="000000"/>
                <w:sz w:val="20"/>
                <w:lang w:val="en-GB"/>
              </w:rPr>
              <w:t>42 observations with gay couples and 44 with lesbian couples</w:t>
            </w:r>
            <w:r>
              <w:rPr>
                <w:rFonts w:ascii="Calibri" w:eastAsia="Times New Roman" w:hAnsi="Calibri" w:cs="Calibri"/>
                <w:bCs/>
                <w:color w:val="000000"/>
                <w:sz w:val="20"/>
                <w:lang w:val="en-GB"/>
              </w:rPr>
              <w:t xml:space="preserve">; </w:t>
            </w:r>
            <w:r w:rsidRPr="001F7EB4">
              <w:rPr>
                <w:rFonts w:ascii="Calibri" w:eastAsia="Times New Roman" w:hAnsi="Calibri" w:cs="Calibri"/>
                <w:bCs/>
                <w:color w:val="000000"/>
                <w:sz w:val="20"/>
                <w:lang w:val="en-GB"/>
              </w:rPr>
              <w:t>74 Female landlords</w:t>
            </w:r>
            <w:r>
              <w:rPr>
                <w:rFonts w:ascii="Calibri" w:eastAsia="Times New Roman" w:hAnsi="Calibri" w:cs="Calibri"/>
                <w:bCs/>
                <w:color w:val="000000"/>
                <w:sz w:val="20"/>
                <w:lang w:val="en-GB"/>
              </w:rPr>
              <w:t>—</w:t>
            </w:r>
            <w:r w:rsidRPr="001F7EB4">
              <w:rPr>
                <w:rFonts w:ascii="Calibri" w:eastAsia="Times New Roman" w:hAnsi="Calibri" w:cs="Calibri"/>
                <w:bCs/>
                <w:color w:val="000000"/>
                <w:sz w:val="20"/>
                <w:lang w:val="en-GB"/>
              </w:rPr>
              <w:t>38 observations with gay couples and 36 with lesbian couples.</w:t>
            </w:r>
          </w:p>
        </w:tc>
      </w:tr>
    </w:tbl>
    <w:p w14:paraId="76D6E7EF" w14:textId="77777777" w:rsidR="00F72D20" w:rsidRPr="00F72D20" w:rsidRDefault="00F72D20" w:rsidP="00FE2652">
      <w:pPr>
        <w:spacing w:after="0"/>
      </w:pPr>
      <w:bookmarkStart w:id="47" w:name="_Toc487467563"/>
      <w:bookmarkStart w:id="48" w:name="_Toc508872582"/>
    </w:p>
    <w:p w14:paraId="7725866E" w14:textId="484BB30D" w:rsidR="00F63F94" w:rsidRPr="00316C10" w:rsidRDefault="00F63F94" w:rsidP="009C4674">
      <w:pPr>
        <w:pStyle w:val="Heading3"/>
      </w:pPr>
      <w:r w:rsidRPr="00316C10">
        <w:t>Homophobia was Openly Expressed by Many Landlords</w:t>
      </w:r>
      <w:bookmarkEnd w:id="47"/>
      <w:bookmarkEnd w:id="48"/>
    </w:p>
    <w:p w14:paraId="5221BA41" w14:textId="77777777" w:rsidR="00316C10" w:rsidRPr="009C4674" w:rsidRDefault="00316C10" w:rsidP="00F63F94">
      <w:pPr>
        <w:spacing w:after="120" w:line="240" w:lineRule="auto"/>
        <w:rPr>
          <w:rFonts w:ascii="Calibri" w:hAnsi="Calibri" w:cs="Calibri"/>
          <w:b/>
          <w:sz w:val="24"/>
          <w:szCs w:val="24"/>
          <w:lang w:val="en-GB"/>
        </w:rPr>
      </w:pPr>
    </w:p>
    <w:p w14:paraId="7725866F" w14:textId="77777777" w:rsidR="00F63F94" w:rsidRPr="00316C10" w:rsidRDefault="00F63F94" w:rsidP="00EA648F">
      <w:pPr>
        <w:spacing w:after="240" w:line="240" w:lineRule="auto"/>
        <w:jc w:val="both"/>
        <w:rPr>
          <w:rFonts w:ascii="Calibri" w:hAnsi="Calibri" w:cs="Calibri"/>
          <w:sz w:val="24"/>
          <w:szCs w:val="24"/>
          <w:lang w:val="en-GB"/>
        </w:rPr>
      </w:pPr>
      <w:r w:rsidRPr="00316C10">
        <w:rPr>
          <w:rFonts w:ascii="Calibri" w:hAnsi="Calibri" w:cs="Calibri"/>
          <w:b/>
          <w:sz w:val="24"/>
          <w:szCs w:val="24"/>
          <w:lang w:val="en-GB"/>
        </w:rPr>
        <w:t xml:space="preserve">Analysis of the interview transcripts shows open homophobia by landlords. </w:t>
      </w:r>
      <w:r w:rsidRPr="00316C10">
        <w:rPr>
          <w:rFonts w:ascii="Calibri" w:hAnsi="Calibri" w:cs="Calibri"/>
          <w:sz w:val="24"/>
          <w:szCs w:val="24"/>
          <w:lang w:val="en-GB"/>
        </w:rPr>
        <w:t>Once informed that the potential tenants were a gay or a lesbian couple, the landlords reacted in one of two ways.</w:t>
      </w:r>
    </w:p>
    <w:p w14:paraId="77258670" w14:textId="77777777" w:rsidR="00F63F94" w:rsidRPr="00316C10" w:rsidRDefault="00F63F94" w:rsidP="00EA648F">
      <w:pPr>
        <w:spacing w:after="240" w:line="240" w:lineRule="auto"/>
        <w:jc w:val="both"/>
        <w:rPr>
          <w:rFonts w:ascii="Calibri" w:hAnsi="Calibri" w:cs="Calibri"/>
          <w:sz w:val="24"/>
          <w:szCs w:val="24"/>
          <w:lang w:val="en-GB"/>
        </w:rPr>
      </w:pPr>
      <w:r w:rsidRPr="00316C10">
        <w:rPr>
          <w:rFonts w:ascii="Calibri" w:hAnsi="Calibri" w:cs="Calibri"/>
          <w:sz w:val="24"/>
          <w:szCs w:val="24"/>
          <w:lang w:val="en-GB"/>
        </w:rPr>
        <w:t xml:space="preserve">One group of landlords immediately stated that they were not willing to rent the apartment to a gay or lesbian couple: </w:t>
      </w:r>
    </w:p>
    <w:p w14:paraId="77258671" w14:textId="77777777" w:rsidR="00F63F94" w:rsidRPr="009A5091" w:rsidRDefault="00F63F94" w:rsidP="00CB256D">
      <w:pPr>
        <w:pStyle w:val="ListParagraph"/>
        <w:spacing w:after="120" w:line="240" w:lineRule="auto"/>
        <w:ind w:right="720"/>
        <w:contextualSpacing w:val="0"/>
        <w:jc w:val="both"/>
        <w:rPr>
          <w:rFonts w:ascii="Calibri" w:hAnsi="Calibri" w:cs="Calibri"/>
          <w:i/>
          <w:sz w:val="24"/>
          <w:szCs w:val="24"/>
          <w:lang w:val="en-GB"/>
        </w:rPr>
      </w:pPr>
      <w:r w:rsidRPr="009A5091">
        <w:rPr>
          <w:rFonts w:ascii="Calibri" w:hAnsi="Calibri" w:cs="Calibri"/>
          <w:i/>
          <w:sz w:val="24"/>
          <w:szCs w:val="24"/>
          <w:lang w:val="en-GB"/>
        </w:rPr>
        <w:t xml:space="preserve">Two men, what do you mean a couple, what kind of couple? You mean two men in </w:t>
      </w:r>
      <w:r w:rsidRPr="009A5091">
        <w:rPr>
          <w:rFonts w:ascii="Calibri" w:hAnsi="Calibri" w:cs="Calibri"/>
          <w:i/>
          <w:noProof/>
          <w:sz w:val="24"/>
          <w:szCs w:val="24"/>
          <w:lang w:val="en-GB"/>
        </w:rPr>
        <w:t>emotional</w:t>
      </w:r>
      <w:r w:rsidRPr="009A5091">
        <w:rPr>
          <w:rFonts w:ascii="Calibri" w:hAnsi="Calibri" w:cs="Calibri"/>
          <w:i/>
          <w:sz w:val="24"/>
          <w:szCs w:val="24"/>
          <w:lang w:val="en-GB"/>
        </w:rPr>
        <w:t xml:space="preserve"> relationship? Oh no, no! Goodbye.</w:t>
      </w:r>
    </w:p>
    <w:p w14:paraId="77258672" w14:textId="77777777" w:rsidR="00F63F94" w:rsidRPr="009A5091" w:rsidRDefault="00F63F94" w:rsidP="00CB256D">
      <w:pPr>
        <w:pStyle w:val="ListParagraph"/>
        <w:spacing w:after="120" w:line="240" w:lineRule="auto"/>
        <w:ind w:right="720"/>
        <w:contextualSpacing w:val="0"/>
        <w:jc w:val="both"/>
        <w:rPr>
          <w:rFonts w:ascii="Calibri" w:hAnsi="Calibri" w:cs="Calibri"/>
          <w:i/>
          <w:sz w:val="24"/>
          <w:szCs w:val="24"/>
          <w:lang w:val="en-GB"/>
        </w:rPr>
      </w:pPr>
      <w:r w:rsidRPr="009A5091">
        <w:rPr>
          <w:rFonts w:ascii="Calibri" w:hAnsi="Calibri" w:cs="Calibri"/>
          <w:i/>
          <w:sz w:val="24"/>
          <w:szCs w:val="24"/>
        </w:rPr>
        <w:t>Oooooh</w:t>
      </w:r>
      <w:r w:rsidRPr="009A5091">
        <w:rPr>
          <w:rFonts w:ascii="Calibri" w:hAnsi="Calibri" w:cs="Calibri"/>
          <w:i/>
          <w:sz w:val="24"/>
          <w:szCs w:val="24"/>
          <w:lang w:val="en-GB"/>
        </w:rPr>
        <w:t>, well, I have never rented a flat to a male couple, or something like that, they were always a young couple or married couple. I am sorry, but not me, not like that.</w:t>
      </w:r>
    </w:p>
    <w:p w14:paraId="77258673" w14:textId="77777777" w:rsidR="00F63F94" w:rsidRPr="009A5091" w:rsidRDefault="00F63F94" w:rsidP="00CB256D">
      <w:pPr>
        <w:spacing w:after="120" w:line="240" w:lineRule="auto"/>
        <w:ind w:left="720" w:right="720"/>
        <w:jc w:val="both"/>
        <w:rPr>
          <w:rFonts w:ascii="Calibri" w:hAnsi="Calibri" w:cs="Calibri"/>
          <w:i/>
          <w:sz w:val="24"/>
          <w:szCs w:val="24"/>
        </w:rPr>
      </w:pPr>
      <w:r w:rsidRPr="009A5091">
        <w:rPr>
          <w:rFonts w:ascii="Calibri" w:hAnsi="Calibri" w:cs="Calibri"/>
          <w:i/>
          <w:sz w:val="24"/>
          <w:szCs w:val="24"/>
          <w:lang w:val="en-GB"/>
        </w:rPr>
        <w:t>Well I don’t know, I wouldn’t really want to. I have nothing against it, but I don’t want to.</w:t>
      </w:r>
    </w:p>
    <w:p w14:paraId="77258674" w14:textId="77777777" w:rsidR="00F63F94" w:rsidRPr="009A5091" w:rsidRDefault="00F63F94" w:rsidP="009A5091">
      <w:pPr>
        <w:spacing w:after="240" w:line="240" w:lineRule="auto"/>
        <w:ind w:left="720" w:right="720"/>
        <w:jc w:val="both"/>
        <w:rPr>
          <w:rFonts w:ascii="Calibri" w:hAnsi="Calibri" w:cs="Calibri"/>
          <w:i/>
          <w:sz w:val="24"/>
          <w:szCs w:val="24"/>
        </w:rPr>
      </w:pPr>
      <w:r w:rsidRPr="009A5091">
        <w:rPr>
          <w:rFonts w:ascii="Calibri" w:hAnsi="Calibri" w:cs="Calibri"/>
          <w:i/>
          <w:sz w:val="24"/>
          <w:szCs w:val="24"/>
          <w:lang w:val="en-GB"/>
        </w:rPr>
        <w:t>What can I say, it is a problem. (Could we see the apartment?) No. Bye.</w:t>
      </w:r>
    </w:p>
    <w:p w14:paraId="77258675" w14:textId="77777777" w:rsidR="00F63F94" w:rsidRPr="00316C10" w:rsidRDefault="00F63F94" w:rsidP="00EA648F">
      <w:pPr>
        <w:spacing w:after="240" w:line="240" w:lineRule="auto"/>
        <w:jc w:val="both"/>
        <w:rPr>
          <w:rFonts w:ascii="Calibri" w:hAnsi="Calibri" w:cs="Calibri"/>
          <w:sz w:val="24"/>
          <w:szCs w:val="24"/>
          <w:lang w:val="en-GB"/>
        </w:rPr>
      </w:pPr>
      <w:r w:rsidRPr="00316C10">
        <w:rPr>
          <w:rFonts w:ascii="Calibri" w:hAnsi="Calibri" w:cs="Calibri"/>
          <w:sz w:val="24"/>
          <w:szCs w:val="24"/>
          <w:lang w:val="en-GB"/>
        </w:rPr>
        <w:lastRenderedPageBreak/>
        <w:t xml:space="preserve">The other group stressed the negative reactions of other people—either their families or </w:t>
      </w:r>
      <w:r w:rsidRPr="00316C10">
        <w:rPr>
          <w:rFonts w:ascii="Calibri" w:hAnsi="Calibri" w:cs="Calibri"/>
          <w:noProof/>
          <w:sz w:val="24"/>
          <w:szCs w:val="24"/>
          <w:lang w:val="en-GB"/>
        </w:rPr>
        <w:t>neighbors</w:t>
      </w:r>
      <w:r w:rsidRPr="00316C10">
        <w:rPr>
          <w:rFonts w:ascii="Calibri" w:hAnsi="Calibri" w:cs="Calibri"/>
          <w:sz w:val="24"/>
          <w:szCs w:val="24"/>
          <w:lang w:val="en-GB"/>
        </w:rPr>
        <w:t xml:space="preserve"> in the building in which the apartment was located—as a </w:t>
      </w:r>
      <w:r w:rsidRPr="00316C10">
        <w:rPr>
          <w:rFonts w:ascii="Calibri" w:hAnsi="Calibri" w:cs="Calibri"/>
          <w:noProof/>
          <w:sz w:val="24"/>
          <w:szCs w:val="24"/>
          <w:lang w:val="en-GB"/>
        </w:rPr>
        <w:t>reason</w:t>
      </w:r>
      <w:r w:rsidRPr="00316C10">
        <w:rPr>
          <w:rFonts w:ascii="Calibri" w:hAnsi="Calibri" w:cs="Calibri"/>
          <w:sz w:val="24"/>
          <w:szCs w:val="24"/>
          <w:lang w:val="en-GB"/>
        </w:rPr>
        <w:t xml:space="preserve"> for the refusal.</w:t>
      </w:r>
    </w:p>
    <w:p w14:paraId="77258676" w14:textId="49440A88" w:rsidR="00F63F94" w:rsidRPr="009A5091" w:rsidRDefault="00F63F94" w:rsidP="00CB256D">
      <w:pPr>
        <w:spacing w:after="120" w:line="240" w:lineRule="auto"/>
        <w:ind w:left="720" w:right="720"/>
        <w:jc w:val="both"/>
        <w:rPr>
          <w:rFonts w:ascii="Calibri" w:hAnsi="Calibri" w:cs="Calibri"/>
          <w:i/>
          <w:sz w:val="24"/>
          <w:szCs w:val="24"/>
          <w:lang w:val="en-GB"/>
        </w:rPr>
      </w:pPr>
      <w:r w:rsidRPr="009A5091">
        <w:rPr>
          <w:rFonts w:ascii="Calibri" w:hAnsi="Calibri" w:cs="Calibri"/>
          <w:i/>
          <w:sz w:val="24"/>
          <w:szCs w:val="24"/>
          <w:lang w:val="en-GB"/>
        </w:rPr>
        <w:t xml:space="preserve">My grandmother wouldn’t like it. You know, we have children, so </w:t>
      </w:r>
      <w:r w:rsidR="009A5091" w:rsidRPr="009A5091">
        <w:rPr>
          <w:rFonts w:ascii="Calibri" w:hAnsi="Calibri" w:cs="Calibri"/>
          <w:i/>
          <w:sz w:val="24"/>
          <w:szCs w:val="24"/>
          <w:lang w:val="en-GB"/>
        </w:rPr>
        <w:t xml:space="preserve">... </w:t>
      </w:r>
      <w:r w:rsidRPr="009A5091">
        <w:rPr>
          <w:rFonts w:ascii="Calibri" w:hAnsi="Calibri" w:cs="Calibri"/>
          <w:i/>
          <w:sz w:val="24"/>
          <w:szCs w:val="24"/>
          <w:lang w:val="en-GB"/>
        </w:rPr>
        <w:t>you understand.</w:t>
      </w:r>
    </w:p>
    <w:p w14:paraId="77258677" w14:textId="77777777" w:rsidR="00F63F94" w:rsidRPr="009A5091" w:rsidRDefault="00F63F94" w:rsidP="00CB256D">
      <w:pPr>
        <w:spacing w:after="120" w:line="240" w:lineRule="auto"/>
        <w:ind w:left="720" w:right="720"/>
        <w:jc w:val="both"/>
        <w:rPr>
          <w:rFonts w:ascii="Calibri" w:hAnsi="Calibri" w:cs="Calibri"/>
          <w:i/>
          <w:sz w:val="24"/>
          <w:szCs w:val="24"/>
          <w:lang w:val="en-GB"/>
        </w:rPr>
      </w:pPr>
      <w:r w:rsidRPr="009A5091">
        <w:rPr>
          <w:rFonts w:ascii="Calibri" w:hAnsi="Calibri" w:cs="Calibri"/>
          <w:i/>
          <w:sz w:val="24"/>
          <w:szCs w:val="24"/>
          <w:lang w:val="en-GB"/>
        </w:rPr>
        <w:t>My son-in-law owns that apartment; I must ask him. Call me in half an hour, please. (Second call) Yes, I have asked him, and he doesn’t approve. (And what are the reasons, what does he say?) He doesn’t want to, as simple as that, he didn’t say why that’s all.</w:t>
      </w:r>
    </w:p>
    <w:p w14:paraId="77258678" w14:textId="77777777" w:rsidR="00F63F94" w:rsidRPr="009A5091" w:rsidRDefault="00F63F94" w:rsidP="00CB256D">
      <w:pPr>
        <w:spacing w:after="120" w:line="240" w:lineRule="auto"/>
        <w:ind w:left="720" w:right="720"/>
        <w:jc w:val="both"/>
        <w:rPr>
          <w:rFonts w:ascii="Calibri" w:hAnsi="Calibri" w:cs="Calibri"/>
          <w:i/>
          <w:sz w:val="24"/>
          <w:szCs w:val="24"/>
          <w:lang w:val="en-GB"/>
        </w:rPr>
      </w:pPr>
      <w:r w:rsidRPr="009A5091">
        <w:rPr>
          <w:rFonts w:ascii="Calibri" w:hAnsi="Calibri" w:cs="Calibri"/>
          <w:i/>
          <w:sz w:val="24"/>
          <w:szCs w:val="24"/>
          <w:lang w:val="en-GB"/>
        </w:rPr>
        <w:t>I don’t know what to say, it’s not a problem for me, but it may be a problem for the neighbours and other tenants, I can’t agree to this.</w:t>
      </w:r>
    </w:p>
    <w:p w14:paraId="77258679" w14:textId="77777777" w:rsidR="00F63F94" w:rsidRPr="009A5091" w:rsidRDefault="00F63F94" w:rsidP="00CB256D">
      <w:pPr>
        <w:spacing w:after="120" w:line="240" w:lineRule="auto"/>
        <w:ind w:left="720" w:right="720"/>
        <w:jc w:val="both"/>
        <w:rPr>
          <w:rFonts w:ascii="Calibri" w:hAnsi="Calibri" w:cs="Calibri"/>
          <w:i/>
          <w:sz w:val="24"/>
          <w:szCs w:val="24"/>
          <w:lang w:val="en-GB"/>
        </w:rPr>
      </w:pPr>
      <w:r w:rsidRPr="009A5091">
        <w:rPr>
          <w:rFonts w:ascii="Calibri" w:hAnsi="Calibri" w:cs="Calibri"/>
          <w:i/>
          <w:sz w:val="24"/>
          <w:szCs w:val="24"/>
          <w:lang w:val="en-GB"/>
        </w:rPr>
        <w:t>Well, I don’t know, I have to check with my mother and then call you back. (Second call) Well, my mother doesn’t really approve. Goodbye.</w:t>
      </w:r>
    </w:p>
    <w:p w14:paraId="7725867A" w14:textId="1D878240" w:rsidR="00F63F94" w:rsidRPr="009A5091" w:rsidRDefault="00F63F94" w:rsidP="00CB256D">
      <w:pPr>
        <w:spacing w:after="120" w:line="240" w:lineRule="auto"/>
        <w:ind w:left="720" w:right="720"/>
        <w:jc w:val="both"/>
        <w:rPr>
          <w:rFonts w:ascii="Calibri" w:hAnsi="Calibri" w:cs="Calibri"/>
          <w:i/>
          <w:sz w:val="24"/>
          <w:szCs w:val="24"/>
          <w:lang w:val="en-GB"/>
        </w:rPr>
      </w:pPr>
      <w:r w:rsidRPr="009A5091">
        <w:rPr>
          <w:rFonts w:ascii="Calibri" w:hAnsi="Calibri" w:cs="Calibri"/>
          <w:i/>
          <w:sz w:val="24"/>
          <w:szCs w:val="24"/>
          <w:lang w:val="en-GB"/>
        </w:rPr>
        <w:t xml:space="preserve">Well, I am not sure, I must ask my husband and my children. Please call me in the evening, I must talk with them first </w:t>
      </w:r>
      <w:r w:rsidR="009A5091" w:rsidRPr="009A5091">
        <w:rPr>
          <w:rFonts w:ascii="Calibri" w:hAnsi="Calibri" w:cs="Calibri"/>
          <w:i/>
          <w:sz w:val="24"/>
          <w:szCs w:val="24"/>
          <w:lang w:val="en-GB"/>
        </w:rPr>
        <w:t xml:space="preserve">... </w:t>
      </w:r>
      <w:r w:rsidRPr="009A5091">
        <w:rPr>
          <w:rFonts w:ascii="Calibri" w:hAnsi="Calibri" w:cs="Calibri"/>
          <w:i/>
          <w:sz w:val="24"/>
          <w:szCs w:val="24"/>
          <w:lang w:val="en-GB"/>
        </w:rPr>
        <w:t>I have no problem with that, but my husband is a bit conservative. (Second call) The flat has been rented, goodbye.</w:t>
      </w:r>
    </w:p>
    <w:p w14:paraId="7725867B" w14:textId="77777777" w:rsidR="00F63F94" w:rsidRDefault="00F63F94" w:rsidP="00F63F94">
      <w:pPr>
        <w:rPr>
          <w:rFonts w:ascii="Calibri" w:hAnsi="Calibri" w:cs="Calibri"/>
          <w:lang w:val="en-GB"/>
        </w:rPr>
      </w:pPr>
      <w:r>
        <w:rPr>
          <w:rFonts w:ascii="Calibri" w:hAnsi="Calibri" w:cs="Calibri"/>
          <w:lang w:val="en-GB"/>
        </w:rPr>
        <w:br w:type="page"/>
      </w:r>
    </w:p>
    <w:p w14:paraId="7725867C" w14:textId="6516C51D" w:rsidR="00F63F94" w:rsidRPr="00316C10" w:rsidRDefault="00F63F94" w:rsidP="00316C10">
      <w:pPr>
        <w:pStyle w:val="Heading1"/>
        <w:numPr>
          <w:ilvl w:val="0"/>
          <w:numId w:val="19"/>
        </w:numPr>
        <w:spacing w:before="40"/>
        <w:ind w:left="426" w:hanging="426"/>
        <w:contextualSpacing w:val="0"/>
        <w:rPr>
          <w:rFonts w:cs="Arial"/>
          <w:color w:val="2F5496" w:themeColor="accent1" w:themeShade="BF"/>
          <w:spacing w:val="0"/>
          <w:kern w:val="0"/>
          <w:sz w:val="36"/>
          <w:szCs w:val="36"/>
          <w:lang w:val="en-US"/>
        </w:rPr>
      </w:pPr>
      <w:bookmarkStart w:id="49" w:name="_Toc496098302"/>
      <w:bookmarkStart w:id="50" w:name="_Toc508872583"/>
      <w:bookmarkEnd w:id="49"/>
      <w:r w:rsidRPr="00316C10">
        <w:rPr>
          <w:rFonts w:cs="Arial"/>
          <w:color w:val="2F5496" w:themeColor="accent1" w:themeShade="BF"/>
          <w:spacing w:val="0"/>
          <w:kern w:val="0"/>
          <w:sz w:val="36"/>
          <w:szCs w:val="36"/>
          <w:lang w:val="en-US"/>
        </w:rPr>
        <w:lastRenderedPageBreak/>
        <w:t>Conclusion</w:t>
      </w:r>
      <w:bookmarkEnd w:id="50"/>
    </w:p>
    <w:p w14:paraId="74013050" w14:textId="77777777" w:rsidR="00316C10" w:rsidRDefault="00316C10" w:rsidP="009C4674">
      <w:pPr>
        <w:pStyle w:val="Heading2"/>
        <w:spacing w:before="0"/>
        <w:contextualSpacing w:val="0"/>
        <w:jc w:val="left"/>
        <w:rPr>
          <w:rFonts w:ascii="Calibri" w:hAnsi="Calibri" w:cs="Calibri"/>
          <w:b w:val="0"/>
          <w:i/>
          <w:color w:val="0070C0"/>
          <w:spacing w:val="0"/>
        </w:rPr>
      </w:pPr>
      <w:bookmarkStart w:id="51" w:name="_Toc508872584"/>
    </w:p>
    <w:p w14:paraId="7725867D" w14:textId="3D861043" w:rsidR="00F63F94" w:rsidRDefault="00F63F94" w:rsidP="009C4674">
      <w:pPr>
        <w:pStyle w:val="Heading3"/>
      </w:pPr>
      <w:r w:rsidRPr="00316C10">
        <w:t>Avenues for Further Research</w:t>
      </w:r>
      <w:bookmarkEnd w:id="51"/>
    </w:p>
    <w:p w14:paraId="2AC1779A" w14:textId="77777777" w:rsidR="00316C10" w:rsidRPr="009C4674" w:rsidRDefault="00316C10" w:rsidP="009C4674">
      <w:pPr>
        <w:spacing w:after="0"/>
        <w:rPr>
          <w:sz w:val="24"/>
          <w:szCs w:val="24"/>
        </w:rPr>
      </w:pPr>
    </w:p>
    <w:p w14:paraId="7725867E" w14:textId="77777777" w:rsidR="00F63F94" w:rsidRPr="00316C10" w:rsidRDefault="00F63F94" w:rsidP="00EA648F">
      <w:pPr>
        <w:spacing w:after="240" w:line="240" w:lineRule="auto"/>
        <w:jc w:val="both"/>
        <w:rPr>
          <w:rFonts w:ascii="Calibri" w:hAnsi="Calibri" w:cs="Calibri"/>
          <w:sz w:val="24"/>
          <w:szCs w:val="24"/>
          <w:lang w:val="en-GB"/>
        </w:rPr>
      </w:pPr>
      <w:r w:rsidRPr="00316C10">
        <w:rPr>
          <w:rFonts w:ascii="Calibri" w:hAnsi="Calibri" w:cs="Calibri"/>
          <w:b/>
          <w:sz w:val="24"/>
          <w:szCs w:val="24"/>
          <w:lang w:val="en-GB"/>
        </w:rPr>
        <w:t xml:space="preserve">Collecting data on the experiences of LGBTI people can be challenging. This report contributes to closing the LGBTI data gap by using innovative approaches to measure LGBTI discrimination and exclusion. </w:t>
      </w:r>
      <w:r w:rsidRPr="00316C10">
        <w:rPr>
          <w:rFonts w:ascii="Calibri" w:hAnsi="Calibri" w:cs="Calibri"/>
          <w:sz w:val="24"/>
          <w:szCs w:val="24"/>
          <w:lang w:val="en-GB"/>
        </w:rPr>
        <w:t xml:space="preserve">Although mystery shopping experiments are not new, their use in understanding and revealing LGBTI discrimination has been limited. Previous reports indicated that LGBTI people face barriers in accessing education and housing in Serbia, but there was insufficient robust data to support this. This study is at the forefront of obtaining reliable and quantifiable data on the challenges LGB people face in accessing housing and education. It underlines the applicability and efficacy of mystery shopping experiments in shining a light on LGBTI discrimination and serves as a pilot for future studies. </w:t>
      </w:r>
    </w:p>
    <w:p w14:paraId="7725867F" w14:textId="77777777" w:rsidR="00F63F94" w:rsidRPr="00316C10" w:rsidRDefault="00F63F94" w:rsidP="00EA648F">
      <w:pPr>
        <w:spacing w:after="240" w:line="240" w:lineRule="auto"/>
        <w:jc w:val="both"/>
        <w:rPr>
          <w:rFonts w:ascii="Calibri" w:hAnsi="Calibri" w:cs="Calibri"/>
          <w:sz w:val="24"/>
          <w:szCs w:val="24"/>
          <w:lang w:val="en-GB"/>
        </w:rPr>
      </w:pPr>
      <w:r w:rsidRPr="00316C10">
        <w:rPr>
          <w:rFonts w:ascii="Calibri" w:hAnsi="Calibri" w:cs="Calibri"/>
          <w:b/>
          <w:sz w:val="24"/>
          <w:szCs w:val="24"/>
          <w:lang w:val="en-GB"/>
        </w:rPr>
        <w:t xml:space="preserve">However, experimental studies have their limitations, and further research is needed to understand the full extent of LGBTI discrimination and exclusion in Serbia and beyond. </w:t>
      </w:r>
      <w:r w:rsidRPr="00316C10">
        <w:rPr>
          <w:rFonts w:ascii="Calibri" w:hAnsi="Calibri" w:cs="Calibri"/>
          <w:sz w:val="24"/>
          <w:szCs w:val="24"/>
          <w:lang w:val="en-GB"/>
        </w:rPr>
        <w:t xml:space="preserve">The difficulties faced by LGBTI people on a daily basis are pervasive, numerous, and cross-cutting. The World Bank uses a life cycle approach to understand the full extent of discrimination, and in turn, properly address these challenges; additional research that identifies the challenges and their social, economic, and mental effects on LGBTI people is required. Discrimination and exclusion often begins in the family; LGBTI children fear violence by parents, siblings, and extended family members or are even kicked out of their home at an early age. Data on these early experiences of LGBTI children is extremely rare, but in order to fully understand the effects of being LGBTI, more systematic research in this area is needed. </w:t>
      </w:r>
    </w:p>
    <w:p w14:paraId="77258680" w14:textId="77777777" w:rsidR="00F63F94" w:rsidRPr="00316C10" w:rsidRDefault="00F63F94" w:rsidP="00EA648F">
      <w:pPr>
        <w:spacing w:after="240" w:line="240" w:lineRule="auto"/>
        <w:jc w:val="both"/>
        <w:rPr>
          <w:rFonts w:ascii="Calibri" w:hAnsi="Calibri" w:cs="Calibri"/>
          <w:sz w:val="24"/>
          <w:szCs w:val="24"/>
          <w:lang w:val="en-GB"/>
        </w:rPr>
      </w:pPr>
      <w:r w:rsidRPr="00316C10">
        <w:rPr>
          <w:rFonts w:ascii="Calibri" w:hAnsi="Calibri" w:cs="Calibri"/>
          <w:b/>
          <w:sz w:val="24"/>
          <w:szCs w:val="24"/>
          <w:lang w:val="en-GB"/>
        </w:rPr>
        <w:t>Further, some of the responses by school authorities indicated that barriers in accessing education are not the only ways that LGBTI discrimination manifests in schools</w:t>
      </w:r>
      <w:r w:rsidRPr="00316C10">
        <w:rPr>
          <w:rFonts w:ascii="Calibri" w:hAnsi="Calibri" w:cs="Calibri"/>
          <w:sz w:val="24"/>
          <w:szCs w:val="24"/>
          <w:lang w:val="en-GB"/>
        </w:rPr>
        <w:t>. UNICEF has begun to develop methodologies to understand the extent and the consequences of homophobic bullying in schools. Similar research is necessary to understand how LGBTI students can be supported to develop to their full potential in Serbian schools.</w:t>
      </w:r>
      <w:r w:rsidRPr="00316C10">
        <w:rPr>
          <w:rFonts w:ascii="Calibri" w:hAnsi="Calibri" w:cs="Calibri"/>
          <w:sz w:val="24"/>
          <w:szCs w:val="24"/>
          <w:vertAlign w:val="superscript"/>
          <w:lang w:val="en-GB"/>
        </w:rPr>
        <w:endnoteReference w:id="32"/>
      </w:r>
      <w:r w:rsidRPr="00316C10">
        <w:rPr>
          <w:rFonts w:ascii="Calibri" w:hAnsi="Calibri" w:cs="Calibri"/>
          <w:sz w:val="24"/>
          <w:szCs w:val="24"/>
          <w:lang w:val="en-GB"/>
        </w:rPr>
        <w:t xml:space="preserve"> </w:t>
      </w:r>
    </w:p>
    <w:p w14:paraId="77258681" w14:textId="77777777" w:rsidR="00F63F94" w:rsidRPr="00316C10" w:rsidRDefault="00F63F94" w:rsidP="00EA648F">
      <w:pPr>
        <w:spacing w:after="240" w:line="240" w:lineRule="auto"/>
        <w:jc w:val="both"/>
        <w:rPr>
          <w:rFonts w:ascii="Calibri" w:hAnsi="Calibri" w:cs="Calibri"/>
          <w:sz w:val="24"/>
          <w:szCs w:val="24"/>
          <w:lang w:val="en-GB"/>
        </w:rPr>
      </w:pPr>
      <w:r w:rsidRPr="00316C10">
        <w:rPr>
          <w:rFonts w:ascii="Calibri" w:hAnsi="Calibri" w:cs="Calibri"/>
          <w:b/>
          <w:sz w:val="24"/>
          <w:szCs w:val="24"/>
          <w:lang w:val="en-GB"/>
        </w:rPr>
        <w:t>Following the life cycle approach, finding employment and developing a career is a next critical step that enables the accumulation of income and wealth.</w:t>
      </w:r>
      <w:r w:rsidRPr="00316C10">
        <w:rPr>
          <w:rFonts w:ascii="Calibri" w:hAnsi="Calibri" w:cs="Calibri"/>
          <w:sz w:val="24"/>
          <w:szCs w:val="24"/>
          <w:lang w:val="en-GB"/>
        </w:rPr>
        <w:t xml:space="preserve"> Providing policy makers with robust and reliable data on the challenges LGBTI individuals face in finding employment, staying employed, and progressing in their careers will be key to enable LGBTI people to live life to their full potential. Related to this, other research topics should include access to credit and banking facilities, insurance, holding public office, and the accumulation of assets.</w:t>
      </w:r>
    </w:p>
    <w:p w14:paraId="77258682" w14:textId="77777777" w:rsidR="00F63F94" w:rsidRPr="00316C10" w:rsidRDefault="00F63F94" w:rsidP="00EA648F">
      <w:pPr>
        <w:spacing w:after="240" w:line="240" w:lineRule="auto"/>
        <w:jc w:val="both"/>
        <w:rPr>
          <w:rFonts w:ascii="Calibri" w:hAnsi="Calibri" w:cs="Calibri"/>
          <w:sz w:val="24"/>
          <w:szCs w:val="24"/>
          <w:lang w:val="en-GB"/>
        </w:rPr>
      </w:pPr>
      <w:r w:rsidRPr="00316C10">
        <w:rPr>
          <w:rFonts w:ascii="Calibri" w:hAnsi="Calibri" w:cs="Calibri"/>
          <w:b/>
          <w:sz w:val="24"/>
          <w:szCs w:val="24"/>
          <w:lang w:val="en-GB"/>
        </w:rPr>
        <w:t xml:space="preserve">Research on discrimination in a range of other services, markets, and spaces is also necessary. </w:t>
      </w:r>
      <w:r w:rsidRPr="00316C10">
        <w:rPr>
          <w:rFonts w:ascii="Calibri" w:hAnsi="Calibri" w:cs="Calibri"/>
          <w:sz w:val="24"/>
          <w:szCs w:val="24"/>
          <w:lang w:val="en-GB"/>
        </w:rPr>
        <w:t xml:space="preserve">Because of discrimination experienced within the family, many LGBTI people don’t have the informal safety net of family ties to rely upon at key stages in the life cycle. Unemployment, illness, and retirement can therefore be particularly challenging for LGBTI people, and more research is needed to ensure they do not fall through the cracks at these stages of life. Data on elderly LGBTI people is essentially nonexistent and highlights just one of the many areas where further research is needed. Other aspects of family life where LGBTI experience institutional and individual discrimination with economic consequences include </w:t>
      </w:r>
      <w:r w:rsidRPr="00316C10">
        <w:rPr>
          <w:rFonts w:ascii="Calibri" w:hAnsi="Calibri" w:cs="Calibri"/>
          <w:sz w:val="24"/>
          <w:szCs w:val="24"/>
          <w:lang w:val="en-GB"/>
        </w:rPr>
        <w:lastRenderedPageBreak/>
        <w:t>coverage of family health insurance and health care services, so more robust data in this sphere would be welcome.</w:t>
      </w:r>
    </w:p>
    <w:p w14:paraId="77258683" w14:textId="77777777" w:rsidR="00F63F94" w:rsidRPr="001F7EB4" w:rsidRDefault="00F63F94" w:rsidP="00EA648F">
      <w:pPr>
        <w:spacing w:after="240" w:line="240" w:lineRule="auto"/>
        <w:jc w:val="both"/>
        <w:rPr>
          <w:rFonts w:ascii="Calibri" w:hAnsi="Calibri" w:cs="Calibri"/>
        </w:rPr>
      </w:pPr>
      <w:r w:rsidRPr="00316C10">
        <w:rPr>
          <w:rFonts w:ascii="Calibri" w:hAnsi="Calibri" w:cs="Calibri"/>
          <w:b/>
          <w:sz w:val="24"/>
          <w:szCs w:val="24"/>
          <w:lang w:val="en-GB"/>
        </w:rPr>
        <w:t xml:space="preserve">Such further research should be developed in close consultation with the LGBTI community. </w:t>
      </w:r>
      <w:r w:rsidRPr="00316C10">
        <w:rPr>
          <w:rFonts w:ascii="Calibri" w:hAnsi="Calibri" w:cs="Calibri"/>
          <w:sz w:val="24"/>
          <w:szCs w:val="24"/>
          <w:lang w:val="en-GB"/>
        </w:rPr>
        <w:t>This helps to ensure that the findings are applicable and relevant to these communities. It is also more direct and sustainable because it brings LGBTI people on board in a way that allows policymakers, development partners, donors, and advocates to respond directly to their needs and development challenges.</w:t>
      </w:r>
      <w:r w:rsidRPr="00316C10">
        <w:rPr>
          <w:rFonts w:ascii="Calibri" w:hAnsi="Calibri" w:cs="Calibri"/>
          <w:b/>
          <w:sz w:val="24"/>
          <w:szCs w:val="24"/>
          <w:lang w:val="en-GB"/>
        </w:rPr>
        <w:t xml:space="preserve"> </w:t>
      </w:r>
      <w:r w:rsidRPr="00316C10">
        <w:rPr>
          <w:rFonts w:ascii="Calibri" w:hAnsi="Calibri" w:cs="Calibri"/>
          <w:sz w:val="24"/>
          <w:szCs w:val="24"/>
          <w:lang w:val="en-GB"/>
        </w:rPr>
        <w:t>For example, existing research reveals that trans and intersex people are the most vulnerable among LGBTI groups. However, they are often overlooked in research projects, and specific efforts should be made to collect data that distinguishes and quantifies the particular challenges they face.</w:t>
      </w:r>
    </w:p>
    <w:p w14:paraId="77258684" w14:textId="14085991" w:rsidR="00F63F94" w:rsidRPr="00316C10" w:rsidRDefault="00F63F94" w:rsidP="009C4674">
      <w:pPr>
        <w:pStyle w:val="Heading3"/>
      </w:pPr>
      <w:bookmarkStart w:id="52" w:name="_Toc508872585"/>
      <w:r w:rsidRPr="00316C10">
        <w:t>Policy Considerations</w:t>
      </w:r>
      <w:bookmarkEnd w:id="52"/>
    </w:p>
    <w:p w14:paraId="77D7AA59" w14:textId="77777777" w:rsidR="00316C10" w:rsidRDefault="00316C10" w:rsidP="00EA648F">
      <w:pPr>
        <w:shd w:val="clear" w:color="auto" w:fill="FFFFFF"/>
        <w:spacing w:after="0"/>
        <w:rPr>
          <w:rFonts w:ascii="Calibri" w:hAnsi="Calibri" w:cs="Calibri"/>
          <w:b/>
        </w:rPr>
      </w:pPr>
    </w:p>
    <w:p w14:paraId="77258685" w14:textId="77777777" w:rsidR="00F63F94" w:rsidRPr="00316C10" w:rsidRDefault="00F63F94" w:rsidP="00EA648F">
      <w:pPr>
        <w:shd w:val="clear" w:color="auto" w:fill="FFFFFF"/>
        <w:spacing w:after="240"/>
        <w:jc w:val="both"/>
        <w:rPr>
          <w:rFonts w:ascii="Calibri" w:hAnsi="Calibri" w:cs="Calibri"/>
          <w:sz w:val="24"/>
          <w:szCs w:val="24"/>
        </w:rPr>
      </w:pPr>
      <w:r w:rsidRPr="00316C10">
        <w:rPr>
          <w:rFonts w:ascii="Calibri" w:hAnsi="Calibri" w:cs="Calibri"/>
          <w:b/>
          <w:sz w:val="24"/>
          <w:szCs w:val="24"/>
        </w:rPr>
        <w:t>The experiments outlined in this study reveal that more could be done to close the implementation gaps in Serbian anti-discrimination law and policy, and to support the implementation of the “</w:t>
      </w:r>
      <w:r w:rsidRPr="00316C10">
        <w:rPr>
          <w:rFonts w:ascii="Calibri" w:hAnsi="Calibri" w:cs="Calibri"/>
          <w:b/>
          <w:sz w:val="24"/>
          <w:szCs w:val="24"/>
          <w:lang w:val="en-GB"/>
        </w:rPr>
        <w:t>2013-2018 Serbian Anti-Discrimination Strategy.”</w:t>
      </w:r>
      <w:r w:rsidRPr="00316C10">
        <w:rPr>
          <w:rFonts w:ascii="Calibri" w:hAnsi="Calibri" w:cs="Calibri"/>
          <w:b/>
          <w:sz w:val="24"/>
          <w:szCs w:val="24"/>
        </w:rPr>
        <w:t xml:space="preserve"> </w:t>
      </w:r>
      <w:r w:rsidRPr="00316C10">
        <w:rPr>
          <w:rFonts w:ascii="Calibri" w:hAnsi="Calibri" w:cs="Calibri"/>
          <w:sz w:val="24"/>
          <w:szCs w:val="24"/>
        </w:rPr>
        <w:t xml:space="preserve">An antidiscrimination law passed in 2009 prohibits discrimination on the grounds of sexual orientation and gender identity, and the Anti-Discrimination </w:t>
      </w:r>
      <w:r w:rsidRPr="00316C10">
        <w:rPr>
          <w:rFonts w:ascii="Calibri" w:hAnsi="Calibri" w:cs="Calibri"/>
          <w:sz w:val="24"/>
          <w:szCs w:val="24"/>
          <w:lang w:val="en-GB"/>
        </w:rPr>
        <w:t>Strategy makes clear that “the right to education must be effectively enjoyed without discrimination on the grounds of sexual orientation or gender identity</w:t>
      </w:r>
      <w:r w:rsidRPr="00316C10">
        <w:rPr>
          <w:rFonts w:ascii="Calibri" w:hAnsi="Calibri" w:cs="Calibri"/>
          <w:sz w:val="24"/>
          <w:szCs w:val="24"/>
        </w:rPr>
        <w:t>.”</w:t>
      </w:r>
      <w:r w:rsidRPr="00316C10">
        <w:rPr>
          <w:rStyle w:val="EndnoteReference"/>
          <w:rFonts w:ascii="Calibri" w:hAnsi="Calibri" w:cs="Calibri"/>
          <w:sz w:val="24"/>
          <w:szCs w:val="24"/>
        </w:rPr>
        <w:endnoteReference w:id="33"/>
      </w:r>
      <w:r w:rsidRPr="00316C10">
        <w:rPr>
          <w:rFonts w:ascii="Calibri" w:hAnsi="Calibri" w:cs="Calibri"/>
          <w:b/>
          <w:sz w:val="24"/>
          <w:szCs w:val="24"/>
        </w:rPr>
        <w:t xml:space="preserve"> </w:t>
      </w:r>
      <w:r w:rsidRPr="00316C10">
        <w:rPr>
          <w:rFonts w:ascii="Calibri" w:hAnsi="Calibri" w:cs="Calibri"/>
          <w:sz w:val="24"/>
          <w:szCs w:val="24"/>
        </w:rPr>
        <w:t>The strategy also creates an obligation for schools to ensure a safe learning environment.</w:t>
      </w:r>
      <w:r w:rsidRPr="00316C10">
        <w:rPr>
          <w:rStyle w:val="EndnoteReference"/>
          <w:rFonts w:ascii="Calibri" w:hAnsi="Calibri" w:cs="Calibri"/>
          <w:sz w:val="24"/>
          <w:szCs w:val="24"/>
        </w:rPr>
        <w:endnoteReference w:id="34"/>
      </w:r>
      <w:r w:rsidRPr="00316C10">
        <w:rPr>
          <w:rFonts w:ascii="Calibri" w:hAnsi="Calibri" w:cs="Calibri"/>
          <w:sz w:val="24"/>
          <w:szCs w:val="24"/>
        </w:rPr>
        <w:t xml:space="preserve"> The following actions would be helpful in this regard.</w:t>
      </w:r>
    </w:p>
    <w:p w14:paraId="77258686" w14:textId="77777777" w:rsidR="00F63F94" w:rsidRPr="00316C10" w:rsidRDefault="00F63F94" w:rsidP="00EA648F">
      <w:pPr>
        <w:pStyle w:val="ListParagraph"/>
        <w:numPr>
          <w:ilvl w:val="0"/>
          <w:numId w:val="18"/>
        </w:numPr>
        <w:spacing w:after="240" w:line="240" w:lineRule="auto"/>
        <w:jc w:val="both"/>
        <w:rPr>
          <w:rFonts w:ascii="Calibri" w:hAnsi="Calibri" w:cs="Calibri"/>
          <w:sz w:val="24"/>
          <w:szCs w:val="24"/>
        </w:rPr>
      </w:pPr>
      <w:r w:rsidRPr="00316C10">
        <w:rPr>
          <w:rFonts w:ascii="Calibri" w:hAnsi="Calibri" w:cs="Calibri"/>
          <w:b/>
          <w:sz w:val="24"/>
          <w:szCs w:val="24"/>
        </w:rPr>
        <w:t>An effective complaints and reporting mechanism should be put into place to ensure that Serbian antidiscrimination laws are implemented and adhered to</w:t>
      </w:r>
      <w:r w:rsidRPr="00316C10">
        <w:rPr>
          <w:rFonts w:ascii="Calibri" w:hAnsi="Calibri" w:cs="Calibri"/>
          <w:sz w:val="24"/>
          <w:szCs w:val="24"/>
        </w:rPr>
        <w:t>. To this end, it is recommended that the Protector of Citizens, Serbia’s Ombudsperson, assesses its reporting mechanisms to identify potential barriers that prevent or discourage LGBTI people from reporting cases of discrimination. Together with the Ombudsperson, the Education Inspectorate in consultation with relevant stakeholders should specifically ensure that reporting mechanisms provide students, parents, and teachers with safe ways to report cases, ensure fair and transparent investigations, and offer meaningful solutions.</w:t>
      </w:r>
    </w:p>
    <w:p w14:paraId="77258687" w14:textId="77777777" w:rsidR="00F63F94" w:rsidRPr="00316C10" w:rsidRDefault="00F63F94" w:rsidP="00CB256D">
      <w:pPr>
        <w:pStyle w:val="ListParagraph"/>
        <w:numPr>
          <w:ilvl w:val="0"/>
          <w:numId w:val="18"/>
        </w:numPr>
        <w:spacing w:after="120" w:line="240" w:lineRule="auto"/>
        <w:jc w:val="both"/>
        <w:rPr>
          <w:rFonts w:ascii="Calibri" w:hAnsi="Calibri" w:cs="Calibri"/>
          <w:sz w:val="24"/>
          <w:szCs w:val="24"/>
        </w:rPr>
      </w:pPr>
      <w:r w:rsidRPr="00316C10">
        <w:rPr>
          <w:rFonts w:ascii="Calibri" w:hAnsi="Calibri" w:cs="Calibri"/>
          <w:b/>
          <w:sz w:val="24"/>
          <w:szCs w:val="24"/>
        </w:rPr>
        <w:t>A comprehensive assessment should be conducted</w:t>
      </w:r>
      <w:r w:rsidRPr="00316C10">
        <w:rPr>
          <w:rFonts w:ascii="Calibri" w:hAnsi="Calibri" w:cs="Calibri"/>
          <w:sz w:val="24"/>
          <w:szCs w:val="24"/>
        </w:rPr>
        <w:t xml:space="preserve"> </w:t>
      </w:r>
      <w:r w:rsidRPr="00316C10">
        <w:rPr>
          <w:rFonts w:ascii="Calibri" w:hAnsi="Calibri" w:cs="Calibri"/>
          <w:b/>
          <w:sz w:val="24"/>
          <w:szCs w:val="24"/>
        </w:rPr>
        <w:t>to identify and examine gaps in legislation and regulations and their implementation, as well as grievance mechanisms and resources available to LGBTI people when they experience discrimination.</w:t>
      </w:r>
      <w:r w:rsidRPr="00316C10">
        <w:rPr>
          <w:rFonts w:ascii="Calibri" w:hAnsi="Calibri" w:cs="Calibri"/>
          <w:sz w:val="24"/>
          <w:szCs w:val="24"/>
        </w:rPr>
        <w:t xml:space="preserve"> Specifically, a review of the interpretation and application of school regulations is recommended to identify and examine implementation gaps in the education sector.  </w:t>
      </w:r>
    </w:p>
    <w:p w14:paraId="77258688" w14:textId="77777777" w:rsidR="00F63F94" w:rsidRPr="00316C10" w:rsidRDefault="00F63F94" w:rsidP="00CB256D">
      <w:pPr>
        <w:pStyle w:val="ListParagraph"/>
        <w:numPr>
          <w:ilvl w:val="0"/>
          <w:numId w:val="18"/>
        </w:numPr>
        <w:spacing w:after="120" w:line="240" w:lineRule="auto"/>
        <w:jc w:val="both"/>
        <w:rPr>
          <w:rFonts w:ascii="Calibri" w:hAnsi="Calibri" w:cs="Calibri"/>
          <w:sz w:val="24"/>
          <w:szCs w:val="24"/>
        </w:rPr>
      </w:pPr>
      <w:r w:rsidRPr="00316C10">
        <w:rPr>
          <w:rFonts w:ascii="Calibri" w:hAnsi="Calibri" w:cs="Calibri"/>
          <w:b/>
          <w:sz w:val="24"/>
          <w:szCs w:val="24"/>
        </w:rPr>
        <w:t>School</w:t>
      </w:r>
      <w:r w:rsidRPr="00316C10">
        <w:rPr>
          <w:rFonts w:ascii="Calibri" w:hAnsi="Calibri" w:cs="Calibri"/>
          <w:b/>
          <w:sz w:val="24"/>
          <w:szCs w:val="24"/>
          <w:lang w:val="en-GB"/>
        </w:rPr>
        <w:t xml:space="preserve"> development plans should include specific actions to create a respectful, safe, and supportive school environment for all students, with special attention to LGBTI students. </w:t>
      </w:r>
      <w:r w:rsidRPr="00316C10">
        <w:rPr>
          <w:rFonts w:ascii="Calibri" w:hAnsi="Calibri" w:cs="Calibri"/>
          <w:sz w:val="24"/>
          <w:szCs w:val="24"/>
          <w:lang w:val="en-GB"/>
        </w:rPr>
        <w:t>The Education</w:t>
      </w:r>
      <w:r w:rsidRPr="00316C10">
        <w:rPr>
          <w:rFonts w:ascii="Calibri" w:hAnsi="Calibri" w:cs="Calibri"/>
          <w:b/>
          <w:sz w:val="24"/>
          <w:szCs w:val="24"/>
          <w:lang w:val="en-GB"/>
        </w:rPr>
        <w:t xml:space="preserve"> </w:t>
      </w:r>
      <w:r w:rsidRPr="00316C10">
        <w:rPr>
          <w:rFonts w:ascii="Calibri" w:eastAsia="Calibri" w:hAnsi="Calibri" w:cs="Calibri"/>
          <w:sz w:val="24"/>
          <w:szCs w:val="24"/>
        </w:rPr>
        <w:t xml:space="preserve">Inspectorate should be empowered to effectively monitor the implementation of these actions and provide guidance where needed. Comprehensive training of school authorities, teachers, and students should also be carried out to support the establishment of a </w:t>
      </w:r>
      <w:r w:rsidRPr="00316C10">
        <w:rPr>
          <w:rFonts w:ascii="Calibri" w:eastAsia="Calibri" w:hAnsi="Calibri" w:cs="Calibri"/>
          <w:sz w:val="24"/>
          <w:szCs w:val="24"/>
          <w:lang w:val="en-GB"/>
        </w:rPr>
        <w:t>safe and conducive school environment for LGBTI students.</w:t>
      </w:r>
    </w:p>
    <w:p w14:paraId="77258689" w14:textId="77777777" w:rsidR="00F63F94" w:rsidRPr="00316C10" w:rsidRDefault="00F63F94" w:rsidP="00EA648F">
      <w:pPr>
        <w:pStyle w:val="ListParagraph"/>
        <w:numPr>
          <w:ilvl w:val="0"/>
          <w:numId w:val="18"/>
        </w:numPr>
        <w:spacing w:after="240" w:line="240" w:lineRule="auto"/>
        <w:jc w:val="both"/>
        <w:rPr>
          <w:rFonts w:ascii="Calibri" w:hAnsi="Calibri" w:cs="Calibri"/>
          <w:sz w:val="24"/>
          <w:szCs w:val="24"/>
        </w:rPr>
      </w:pPr>
      <w:r w:rsidRPr="00316C10">
        <w:rPr>
          <w:rFonts w:ascii="Calibri" w:hAnsi="Calibri" w:cs="Calibri"/>
          <w:b/>
          <w:sz w:val="24"/>
          <w:szCs w:val="24"/>
          <w:lang w:val="en"/>
        </w:rPr>
        <w:lastRenderedPageBreak/>
        <w:t xml:space="preserve">Greater advocacy against homo-, bi-, trans-, and intersex phobia also appears to be necessary. </w:t>
      </w:r>
      <w:r w:rsidRPr="00316C10">
        <w:rPr>
          <w:rFonts w:ascii="Calibri" w:hAnsi="Calibri" w:cs="Calibri"/>
          <w:sz w:val="24"/>
          <w:szCs w:val="24"/>
          <w:lang w:val="en"/>
        </w:rPr>
        <w:t>Discrimination based on sexual orientation is widely accepted in Serbia, as</w:t>
      </w:r>
      <w:r w:rsidRPr="00316C10">
        <w:rPr>
          <w:rFonts w:ascii="Calibri" w:hAnsi="Calibri" w:cs="Calibri"/>
          <w:sz w:val="24"/>
          <w:szCs w:val="24"/>
          <w:lang w:val="en-GB"/>
        </w:rPr>
        <w:t xml:space="preserve"> was evidenced by the </w:t>
      </w:r>
      <w:r w:rsidRPr="00316C10">
        <w:rPr>
          <w:rFonts w:ascii="Calibri" w:eastAsia="Times New Roman" w:hAnsi="Calibri" w:cs="Calibri"/>
          <w:sz w:val="24"/>
          <w:szCs w:val="24"/>
        </w:rPr>
        <w:t>open homophobia displayed by landlords</w:t>
      </w:r>
      <w:r w:rsidRPr="00316C10">
        <w:rPr>
          <w:rFonts w:ascii="Calibri" w:hAnsi="Calibri" w:cs="Calibri"/>
          <w:sz w:val="24"/>
          <w:szCs w:val="24"/>
          <w:lang w:val="en"/>
        </w:rPr>
        <w:t xml:space="preserve">. Advocacy should include, but not be limited to, raising awareness among the general public of the adverse effects of, and problems associated with, current discrimination against LGBTI people. </w:t>
      </w:r>
    </w:p>
    <w:p w14:paraId="7725868A" w14:textId="77777777" w:rsidR="00F63F94" w:rsidRPr="00316C10" w:rsidRDefault="00F63F94" w:rsidP="00CB256D">
      <w:pPr>
        <w:spacing w:after="120" w:line="240" w:lineRule="auto"/>
        <w:jc w:val="both"/>
        <w:rPr>
          <w:rFonts w:ascii="Calibri" w:hAnsi="Calibri" w:cs="Calibri"/>
          <w:sz w:val="24"/>
          <w:szCs w:val="24"/>
          <w:lang w:val="en"/>
        </w:rPr>
      </w:pPr>
      <w:r w:rsidRPr="00316C10">
        <w:rPr>
          <w:rFonts w:ascii="Calibri" w:hAnsi="Calibri" w:cs="Calibri"/>
          <w:b/>
          <w:sz w:val="24"/>
          <w:szCs w:val="24"/>
          <w:lang w:val="en"/>
        </w:rPr>
        <w:t xml:space="preserve">Lastly, it is important to leverage existing positive attitudes towards LGBTI people in awareness-raising campaigns and in policy considerations. </w:t>
      </w:r>
      <w:r w:rsidRPr="00316C10">
        <w:rPr>
          <w:rFonts w:ascii="Calibri" w:hAnsi="Calibri" w:cs="Calibri"/>
          <w:sz w:val="24"/>
          <w:szCs w:val="24"/>
          <w:lang w:val="en"/>
        </w:rPr>
        <w:t>Although evidence from the study makes it clear that discrimination based on sexual orientation occurs in Serbia, and occurs frequently, the variance in the responses also reveals that there is a degree of acceptance of LGBTI people. For example, 35 percent of the feminine-boys were accepted without hesitation, and 74 percent of same sex couples were also accepted without hesitation. Ideally, there should be no discrimination at all, but the responses suggest that there are those who do not discriminate against LGBTI people. These positive attitudes should be harnessed as an opportunity to influence the attitudes of others. Correctly and consistently implementing policies and laws that forbid discrimination based on sexual orientation can also help to raise awareness and change attitudes.</w:t>
      </w:r>
    </w:p>
    <w:p w14:paraId="7725868B" w14:textId="77777777" w:rsidR="00F63F94" w:rsidRDefault="00F63F94" w:rsidP="00F63F94">
      <w:pPr>
        <w:rPr>
          <w:rFonts w:ascii="Calibri" w:hAnsi="Calibri" w:cs="Calibri"/>
          <w:lang w:val="en"/>
        </w:rPr>
      </w:pPr>
      <w:r>
        <w:rPr>
          <w:rFonts w:ascii="Calibri" w:hAnsi="Calibri" w:cs="Calibri"/>
          <w:lang w:val="en"/>
        </w:rPr>
        <w:br w:type="page"/>
      </w:r>
    </w:p>
    <w:p w14:paraId="7725868C" w14:textId="3C53DA86" w:rsidR="00F63F94" w:rsidRPr="00316C10" w:rsidRDefault="00F63F94" w:rsidP="00316C10">
      <w:pPr>
        <w:pStyle w:val="Heading1"/>
        <w:spacing w:before="40"/>
        <w:contextualSpacing w:val="0"/>
        <w:jc w:val="both"/>
        <w:rPr>
          <w:rFonts w:cs="Arial"/>
          <w:color w:val="2F5496" w:themeColor="accent1" w:themeShade="BF"/>
          <w:spacing w:val="0"/>
          <w:kern w:val="0"/>
          <w:sz w:val="36"/>
          <w:szCs w:val="36"/>
          <w:lang w:val="en-US"/>
        </w:rPr>
      </w:pPr>
      <w:bookmarkStart w:id="53" w:name="_Toc508872586"/>
      <w:r w:rsidRPr="00316C10">
        <w:rPr>
          <w:rFonts w:cs="Arial"/>
          <w:color w:val="2F5496" w:themeColor="accent1" w:themeShade="BF"/>
          <w:spacing w:val="0"/>
          <w:kern w:val="0"/>
          <w:sz w:val="36"/>
          <w:szCs w:val="36"/>
          <w:lang w:val="en-US"/>
        </w:rPr>
        <w:lastRenderedPageBreak/>
        <w:t>ANNEX I: Detailed Methodology</w:t>
      </w:r>
      <w:bookmarkEnd w:id="53"/>
      <w:r w:rsidRPr="00316C10">
        <w:rPr>
          <w:rFonts w:cs="Arial"/>
          <w:color w:val="2F5496" w:themeColor="accent1" w:themeShade="BF"/>
          <w:spacing w:val="0"/>
          <w:kern w:val="0"/>
          <w:sz w:val="36"/>
          <w:szCs w:val="36"/>
          <w:lang w:val="en-US"/>
        </w:rPr>
        <w:t xml:space="preserve"> </w:t>
      </w:r>
    </w:p>
    <w:p w14:paraId="7725868D" w14:textId="77777777" w:rsidR="00F63F94" w:rsidRPr="00CB256D" w:rsidRDefault="00F63F94" w:rsidP="00EA648F">
      <w:pPr>
        <w:spacing w:before="240" w:after="240" w:line="240" w:lineRule="auto"/>
        <w:jc w:val="both"/>
        <w:rPr>
          <w:rFonts w:ascii="Calibri" w:hAnsi="Calibri" w:cs="Calibri"/>
          <w:sz w:val="24"/>
          <w:szCs w:val="24"/>
          <w:lang w:val="en-GB"/>
        </w:rPr>
      </w:pPr>
      <w:r w:rsidRPr="00CB256D">
        <w:rPr>
          <w:rFonts w:ascii="Calibri" w:hAnsi="Calibri" w:cs="Calibri"/>
          <w:sz w:val="24"/>
          <w:szCs w:val="24"/>
          <w:lang w:val="en-GB"/>
        </w:rPr>
        <w:t xml:space="preserve">The Annexes provide further detail (to that provided above) on the methodologies adopted for the experiments. </w:t>
      </w:r>
    </w:p>
    <w:p w14:paraId="7725868F" w14:textId="64AF83B3" w:rsidR="00F63F94" w:rsidRPr="00316C10" w:rsidRDefault="00F63F94" w:rsidP="00EA648F">
      <w:pPr>
        <w:pStyle w:val="Heading2"/>
        <w:spacing w:before="0" w:after="240"/>
        <w:contextualSpacing w:val="0"/>
        <w:jc w:val="both"/>
        <w:rPr>
          <w:rFonts w:cs="Arial"/>
          <w:color w:val="2F5496" w:themeColor="accent1" w:themeShade="BF"/>
          <w:spacing w:val="0"/>
          <w:kern w:val="0"/>
          <w:sz w:val="30"/>
          <w:szCs w:val="30"/>
        </w:rPr>
      </w:pPr>
      <w:bookmarkStart w:id="54" w:name="_Toc508872587"/>
      <w:r w:rsidRPr="00316C10">
        <w:rPr>
          <w:rFonts w:cs="Arial"/>
          <w:color w:val="2F5496" w:themeColor="accent1" w:themeShade="BF"/>
          <w:spacing w:val="0"/>
          <w:kern w:val="0"/>
          <w:sz w:val="30"/>
          <w:szCs w:val="30"/>
        </w:rPr>
        <w:t>Education Experiment</w:t>
      </w:r>
      <w:bookmarkEnd w:id="54"/>
    </w:p>
    <w:p w14:paraId="49AA8348" w14:textId="2D7B3201" w:rsidR="00316C10" w:rsidRPr="00316C10" w:rsidRDefault="00F63F94" w:rsidP="00251537">
      <w:pPr>
        <w:pStyle w:val="Heading3"/>
        <w:spacing w:after="240"/>
      </w:pPr>
      <w:r w:rsidRPr="00316C10">
        <w:t>Independent (treatment) and dependent variables</w:t>
      </w:r>
    </w:p>
    <w:p w14:paraId="77258691" w14:textId="77777777" w:rsidR="00F63F94" w:rsidRPr="00CB256D" w:rsidRDefault="00F63F94" w:rsidP="009C4674">
      <w:pPr>
        <w:spacing w:after="240" w:line="240" w:lineRule="auto"/>
        <w:jc w:val="both"/>
        <w:rPr>
          <w:rFonts w:ascii="Calibri" w:hAnsi="Calibri" w:cs="Calibri"/>
          <w:sz w:val="24"/>
          <w:szCs w:val="24"/>
          <w:lang w:val="en-GB"/>
        </w:rPr>
      </w:pPr>
      <w:r w:rsidRPr="00CB256D">
        <w:rPr>
          <w:rFonts w:ascii="Calibri" w:hAnsi="Calibri" w:cs="Calibri"/>
          <w:sz w:val="24"/>
          <w:szCs w:val="24"/>
          <w:lang w:val="en-GB"/>
        </w:rPr>
        <w:t>The treatment variable (independent variable) in this experiment is the presence or absence of femininity among 14 years old boys, applying to be enrolled in the 7</w:t>
      </w:r>
      <w:r w:rsidRPr="00CB256D">
        <w:rPr>
          <w:rFonts w:ascii="Calibri" w:hAnsi="Calibri" w:cs="Calibri"/>
          <w:sz w:val="24"/>
          <w:szCs w:val="24"/>
          <w:vertAlign w:val="superscript"/>
          <w:lang w:val="en-GB"/>
        </w:rPr>
        <w:t>th</w:t>
      </w:r>
      <w:r w:rsidRPr="00CB256D">
        <w:rPr>
          <w:rFonts w:ascii="Calibri" w:hAnsi="Calibri" w:cs="Calibri"/>
          <w:sz w:val="24"/>
          <w:szCs w:val="24"/>
          <w:lang w:val="en-GB"/>
        </w:rPr>
        <w:t xml:space="preserve"> grade of public primary schools in Serbia. The dependent variable of the experiment is the outcome of the request for enrolment in the new school. </w:t>
      </w:r>
    </w:p>
    <w:p w14:paraId="77258692" w14:textId="77777777" w:rsidR="00F63F94" w:rsidRPr="00CB256D" w:rsidRDefault="00F63F94" w:rsidP="009C4674">
      <w:pPr>
        <w:spacing w:after="240" w:line="240" w:lineRule="auto"/>
        <w:jc w:val="both"/>
        <w:rPr>
          <w:rFonts w:ascii="Calibri" w:hAnsi="Calibri" w:cs="Calibri"/>
          <w:color w:val="FF0000"/>
          <w:sz w:val="24"/>
          <w:szCs w:val="24"/>
          <w:highlight w:val="yellow"/>
          <w:lang w:val="en-GB"/>
        </w:rPr>
      </w:pPr>
      <w:r w:rsidRPr="00CB256D">
        <w:rPr>
          <w:rFonts w:ascii="Calibri" w:hAnsi="Calibri" w:cs="Calibri"/>
          <w:sz w:val="24"/>
          <w:szCs w:val="24"/>
          <w:lang w:val="en-GB"/>
        </w:rPr>
        <w:t xml:space="preserve">Primary schools were selected as the most suitable for two reasons: first, primary education (8 years) is compulsory and free of charge; second, it is common practice in Serbia for parents to contact the schools directly with questions regarding their children, thus limiting the experimental scenario to adults (more details below, in the section on data collection). </w:t>
      </w:r>
    </w:p>
    <w:p w14:paraId="77258693" w14:textId="77777777" w:rsidR="00F63F94" w:rsidRPr="00CB256D" w:rsidRDefault="00F63F94" w:rsidP="009C4674">
      <w:pPr>
        <w:spacing w:after="240" w:line="240" w:lineRule="auto"/>
        <w:jc w:val="both"/>
        <w:rPr>
          <w:rFonts w:ascii="Calibri" w:hAnsi="Calibri" w:cs="Calibri"/>
          <w:sz w:val="24"/>
          <w:szCs w:val="24"/>
          <w:lang w:val="en-GB"/>
        </w:rPr>
      </w:pPr>
      <w:r w:rsidRPr="00CB256D">
        <w:rPr>
          <w:rFonts w:ascii="Calibri" w:hAnsi="Calibri" w:cs="Calibri"/>
          <w:sz w:val="24"/>
          <w:szCs w:val="24"/>
          <w:lang w:val="en-GB"/>
        </w:rPr>
        <w:t xml:space="preserve">Grade seven was chosen because boys are old enough (age 14) for their femininity to be perceived as a distinctive characteristic. The experiment was conducted at the beginning of the second semester of the school year, leaving three more semesters to complete primary school. If we had opted for a boy in grade eight, it would only leave one more semester until the completion of primary school, which might </w:t>
      </w:r>
      <w:r w:rsidRPr="00CB256D">
        <w:rPr>
          <w:rFonts w:ascii="Calibri" w:hAnsi="Calibri" w:cs="Calibri"/>
          <w:noProof/>
          <w:sz w:val="24"/>
          <w:szCs w:val="24"/>
          <w:lang w:val="en-GB"/>
        </w:rPr>
        <w:t>have influenced</w:t>
      </w:r>
      <w:r w:rsidRPr="00CB256D">
        <w:rPr>
          <w:rFonts w:ascii="Calibri" w:hAnsi="Calibri" w:cs="Calibri"/>
          <w:sz w:val="24"/>
          <w:szCs w:val="24"/>
          <w:lang w:val="en-GB"/>
        </w:rPr>
        <w:t xml:space="preserve"> the enrolment decision. </w:t>
      </w:r>
    </w:p>
    <w:p w14:paraId="77258694" w14:textId="77777777" w:rsidR="00F63F94" w:rsidRPr="00316C10" w:rsidRDefault="00F63F94" w:rsidP="00251537">
      <w:pPr>
        <w:pStyle w:val="Heading3"/>
        <w:spacing w:after="240"/>
      </w:pPr>
      <w:r w:rsidRPr="00316C10">
        <w:t xml:space="preserve">Data collection method </w:t>
      </w:r>
    </w:p>
    <w:p w14:paraId="77258695" w14:textId="77777777" w:rsidR="00F63F94" w:rsidRPr="00CB256D" w:rsidRDefault="00F63F94" w:rsidP="009C4674">
      <w:pPr>
        <w:spacing w:after="240" w:line="240" w:lineRule="auto"/>
        <w:jc w:val="both"/>
        <w:rPr>
          <w:rFonts w:ascii="Calibri" w:hAnsi="Calibri" w:cs="Calibri"/>
          <w:sz w:val="24"/>
          <w:szCs w:val="24"/>
          <w:lang w:val="en-GB"/>
        </w:rPr>
      </w:pPr>
      <w:r w:rsidRPr="00CB256D">
        <w:rPr>
          <w:rFonts w:ascii="Calibri" w:hAnsi="Calibri" w:cs="Calibri"/>
          <w:sz w:val="24"/>
          <w:szCs w:val="24"/>
          <w:lang w:val="en-GB"/>
        </w:rPr>
        <w:t xml:space="preserve">The schools were contacted by purported mothers on behalf of the boys. In Serbian culture, the mother as caretaker is generally the one who contacts the children’s school. Also, Serbian men </w:t>
      </w:r>
      <w:r w:rsidRPr="00CB256D">
        <w:rPr>
          <w:rFonts w:ascii="Calibri" w:hAnsi="Calibri" w:cs="Calibri"/>
          <w:noProof/>
          <w:sz w:val="24"/>
          <w:szCs w:val="24"/>
          <w:lang w:val="en-GB"/>
        </w:rPr>
        <w:t>are less</w:t>
      </w:r>
      <w:r w:rsidRPr="00CB256D">
        <w:rPr>
          <w:rFonts w:ascii="Calibri" w:hAnsi="Calibri" w:cs="Calibri"/>
          <w:sz w:val="24"/>
          <w:szCs w:val="24"/>
          <w:lang w:val="en-GB"/>
        </w:rPr>
        <w:t xml:space="preserve"> likely to talk about their son’s femininity with the school authorities. </w:t>
      </w:r>
    </w:p>
    <w:p w14:paraId="77258696" w14:textId="77777777" w:rsidR="00F63F94" w:rsidRPr="00CB256D" w:rsidRDefault="00F63F94" w:rsidP="009C4674">
      <w:pPr>
        <w:spacing w:after="240" w:line="240" w:lineRule="auto"/>
        <w:jc w:val="both"/>
        <w:rPr>
          <w:rFonts w:ascii="Calibri" w:hAnsi="Calibri" w:cs="Calibri"/>
          <w:sz w:val="24"/>
          <w:szCs w:val="24"/>
          <w:lang w:val="en-GB"/>
        </w:rPr>
      </w:pPr>
      <w:r w:rsidRPr="00CB256D">
        <w:rPr>
          <w:rFonts w:ascii="Calibri" w:hAnsi="Calibri" w:cs="Calibri"/>
          <w:sz w:val="24"/>
          <w:szCs w:val="24"/>
          <w:lang w:val="en-GB"/>
        </w:rPr>
        <w:t>The role of the mothers was assigned to six members of the Ipsos research team with extensive experience in conducting ‘mystery shopper’ surveys. The ‘mystery shoppers’ attended additional training prior to participating in the experiment.</w:t>
      </w:r>
    </w:p>
    <w:p w14:paraId="77258697" w14:textId="77777777" w:rsidR="00F63F94" w:rsidRPr="00CB256D" w:rsidRDefault="00F63F94" w:rsidP="00EA648F">
      <w:pPr>
        <w:spacing w:after="240" w:line="240" w:lineRule="auto"/>
        <w:jc w:val="both"/>
        <w:rPr>
          <w:rFonts w:ascii="Calibri" w:hAnsi="Calibri" w:cs="Calibri"/>
          <w:sz w:val="24"/>
          <w:szCs w:val="24"/>
          <w:lang w:val="en-GB"/>
        </w:rPr>
      </w:pPr>
      <w:r w:rsidRPr="00CB256D">
        <w:rPr>
          <w:rFonts w:ascii="Calibri" w:hAnsi="Calibri" w:cs="Calibri"/>
          <w:sz w:val="24"/>
          <w:szCs w:val="24"/>
          <w:lang w:val="en-GB"/>
        </w:rPr>
        <w:t xml:space="preserve">Data collection was from 10 to 24 </w:t>
      </w:r>
      <w:r w:rsidRPr="00CB256D">
        <w:rPr>
          <w:rFonts w:ascii="Calibri" w:hAnsi="Calibri" w:cs="Calibri"/>
          <w:noProof/>
          <w:sz w:val="24"/>
          <w:szCs w:val="24"/>
          <w:lang w:val="en-GB"/>
        </w:rPr>
        <w:t>January</w:t>
      </w:r>
      <w:r w:rsidRPr="00CB256D">
        <w:rPr>
          <w:rFonts w:ascii="Calibri" w:hAnsi="Calibri" w:cs="Calibri"/>
          <w:sz w:val="24"/>
          <w:szCs w:val="24"/>
          <w:lang w:val="en-GB"/>
        </w:rPr>
        <w:t xml:space="preserve"> 2017.</w:t>
      </w:r>
    </w:p>
    <w:p w14:paraId="77258698" w14:textId="77777777" w:rsidR="00F63F94" w:rsidRPr="00316C10" w:rsidRDefault="00F63F94" w:rsidP="00DF5470">
      <w:pPr>
        <w:pStyle w:val="Heading3"/>
        <w:spacing w:after="240"/>
      </w:pPr>
      <w:r w:rsidRPr="00316C10">
        <w:t>Scenario of the telephone conversation</w:t>
      </w:r>
    </w:p>
    <w:p w14:paraId="77258699" w14:textId="77777777" w:rsidR="00F63F94" w:rsidRPr="00CB256D" w:rsidRDefault="00F63F94" w:rsidP="009C4674">
      <w:pPr>
        <w:spacing w:after="240" w:line="240" w:lineRule="auto"/>
        <w:jc w:val="both"/>
        <w:rPr>
          <w:rFonts w:ascii="Calibri" w:hAnsi="Calibri" w:cs="Calibri"/>
          <w:sz w:val="24"/>
          <w:szCs w:val="24"/>
          <w:lang w:val="en-GB"/>
        </w:rPr>
      </w:pPr>
      <w:r w:rsidRPr="00CB256D">
        <w:rPr>
          <w:rFonts w:ascii="Calibri" w:hAnsi="Calibri" w:cs="Calibri"/>
          <w:sz w:val="24"/>
          <w:szCs w:val="24"/>
          <w:lang w:val="en-GB"/>
        </w:rPr>
        <w:t>The telephone conversation scenario was as follows:</w:t>
      </w:r>
    </w:p>
    <w:p w14:paraId="7725869A" w14:textId="77777777" w:rsidR="00F63F94" w:rsidRPr="00CB256D" w:rsidRDefault="00F63F94" w:rsidP="009C4674">
      <w:pPr>
        <w:pStyle w:val="ListParagraph"/>
        <w:numPr>
          <w:ilvl w:val="0"/>
          <w:numId w:val="1"/>
        </w:numPr>
        <w:spacing w:after="0" w:line="240" w:lineRule="auto"/>
        <w:ind w:left="360" w:hanging="270"/>
        <w:contextualSpacing w:val="0"/>
        <w:jc w:val="both"/>
        <w:rPr>
          <w:rFonts w:ascii="Calibri" w:hAnsi="Calibri" w:cs="Calibri"/>
          <w:sz w:val="24"/>
          <w:szCs w:val="24"/>
          <w:lang w:val="en-GB"/>
        </w:rPr>
      </w:pPr>
      <w:r w:rsidRPr="00CB256D">
        <w:rPr>
          <w:rFonts w:ascii="Calibri" w:hAnsi="Calibri" w:cs="Calibri"/>
          <w:sz w:val="24"/>
          <w:szCs w:val="24"/>
          <w:lang w:val="en-GB"/>
        </w:rPr>
        <w:t xml:space="preserve">The mother mentions the femininity of her son at the beginning of the interview before the school administrator has the chance to make any statement about the availability of places at the school. If the school administrator said that there was a place in the school before he/she was informed that the boy is feminine, it might be harder to change the statement after the </w:t>
      </w:r>
      <w:r w:rsidRPr="00CB256D">
        <w:rPr>
          <w:rFonts w:ascii="Calibri" w:hAnsi="Calibri" w:cs="Calibri"/>
          <w:noProof/>
          <w:sz w:val="24"/>
          <w:szCs w:val="24"/>
          <w:lang w:val="en-GB"/>
        </w:rPr>
        <w:t>mother</w:t>
      </w:r>
      <w:r w:rsidRPr="00CB256D">
        <w:rPr>
          <w:rFonts w:ascii="Calibri" w:hAnsi="Calibri" w:cs="Calibri"/>
          <w:sz w:val="24"/>
          <w:szCs w:val="24"/>
          <w:lang w:val="en-GB"/>
        </w:rPr>
        <w:t xml:space="preserve"> gives this information.</w:t>
      </w:r>
    </w:p>
    <w:p w14:paraId="7725869B" w14:textId="77777777" w:rsidR="00F63F94" w:rsidRPr="00CB256D" w:rsidRDefault="00F63F94" w:rsidP="009C4674">
      <w:pPr>
        <w:pStyle w:val="ListParagraph"/>
        <w:numPr>
          <w:ilvl w:val="0"/>
          <w:numId w:val="1"/>
        </w:numPr>
        <w:spacing w:after="0" w:line="240" w:lineRule="auto"/>
        <w:ind w:left="360" w:hanging="270"/>
        <w:contextualSpacing w:val="0"/>
        <w:jc w:val="both"/>
        <w:rPr>
          <w:rFonts w:ascii="Calibri" w:hAnsi="Calibri" w:cs="Calibri"/>
          <w:sz w:val="24"/>
          <w:szCs w:val="24"/>
          <w:lang w:val="en-GB"/>
        </w:rPr>
      </w:pPr>
      <w:r w:rsidRPr="00CB256D">
        <w:rPr>
          <w:rFonts w:ascii="Calibri" w:hAnsi="Calibri" w:cs="Calibri"/>
          <w:sz w:val="24"/>
          <w:szCs w:val="24"/>
        </w:rPr>
        <w:t xml:space="preserve">As a reason for mentioning this characteristic, the mother states that the femininity of the boy is quite obvious and she wants to draw the school’s attention to this fact immediately. </w:t>
      </w:r>
    </w:p>
    <w:p w14:paraId="7725869C" w14:textId="77777777" w:rsidR="00F63F94" w:rsidRPr="00CB256D" w:rsidRDefault="00F63F94" w:rsidP="009C4674">
      <w:pPr>
        <w:pStyle w:val="ListParagraph"/>
        <w:numPr>
          <w:ilvl w:val="0"/>
          <w:numId w:val="1"/>
        </w:numPr>
        <w:spacing w:after="0" w:line="240" w:lineRule="auto"/>
        <w:ind w:left="360" w:hanging="270"/>
        <w:contextualSpacing w:val="0"/>
        <w:jc w:val="both"/>
        <w:rPr>
          <w:rFonts w:ascii="Calibri" w:hAnsi="Calibri" w:cs="Calibri"/>
          <w:sz w:val="24"/>
          <w:szCs w:val="24"/>
          <w:lang w:val="en-GB"/>
        </w:rPr>
      </w:pPr>
      <w:r w:rsidRPr="00CB256D">
        <w:rPr>
          <w:rFonts w:ascii="Calibri" w:hAnsi="Calibri" w:cs="Calibri"/>
          <w:sz w:val="24"/>
          <w:szCs w:val="24"/>
          <w:lang w:val="en-GB"/>
        </w:rPr>
        <w:lastRenderedPageBreak/>
        <w:t>To support the credibility of the boy’s femininity, the mother mentions that in his current school other students occasionally tease him, but she stresses that he never had any real problems. The mother mentions that the boy has no problems in interacting with other students due to his femininity.</w:t>
      </w:r>
    </w:p>
    <w:p w14:paraId="7725869D" w14:textId="77777777" w:rsidR="00F63F94" w:rsidRPr="00CB256D" w:rsidRDefault="00F63F94" w:rsidP="009C4674">
      <w:pPr>
        <w:pStyle w:val="ListParagraph"/>
        <w:numPr>
          <w:ilvl w:val="0"/>
          <w:numId w:val="1"/>
        </w:numPr>
        <w:spacing w:after="0" w:line="240" w:lineRule="auto"/>
        <w:ind w:left="360" w:hanging="270"/>
        <w:contextualSpacing w:val="0"/>
        <w:jc w:val="both"/>
        <w:rPr>
          <w:rFonts w:ascii="Calibri" w:hAnsi="Calibri" w:cs="Calibri"/>
          <w:sz w:val="24"/>
          <w:szCs w:val="24"/>
          <w:lang w:val="en-GB"/>
        </w:rPr>
      </w:pPr>
      <w:r w:rsidRPr="00CB256D">
        <w:rPr>
          <w:rFonts w:ascii="Calibri" w:hAnsi="Calibri" w:cs="Calibri"/>
          <w:sz w:val="24"/>
          <w:szCs w:val="24"/>
          <w:lang w:val="en-GB"/>
        </w:rPr>
        <w:t>The family is relocating to the town where the school is located because of the father’s new job. This eliminates any doubt that the reason for transferring the son might be related to problems the boy faced in school. It also explains why the mother and the boy cannot have a face-to-face meeting with the school authorities.</w:t>
      </w:r>
    </w:p>
    <w:p w14:paraId="7725869E" w14:textId="77777777" w:rsidR="00F63F94" w:rsidRPr="00CB256D" w:rsidRDefault="00F63F94" w:rsidP="009C4674">
      <w:pPr>
        <w:pStyle w:val="ListParagraph"/>
        <w:numPr>
          <w:ilvl w:val="0"/>
          <w:numId w:val="1"/>
        </w:numPr>
        <w:spacing w:after="0" w:line="240" w:lineRule="auto"/>
        <w:ind w:left="360" w:hanging="270"/>
        <w:contextualSpacing w:val="0"/>
        <w:jc w:val="both"/>
        <w:rPr>
          <w:rFonts w:ascii="Calibri" w:hAnsi="Calibri" w:cs="Calibri"/>
          <w:sz w:val="24"/>
          <w:szCs w:val="24"/>
          <w:lang w:val="en-GB"/>
        </w:rPr>
      </w:pPr>
      <w:r w:rsidRPr="00CB256D">
        <w:rPr>
          <w:rFonts w:ascii="Calibri" w:hAnsi="Calibri" w:cs="Calibri"/>
          <w:sz w:val="24"/>
          <w:szCs w:val="24"/>
          <w:lang w:val="en-GB"/>
        </w:rPr>
        <w:t xml:space="preserve">When the family moves, they will be living within the school’s territory. </w:t>
      </w:r>
    </w:p>
    <w:p w14:paraId="7725869F" w14:textId="77777777" w:rsidR="00F63F94" w:rsidRPr="00CB256D" w:rsidRDefault="00F63F94" w:rsidP="009C4674">
      <w:pPr>
        <w:pStyle w:val="ListParagraph"/>
        <w:numPr>
          <w:ilvl w:val="0"/>
          <w:numId w:val="1"/>
        </w:numPr>
        <w:spacing w:after="0" w:line="240" w:lineRule="auto"/>
        <w:ind w:left="360" w:hanging="270"/>
        <w:contextualSpacing w:val="0"/>
        <w:jc w:val="both"/>
        <w:rPr>
          <w:rFonts w:ascii="Calibri" w:hAnsi="Calibri" w:cs="Calibri"/>
          <w:sz w:val="24"/>
          <w:szCs w:val="24"/>
          <w:lang w:val="en-GB"/>
        </w:rPr>
      </w:pPr>
      <w:r w:rsidRPr="00CB256D">
        <w:rPr>
          <w:rFonts w:ascii="Calibri" w:hAnsi="Calibri" w:cs="Calibri"/>
          <w:sz w:val="24"/>
          <w:szCs w:val="24"/>
          <w:lang w:val="en-GB"/>
        </w:rPr>
        <w:t>The student has no learning problems. In terms of academic achievement, the student has “very good” performance which is equivalent to a B. Furthermore, this does not indicate any particularly positive effects, that might be synonymous with an “excellent” grade, or any negative effects associated with anything lower than “very good” performance.</w:t>
      </w:r>
    </w:p>
    <w:p w14:paraId="772586A0" w14:textId="77777777" w:rsidR="00F63F94" w:rsidRPr="00CB256D" w:rsidRDefault="00F63F94" w:rsidP="009C4674">
      <w:pPr>
        <w:pStyle w:val="ListParagraph"/>
        <w:numPr>
          <w:ilvl w:val="0"/>
          <w:numId w:val="1"/>
        </w:numPr>
        <w:spacing w:after="240" w:line="240" w:lineRule="auto"/>
        <w:ind w:left="360" w:hanging="270"/>
        <w:contextualSpacing w:val="0"/>
        <w:jc w:val="both"/>
        <w:rPr>
          <w:rFonts w:ascii="Calibri" w:hAnsi="Calibri" w:cs="Calibri"/>
          <w:sz w:val="24"/>
          <w:szCs w:val="24"/>
          <w:lang w:val="en-GB"/>
        </w:rPr>
      </w:pPr>
      <w:r w:rsidRPr="00CB256D">
        <w:rPr>
          <w:rFonts w:ascii="Calibri" w:hAnsi="Calibri" w:cs="Calibri"/>
          <w:sz w:val="24"/>
          <w:szCs w:val="24"/>
          <w:lang w:val="en-GB"/>
        </w:rPr>
        <w:t>The student has no problems with discipline.</w:t>
      </w:r>
    </w:p>
    <w:p w14:paraId="772586A1" w14:textId="77777777" w:rsidR="00F63F94" w:rsidRPr="00CB256D" w:rsidRDefault="00F63F94" w:rsidP="00DF5470">
      <w:pPr>
        <w:spacing w:after="240" w:line="240" w:lineRule="auto"/>
        <w:jc w:val="both"/>
        <w:rPr>
          <w:rFonts w:ascii="Calibri" w:hAnsi="Calibri" w:cs="Calibri"/>
          <w:sz w:val="24"/>
          <w:szCs w:val="24"/>
          <w:lang w:val="en-GB"/>
        </w:rPr>
      </w:pPr>
      <w:r w:rsidRPr="00CB256D">
        <w:rPr>
          <w:rFonts w:ascii="Calibri" w:hAnsi="Calibri" w:cs="Calibri"/>
          <w:sz w:val="24"/>
          <w:szCs w:val="24"/>
        </w:rPr>
        <w:t xml:space="preserve">The scenario of the telephone conversation for the control group was the same except that the boy was not characterized as feminine. </w:t>
      </w:r>
    </w:p>
    <w:p w14:paraId="772586A2" w14:textId="77777777" w:rsidR="00F63F94" w:rsidRDefault="00F63F94" w:rsidP="00DF5470">
      <w:pPr>
        <w:pStyle w:val="Heading3"/>
        <w:spacing w:after="240"/>
      </w:pPr>
      <w:r w:rsidRPr="00316C10">
        <w:t>Sampling of schools, number of observations and assignment of schools and ‘mystery shoppers’ to treatment and control groups</w:t>
      </w:r>
    </w:p>
    <w:p w14:paraId="772586A3" w14:textId="77777777" w:rsidR="00F63F94" w:rsidRPr="00CB256D" w:rsidRDefault="00F63F94" w:rsidP="00EA648F">
      <w:pPr>
        <w:spacing w:after="240" w:line="240" w:lineRule="auto"/>
        <w:jc w:val="both"/>
        <w:rPr>
          <w:rFonts w:ascii="Calibri" w:hAnsi="Calibri" w:cs="Calibri"/>
          <w:sz w:val="24"/>
          <w:szCs w:val="24"/>
          <w:lang w:val="en-GB"/>
        </w:rPr>
      </w:pPr>
      <w:r w:rsidRPr="00CB256D">
        <w:rPr>
          <w:rFonts w:ascii="Calibri" w:hAnsi="Calibri" w:cs="Calibri"/>
          <w:sz w:val="24"/>
          <w:szCs w:val="24"/>
          <w:lang w:val="en-GB"/>
        </w:rPr>
        <w:t xml:space="preserve">The sampling frame (i.e. the universe of schools) consisted of all the primary schools located in urban municipalities with at least five primary schools. Cities in municipalities with fewer than 5 primary schools and rural (agricultural) communities were excluded from the sampling frame. Moving to very small cities and/or rural areas in Serbia is quite unusual (due to high unemployment rates, poor </w:t>
      </w:r>
      <w:r w:rsidRPr="00CB256D">
        <w:rPr>
          <w:rFonts w:ascii="Calibri" w:hAnsi="Calibri" w:cs="Calibri"/>
          <w:noProof/>
          <w:sz w:val="24"/>
          <w:szCs w:val="24"/>
          <w:lang w:val="en-GB"/>
        </w:rPr>
        <w:t>infrastructure,</w:t>
      </w:r>
      <w:r w:rsidRPr="00CB256D">
        <w:rPr>
          <w:rFonts w:ascii="Calibri" w:hAnsi="Calibri" w:cs="Calibri"/>
          <w:sz w:val="24"/>
          <w:szCs w:val="24"/>
          <w:lang w:val="en-GB"/>
        </w:rPr>
        <w:t xml:space="preserve"> and other factors). Such a scenario could have aroused suspicion among school authorities, and shifted the conversation to other topics (Why is the family moving to this small place? What kind of job did the father get? etc.), which might have jeopardized the interview. In addition, if there are just one or two schools in the area (which is common in non-urban areas), the school authority might feel pressured to accept the enrolment of the feminine boy, given that primary education is mandatory </w:t>
      </w:r>
      <w:r w:rsidRPr="00CB256D">
        <w:rPr>
          <w:rFonts w:ascii="Calibri" w:hAnsi="Calibri" w:cs="Calibri"/>
          <w:noProof/>
          <w:sz w:val="24"/>
          <w:szCs w:val="24"/>
          <w:lang w:val="en-GB"/>
        </w:rPr>
        <w:t>until</w:t>
      </w:r>
      <w:r w:rsidRPr="00CB256D">
        <w:rPr>
          <w:rFonts w:ascii="Calibri" w:hAnsi="Calibri" w:cs="Calibri"/>
          <w:sz w:val="24"/>
          <w:szCs w:val="24"/>
          <w:lang w:val="en-GB"/>
        </w:rPr>
        <w:t xml:space="preserve"> the completion </w:t>
      </w:r>
      <w:r w:rsidRPr="00CB256D">
        <w:rPr>
          <w:rFonts w:ascii="Calibri" w:hAnsi="Calibri" w:cs="Calibri"/>
          <w:noProof/>
          <w:sz w:val="24"/>
          <w:szCs w:val="24"/>
          <w:lang w:val="en-GB"/>
        </w:rPr>
        <w:t>of eighth</w:t>
      </w:r>
      <w:r w:rsidRPr="00CB256D">
        <w:rPr>
          <w:rFonts w:ascii="Calibri" w:hAnsi="Calibri" w:cs="Calibri"/>
          <w:sz w:val="24"/>
          <w:szCs w:val="24"/>
          <w:lang w:val="en-GB"/>
        </w:rPr>
        <w:t xml:space="preserve"> grade. </w:t>
      </w:r>
    </w:p>
    <w:p w14:paraId="772586A4" w14:textId="1EB32F93" w:rsidR="00AE6824" w:rsidRDefault="00F63F94" w:rsidP="00EA648F">
      <w:pPr>
        <w:spacing w:after="240" w:line="240" w:lineRule="auto"/>
        <w:jc w:val="both"/>
        <w:rPr>
          <w:rFonts w:ascii="Calibri" w:hAnsi="Calibri" w:cs="Calibri"/>
          <w:sz w:val="24"/>
          <w:szCs w:val="24"/>
          <w:lang w:val="en-GB"/>
        </w:rPr>
      </w:pPr>
      <w:r w:rsidRPr="00CB256D">
        <w:rPr>
          <w:rFonts w:ascii="Calibri" w:hAnsi="Calibri" w:cs="Calibri"/>
          <w:sz w:val="24"/>
          <w:szCs w:val="24"/>
          <w:lang w:val="en-GB"/>
        </w:rPr>
        <w:t>From the sampling frame, 184 schools were selected. Approximately the same number of schools were allocated in the three regions: Belgrade,</w:t>
      </w:r>
      <w:r w:rsidRPr="00CB256D">
        <w:rPr>
          <w:rFonts w:ascii="Calibri" w:hAnsi="Calibri" w:cs="Calibri"/>
          <w:sz w:val="24"/>
          <w:szCs w:val="24"/>
        </w:rPr>
        <w:t xml:space="preserve"> Vojvodina</w:t>
      </w:r>
      <w:r w:rsidRPr="00CB256D">
        <w:rPr>
          <w:rFonts w:ascii="Calibri" w:hAnsi="Calibri" w:cs="Calibri"/>
          <w:sz w:val="24"/>
          <w:szCs w:val="24"/>
          <w:lang w:val="en-GB"/>
        </w:rPr>
        <w:t xml:space="preserve">, and Central Serbia. The schools were selected </w:t>
      </w:r>
      <w:r w:rsidRPr="00CB256D">
        <w:rPr>
          <w:rFonts w:ascii="Calibri" w:hAnsi="Calibri" w:cs="Calibri"/>
          <w:noProof/>
          <w:sz w:val="24"/>
          <w:szCs w:val="24"/>
          <w:lang w:val="en-GB"/>
        </w:rPr>
        <w:t>using standard</w:t>
      </w:r>
      <w:r w:rsidRPr="00CB256D">
        <w:rPr>
          <w:rFonts w:ascii="Calibri" w:hAnsi="Calibri" w:cs="Calibri"/>
          <w:sz w:val="24"/>
          <w:szCs w:val="24"/>
          <w:lang w:val="en-GB"/>
        </w:rPr>
        <w:t xml:space="preserve"> random selection procedures (with probability proportional to the number of schools in a municipality). The schools were randomly assigned to treatment and control </w:t>
      </w:r>
      <w:r w:rsidRPr="00CB256D">
        <w:rPr>
          <w:rFonts w:ascii="Calibri" w:hAnsi="Calibri" w:cs="Calibri"/>
          <w:noProof/>
          <w:sz w:val="24"/>
          <w:szCs w:val="24"/>
          <w:lang w:val="en-GB"/>
        </w:rPr>
        <w:t>groups</w:t>
      </w:r>
      <w:r w:rsidRPr="00CB256D">
        <w:rPr>
          <w:rFonts w:ascii="Calibri" w:hAnsi="Calibri" w:cs="Calibri"/>
          <w:sz w:val="24"/>
          <w:szCs w:val="24"/>
          <w:lang w:val="en-GB"/>
        </w:rPr>
        <w:t xml:space="preserve"> so that in each municipality there was an equal number of schools in both groups. The number of schools by region and the number of municipalities in which the schools are located are shown in Table 1.1 below. </w:t>
      </w:r>
    </w:p>
    <w:p w14:paraId="5B34EC73" w14:textId="77777777" w:rsidR="00AE6824" w:rsidRDefault="00AE6824">
      <w:pPr>
        <w:rPr>
          <w:rFonts w:ascii="Calibri" w:hAnsi="Calibri" w:cs="Calibri"/>
          <w:sz w:val="24"/>
          <w:szCs w:val="24"/>
          <w:lang w:val="en-GB"/>
        </w:rPr>
      </w:pPr>
      <w:r>
        <w:rPr>
          <w:rFonts w:ascii="Calibri" w:hAnsi="Calibri" w:cs="Calibri"/>
          <w:sz w:val="24"/>
          <w:szCs w:val="24"/>
          <w:lang w:val="en-GB"/>
        </w:rPr>
        <w:br w:type="page"/>
      </w:r>
    </w:p>
    <w:p w14:paraId="14410D98" w14:textId="77777777" w:rsidR="00F63F94" w:rsidRDefault="00F63F94" w:rsidP="00EA648F">
      <w:pPr>
        <w:spacing w:after="240" w:line="240" w:lineRule="auto"/>
        <w:jc w:val="both"/>
        <w:rPr>
          <w:rFonts w:ascii="Calibri" w:hAnsi="Calibri" w:cs="Calibri"/>
          <w:sz w:val="24"/>
          <w:szCs w:val="24"/>
          <w:lang w:val="en-GB"/>
        </w:rPr>
      </w:pPr>
    </w:p>
    <w:p w14:paraId="2CD6EBCE" w14:textId="4C20F62E" w:rsidR="00CB256D" w:rsidRPr="000613F3" w:rsidRDefault="00CB256D" w:rsidP="009C4674">
      <w:pPr>
        <w:pStyle w:val="Subtitle"/>
        <w:numPr>
          <w:ilvl w:val="0"/>
          <w:numId w:val="0"/>
        </w:numPr>
        <w:jc w:val="center"/>
      </w:pPr>
      <w:r w:rsidRPr="000613F3">
        <w:t>Table 1.1: Sample size of schools per region and number of municipalities per region</w:t>
      </w:r>
    </w:p>
    <w:tbl>
      <w:tblPr>
        <w:tblStyle w:val="TableGrid"/>
        <w:tblW w:w="5000" w:type="pct"/>
        <w:tblBorders>
          <w:top w:val="single" w:sz="4" w:space="0" w:color="00B1EE"/>
          <w:left w:val="single" w:sz="4" w:space="0" w:color="00B1EE"/>
          <w:bottom w:val="single" w:sz="4" w:space="0" w:color="00B1EE"/>
          <w:right w:val="single" w:sz="4" w:space="0" w:color="00B1EE"/>
          <w:insideH w:val="single" w:sz="4" w:space="0" w:color="00B1EE"/>
          <w:insideV w:val="single" w:sz="4" w:space="0" w:color="00B1EE"/>
        </w:tblBorders>
        <w:tblLook w:val="04A0" w:firstRow="1" w:lastRow="0" w:firstColumn="1" w:lastColumn="0" w:noHBand="0" w:noVBand="1"/>
      </w:tblPr>
      <w:tblGrid>
        <w:gridCol w:w="1793"/>
        <w:gridCol w:w="2405"/>
        <w:gridCol w:w="2406"/>
        <w:gridCol w:w="2406"/>
      </w:tblGrid>
      <w:tr w:rsidR="00F63F94" w:rsidRPr="001F7EB4" w14:paraId="772586AB" w14:textId="77777777" w:rsidTr="000613F3">
        <w:trPr>
          <w:trHeight w:val="566"/>
        </w:trPr>
        <w:tc>
          <w:tcPr>
            <w:tcW w:w="1793" w:type="dxa"/>
            <w:shd w:val="clear" w:color="auto" w:fill="002F53"/>
            <w:vAlign w:val="center"/>
          </w:tcPr>
          <w:p w14:paraId="772586A7" w14:textId="6368AE06" w:rsidR="00F63F94" w:rsidRPr="000613F3" w:rsidRDefault="00F63F94" w:rsidP="000613F3">
            <w:pPr>
              <w:spacing w:after="120"/>
              <w:jc w:val="center"/>
              <w:rPr>
                <w:rFonts w:ascii="Calibri" w:hAnsi="Calibri" w:cs="Calibri"/>
                <w:b/>
                <w:lang w:val="en-GB"/>
              </w:rPr>
            </w:pPr>
            <w:r w:rsidRPr="000613F3">
              <w:rPr>
                <w:rFonts w:ascii="Calibri" w:hAnsi="Calibri" w:cs="Calibri"/>
                <w:b/>
                <w:lang w:val="en-GB"/>
              </w:rPr>
              <w:t>Region</w:t>
            </w:r>
          </w:p>
        </w:tc>
        <w:tc>
          <w:tcPr>
            <w:tcW w:w="2405" w:type="dxa"/>
            <w:shd w:val="clear" w:color="auto" w:fill="002F53"/>
            <w:vAlign w:val="center"/>
          </w:tcPr>
          <w:p w14:paraId="772586A8" w14:textId="77777777" w:rsidR="00F63F94" w:rsidRPr="000613F3" w:rsidRDefault="00F63F94" w:rsidP="000613F3">
            <w:pPr>
              <w:spacing w:after="120"/>
              <w:jc w:val="center"/>
              <w:rPr>
                <w:rFonts w:ascii="Calibri" w:hAnsi="Calibri" w:cs="Calibri"/>
                <w:b/>
                <w:lang w:val="en-GB"/>
              </w:rPr>
            </w:pPr>
            <w:r w:rsidRPr="000613F3">
              <w:rPr>
                <w:rFonts w:ascii="Calibri" w:hAnsi="Calibri" w:cs="Calibri"/>
                <w:b/>
                <w:lang w:val="en-GB"/>
              </w:rPr>
              <w:t>Sample 1: Treatment Schools (No. of municipalities)</w:t>
            </w:r>
          </w:p>
        </w:tc>
        <w:tc>
          <w:tcPr>
            <w:tcW w:w="2406" w:type="dxa"/>
            <w:shd w:val="clear" w:color="auto" w:fill="002F53"/>
            <w:vAlign w:val="center"/>
          </w:tcPr>
          <w:p w14:paraId="772586A9" w14:textId="77777777" w:rsidR="00F63F94" w:rsidRPr="000613F3" w:rsidRDefault="00F63F94" w:rsidP="000613F3">
            <w:pPr>
              <w:spacing w:after="120"/>
              <w:jc w:val="center"/>
              <w:rPr>
                <w:rFonts w:ascii="Calibri" w:hAnsi="Calibri" w:cs="Calibri"/>
                <w:b/>
                <w:lang w:val="en-GB"/>
              </w:rPr>
            </w:pPr>
            <w:r w:rsidRPr="000613F3">
              <w:rPr>
                <w:rFonts w:ascii="Calibri" w:hAnsi="Calibri" w:cs="Calibri"/>
                <w:b/>
                <w:lang w:val="en-GB"/>
              </w:rPr>
              <w:t>Sample 2: Control Schools (No. of municipalities)</w:t>
            </w:r>
          </w:p>
        </w:tc>
        <w:tc>
          <w:tcPr>
            <w:tcW w:w="2406" w:type="dxa"/>
            <w:shd w:val="clear" w:color="auto" w:fill="002F53"/>
            <w:vAlign w:val="center"/>
          </w:tcPr>
          <w:p w14:paraId="772586AA" w14:textId="77777777" w:rsidR="00F63F94" w:rsidRPr="000613F3" w:rsidRDefault="00F63F94" w:rsidP="000613F3">
            <w:pPr>
              <w:spacing w:after="120"/>
              <w:jc w:val="center"/>
              <w:rPr>
                <w:rFonts w:ascii="Calibri" w:hAnsi="Calibri" w:cs="Calibri"/>
                <w:b/>
                <w:lang w:val="en-GB"/>
              </w:rPr>
            </w:pPr>
            <w:r w:rsidRPr="000613F3">
              <w:rPr>
                <w:rFonts w:ascii="Calibri" w:hAnsi="Calibri" w:cs="Calibri"/>
                <w:b/>
                <w:lang w:val="en-GB"/>
              </w:rPr>
              <w:t>Total</w:t>
            </w:r>
          </w:p>
        </w:tc>
      </w:tr>
      <w:tr w:rsidR="00F63F94" w:rsidRPr="001F7EB4" w14:paraId="772586B0" w14:textId="77777777" w:rsidTr="000613F3">
        <w:trPr>
          <w:trHeight w:val="290"/>
        </w:trPr>
        <w:tc>
          <w:tcPr>
            <w:tcW w:w="1793" w:type="dxa"/>
          </w:tcPr>
          <w:p w14:paraId="772586AC" w14:textId="77777777" w:rsidR="00F63F94" w:rsidRPr="001F7EB4" w:rsidRDefault="00F63F94" w:rsidP="00E12469">
            <w:pPr>
              <w:spacing w:after="120"/>
              <w:jc w:val="both"/>
              <w:rPr>
                <w:rFonts w:ascii="Calibri" w:hAnsi="Calibri" w:cs="Calibri"/>
                <w:lang w:val="en-GB"/>
              </w:rPr>
            </w:pPr>
            <w:r w:rsidRPr="001F7EB4">
              <w:rPr>
                <w:rFonts w:ascii="Calibri" w:hAnsi="Calibri" w:cs="Calibri"/>
                <w:lang w:val="en-GB"/>
              </w:rPr>
              <w:t xml:space="preserve">Belgrade </w:t>
            </w:r>
          </w:p>
        </w:tc>
        <w:tc>
          <w:tcPr>
            <w:tcW w:w="2405" w:type="dxa"/>
          </w:tcPr>
          <w:p w14:paraId="772586AD" w14:textId="77777777" w:rsidR="00F63F94" w:rsidRPr="001F7EB4" w:rsidRDefault="00F63F94" w:rsidP="000613F3">
            <w:pPr>
              <w:spacing w:after="120"/>
              <w:jc w:val="right"/>
              <w:rPr>
                <w:rFonts w:ascii="Calibri" w:hAnsi="Calibri" w:cs="Calibri"/>
                <w:lang w:val="en-GB"/>
              </w:rPr>
            </w:pPr>
            <w:r w:rsidRPr="001F7EB4">
              <w:rPr>
                <w:rFonts w:ascii="Calibri" w:hAnsi="Calibri" w:cs="Calibri"/>
                <w:lang w:val="en-GB"/>
              </w:rPr>
              <w:t>31 (11)</w:t>
            </w:r>
          </w:p>
        </w:tc>
        <w:tc>
          <w:tcPr>
            <w:tcW w:w="2406" w:type="dxa"/>
          </w:tcPr>
          <w:p w14:paraId="772586AE" w14:textId="77777777" w:rsidR="00F63F94" w:rsidRPr="001F7EB4" w:rsidRDefault="00F63F94" w:rsidP="000613F3">
            <w:pPr>
              <w:spacing w:after="120"/>
              <w:jc w:val="right"/>
              <w:rPr>
                <w:rFonts w:ascii="Calibri" w:hAnsi="Calibri" w:cs="Calibri"/>
                <w:lang w:val="en-GB"/>
              </w:rPr>
            </w:pPr>
            <w:r w:rsidRPr="001F7EB4">
              <w:rPr>
                <w:rFonts w:ascii="Calibri" w:hAnsi="Calibri" w:cs="Calibri"/>
                <w:lang w:val="en-GB"/>
              </w:rPr>
              <w:t xml:space="preserve"> 31 (11)</w:t>
            </w:r>
          </w:p>
        </w:tc>
        <w:tc>
          <w:tcPr>
            <w:tcW w:w="2406" w:type="dxa"/>
          </w:tcPr>
          <w:p w14:paraId="772586AF" w14:textId="77777777" w:rsidR="00F63F94" w:rsidRPr="001F7EB4" w:rsidRDefault="00F63F94" w:rsidP="000613F3">
            <w:pPr>
              <w:spacing w:after="120"/>
              <w:jc w:val="right"/>
              <w:rPr>
                <w:rFonts w:ascii="Calibri" w:hAnsi="Calibri" w:cs="Calibri"/>
                <w:lang w:val="en-GB"/>
              </w:rPr>
            </w:pPr>
            <w:r w:rsidRPr="001F7EB4">
              <w:rPr>
                <w:rFonts w:ascii="Calibri" w:hAnsi="Calibri" w:cs="Calibri"/>
                <w:lang w:val="en-GB"/>
              </w:rPr>
              <w:t>62 (11)</w:t>
            </w:r>
          </w:p>
        </w:tc>
      </w:tr>
      <w:tr w:rsidR="00F63F94" w:rsidRPr="001F7EB4" w14:paraId="772586B5" w14:textId="77777777" w:rsidTr="000613F3">
        <w:trPr>
          <w:trHeight w:val="276"/>
        </w:trPr>
        <w:tc>
          <w:tcPr>
            <w:tcW w:w="1793" w:type="dxa"/>
            <w:shd w:val="clear" w:color="auto" w:fill="D9E1F3"/>
          </w:tcPr>
          <w:p w14:paraId="772586B1" w14:textId="77777777" w:rsidR="00F63F94" w:rsidRPr="001F7EB4" w:rsidRDefault="00F63F94" w:rsidP="00E12469">
            <w:pPr>
              <w:spacing w:after="120"/>
              <w:jc w:val="both"/>
              <w:rPr>
                <w:rFonts w:ascii="Calibri" w:hAnsi="Calibri" w:cs="Calibri"/>
                <w:lang w:val="en-GB"/>
              </w:rPr>
            </w:pPr>
            <w:r w:rsidRPr="001F7EB4">
              <w:rPr>
                <w:rFonts w:ascii="Calibri" w:hAnsi="Calibri" w:cs="Calibri"/>
                <w:lang w:val="en-GB"/>
              </w:rPr>
              <w:t xml:space="preserve">Vojvodina </w:t>
            </w:r>
          </w:p>
        </w:tc>
        <w:tc>
          <w:tcPr>
            <w:tcW w:w="2405" w:type="dxa"/>
            <w:shd w:val="clear" w:color="auto" w:fill="D9E1F3"/>
          </w:tcPr>
          <w:p w14:paraId="772586B2" w14:textId="77777777" w:rsidR="00F63F94" w:rsidRPr="001F7EB4" w:rsidRDefault="00F63F94" w:rsidP="000613F3">
            <w:pPr>
              <w:spacing w:after="120"/>
              <w:jc w:val="right"/>
              <w:rPr>
                <w:rFonts w:ascii="Calibri" w:hAnsi="Calibri" w:cs="Calibri"/>
                <w:lang w:val="en-GB"/>
              </w:rPr>
            </w:pPr>
            <w:r w:rsidRPr="001F7EB4">
              <w:rPr>
                <w:rFonts w:ascii="Calibri" w:hAnsi="Calibri" w:cs="Calibri"/>
                <w:lang w:val="en-GB"/>
              </w:rPr>
              <w:t>31 (8)</w:t>
            </w:r>
          </w:p>
        </w:tc>
        <w:tc>
          <w:tcPr>
            <w:tcW w:w="2406" w:type="dxa"/>
            <w:shd w:val="clear" w:color="auto" w:fill="D9E1F3"/>
          </w:tcPr>
          <w:p w14:paraId="772586B3" w14:textId="77777777" w:rsidR="00F63F94" w:rsidRPr="001F7EB4" w:rsidRDefault="00F63F94" w:rsidP="000613F3">
            <w:pPr>
              <w:spacing w:after="120"/>
              <w:jc w:val="right"/>
              <w:rPr>
                <w:rFonts w:ascii="Calibri" w:hAnsi="Calibri" w:cs="Calibri"/>
                <w:lang w:val="en-GB"/>
              </w:rPr>
            </w:pPr>
            <w:r w:rsidRPr="001F7EB4">
              <w:rPr>
                <w:rFonts w:ascii="Calibri" w:hAnsi="Calibri" w:cs="Calibri"/>
                <w:lang w:val="en-GB"/>
              </w:rPr>
              <w:t>31 (8)</w:t>
            </w:r>
          </w:p>
        </w:tc>
        <w:tc>
          <w:tcPr>
            <w:tcW w:w="2406" w:type="dxa"/>
            <w:shd w:val="clear" w:color="auto" w:fill="D9E1F3"/>
          </w:tcPr>
          <w:p w14:paraId="772586B4" w14:textId="77777777" w:rsidR="00F63F94" w:rsidRPr="001F7EB4" w:rsidRDefault="00F63F94" w:rsidP="000613F3">
            <w:pPr>
              <w:spacing w:after="120"/>
              <w:jc w:val="right"/>
              <w:rPr>
                <w:rFonts w:ascii="Calibri" w:hAnsi="Calibri" w:cs="Calibri"/>
                <w:lang w:val="en-GB"/>
              </w:rPr>
            </w:pPr>
            <w:r w:rsidRPr="001F7EB4">
              <w:rPr>
                <w:rFonts w:ascii="Calibri" w:hAnsi="Calibri" w:cs="Calibri"/>
                <w:lang w:val="en-GB"/>
              </w:rPr>
              <w:t>62 (8)</w:t>
            </w:r>
          </w:p>
        </w:tc>
      </w:tr>
      <w:tr w:rsidR="00F63F94" w:rsidRPr="001F7EB4" w14:paraId="772586BA" w14:textId="77777777" w:rsidTr="000613F3">
        <w:trPr>
          <w:trHeight w:val="276"/>
        </w:trPr>
        <w:tc>
          <w:tcPr>
            <w:tcW w:w="1793" w:type="dxa"/>
          </w:tcPr>
          <w:p w14:paraId="772586B6" w14:textId="77777777" w:rsidR="00F63F94" w:rsidRPr="001F7EB4" w:rsidRDefault="00F63F94" w:rsidP="00E12469">
            <w:pPr>
              <w:spacing w:after="120"/>
              <w:jc w:val="both"/>
              <w:rPr>
                <w:rFonts w:ascii="Calibri" w:hAnsi="Calibri" w:cs="Calibri"/>
                <w:lang w:val="en-GB"/>
              </w:rPr>
            </w:pPr>
            <w:r w:rsidRPr="001F7EB4">
              <w:rPr>
                <w:rFonts w:ascii="Calibri" w:hAnsi="Calibri" w:cs="Calibri"/>
                <w:lang w:val="en-GB"/>
              </w:rPr>
              <w:t xml:space="preserve">Central Serbia </w:t>
            </w:r>
          </w:p>
        </w:tc>
        <w:tc>
          <w:tcPr>
            <w:tcW w:w="2405" w:type="dxa"/>
          </w:tcPr>
          <w:p w14:paraId="772586B7" w14:textId="77777777" w:rsidR="00F63F94" w:rsidRPr="001F7EB4" w:rsidRDefault="00F63F94" w:rsidP="000613F3">
            <w:pPr>
              <w:spacing w:after="120"/>
              <w:jc w:val="right"/>
              <w:rPr>
                <w:rFonts w:ascii="Calibri" w:hAnsi="Calibri" w:cs="Calibri"/>
                <w:lang w:val="en-GB"/>
              </w:rPr>
            </w:pPr>
            <w:r w:rsidRPr="001F7EB4">
              <w:rPr>
                <w:rFonts w:ascii="Calibri" w:hAnsi="Calibri" w:cs="Calibri"/>
                <w:lang w:val="en-GB"/>
              </w:rPr>
              <w:t>30 (18)</w:t>
            </w:r>
          </w:p>
        </w:tc>
        <w:tc>
          <w:tcPr>
            <w:tcW w:w="2406" w:type="dxa"/>
          </w:tcPr>
          <w:p w14:paraId="772586B8" w14:textId="77777777" w:rsidR="00F63F94" w:rsidRPr="001F7EB4" w:rsidRDefault="00F63F94" w:rsidP="000613F3">
            <w:pPr>
              <w:spacing w:after="120"/>
              <w:jc w:val="right"/>
              <w:rPr>
                <w:rFonts w:ascii="Calibri" w:hAnsi="Calibri" w:cs="Calibri"/>
                <w:lang w:val="en-GB"/>
              </w:rPr>
            </w:pPr>
            <w:r w:rsidRPr="001F7EB4">
              <w:rPr>
                <w:rFonts w:ascii="Calibri" w:hAnsi="Calibri" w:cs="Calibri"/>
                <w:lang w:val="en-GB"/>
              </w:rPr>
              <w:t>30 (18)</w:t>
            </w:r>
          </w:p>
        </w:tc>
        <w:tc>
          <w:tcPr>
            <w:tcW w:w="2406" w:type="dxa"/>
          </w:tcPr>
          <w:p w14:paraId="772586B9" w14:textId="77777777" w:rsidR="00F63F94" w:rsidRPr="001F7EB4" w:rsidRDefault="00F63F94" w:rsidP="000613F3">
            <w:pPr>
              <w:spacing w:after="120"/>
              <w:jc w:val="right"/>
              <w:rPr>
                <w:rFonts w:ascii="Calibri" w:hAnsi="Calibri" w:cs="Calibri"/>
                <w:lang w:val="en-GB"/>
              </w:rPr>
            </w:pPr>
            <w:r w:rsidRPr="001F7EB4">
              <w:rPr>
                <w:rFonts w:ascii="Calibri" w:hAnsi="Calibri" w:cs="Calibri"/>
                <w:lang w:val="en-GB"/>
              </w:rPr>
              <w:t>60 (18)</w:t>
            </w:r>
          </w:p>
        </w:tc>
      </w:tr>
      <w:tr w:rsidR="00F63F94" w:rsidRPr="001F7EB4" w14:paraId="772586BF" w14:textId="77777777" w:rsidTr="000613F3">
        <w:trPr>
          <w:trHeight w:val="303"/>
        </w:trPr>
        <w:tc>
          <w:tcPr>
            <w:tcW w:w="1793" w:type="dxa"/>
            <w:shd w:val="clear" w:color="auto" w:fill="D9E1F3"/>
          </w:tcPr>
          <w:p w14:paraId="772586BB" w14:textId="77777777" w:rsidR="00F63F94" w:rsidRPr="000613F3" w:rsidRDefault="00F63F94" w:rsidP="00E12469">
            <w:pPr>
              <w:spacing w:after="120"/>
              <w:jc w:val="both"/>
              <w:rPr>
                <w:rFonts w:ascii="Calibri" w:hAnsi="Calibri" w:cs="Calibri"/>
                <w:b/>
                <w:lang w:val="en-GB"/>
              </w:rPr>
            </w:pPr>
            <w:r w:rsidRPr="000613F3">
              <w:rPr>
                <w:rFonts w:ascii="Calibri" w:hAnsi="Calibri" w:cs="Calibri"/>
                <w:b/>
                <w:lang w:val="en-GB"/>
              </w:rPr>
              <w:t>Total</w:t>
            </w:r>
          </w:p>
        </w:tc>
        <w:tc>
          <w:tcPr>
            <w:tcW w:w="2405" w:type="dxa"/>
            <w:shd w:val="clear" w:color="auto" w:fill="D9E1F3"/>
          </w:tcPr>
          <w:p w14:paraId="772586BC" w14:textId="77777777" w:rsidR="00F63F94" w:rsidRPr="000613F3" w:rsidRDefault="00F63F94" w:rsidP="000613F3">
            <w:pPr>
              <w:spacing w:after="120"/>
              <w:jc w:val="right"/>
              <w:rPr>
                <w:rFonts w:ascii="Calibri" w:hAnsi="Calibri" w:cs="Calibri"/>
                <w:b/>
                <w:lang w:val="en-GB"/>
              </w:rPr>
            </w:pPr>
            <w:r w:rsidRPr="000613F3">
              <w:rPr>
                <w:rFonts w:ascii="Calibri" w:hAnsi="Calibri" w:cs="Calibri"/>
                <w:b/>
                <w:lang w:val="en-GB"/>
              </w:rPr>
              <w:t>92 (37)</w:t>
            </w:r>
          </w:p>
        </w:tc>
        <w:tc>
          <w:tcPr>
            <w:tcW w:w="2406" w:type="dxa"/>
            <w:shd w:val="clear" w:color="auto" w:fill="D9E1F3"/>
          </w:tcPr>
          <w:p w14:paraId="772586BD" w14:textId="77777777" w:rsidR="00F63F94" w:rsidRPr="000613F3" w:rsidRDefault="00F63F94" w:rsidP="000613F3">
            <w:pPr>
              <w:spacing w:after="120"/>
              <w:jc w:val="right"/>
              <w:rPr>
                <w:rFonts w:ascii="Calibri" w:hAnsi="Calibri" w:cs="Calibri"/>
                <w:b/>
                <w:lang w:val="en-GB"/>
              </w:rPr>
            </w:pPr>
            <w:r w:rsidRPr="000613F3">
              <w:rPr>
                <w:rFonts w:ascii="Calibri" w:hAnsi="Calibri" w:cs="Calibri"/>
                <w:b/>
                <w:lang w:val="en-GB"/>
              </w:rPr>
              <w:t>92 (37)</w:t>
            </w:r>
          </w:p>
        </w:tc>
        <w:tc>
          <w:tcPr>
            <w:tcW w:w="2406" w:type="dxa"/>
            <w:shd w:val="clear" w:color="auto" w:fill="D9E1F3"/>
          </w:tcPr>
          <w:p w14:paraId="772586BE" w14:textId="77777777" w:rsidR="00F63F94" w:rsidRPr="000613F3" w:rsidRDefault="00F63F94" w:rsidP="000613F3">
            <w:pPr>
              <w:spacing w:after="120"/>
              <w:jc w:val="right"/>
              <w:rPr>
                <w:rFonts w:ascii="Calibri" w:hAnsi="Calibri" w:cs="Calibri"/>
                <w:b/>
                <w:lang w:val="en-GB"/>
              </w:rPr>
            </w:pPr>
            <w:r w:rsidRPr="000613F3">
              <w:rPr>
                <w:rFonts w:ascii="Calibri" w:hAnsi="Calibri" w:cs="Calibri"/>
                <w:b/>
                <w:lang w:val="en-GB"/>
              </w:rPr>
              <w:t>184 (37)</w:t>
            </w:r>
          </w:p>
        </w:tc>
      </w:tr>
    </w:tbl>
    <w:p w14:paraId="6C3400F3" w14:textId="77777777" w:rsidR="00316C10" w:rsidRDefault="00316C10" w:rsidP="00EA648F">
      <w:pPr>
        <w:spacing w:after="0" w:line="240" w:lineRule="auto"/>
        <w:jc w:val="both"/>
        <w:rPr>
          <w:rFonts w:ascii="Calibri" w:hAnsi="Calibri" w:cs="Calibri"/>
          <w:i/>
          <w:color w:val="0070C0"/>
          <w:lang w:val="en-GB"/>
        </w:rPr>
      </w:pPr>
    </w:p>
    <w:p w14:paraId="5ABABD4B" w14:textId="77777777" w:rsidR="00316C10" w:rsidRPr="00CB256D" w:rsidRDefault="00F63F94" w:rsidP="00EA648F">
      <w:pPr>
        <w:spacing w:after="240" w:line="240" w:lineRule="auto"/>
        <w:jc w:val="both"/>
        <w:rPr>
          <w:rFonts w:ascii="Calibri" w:hAnsi="Calibri" w:cs="Calibri"/>
          <w:sz w:val="24"/>
          <w:szCs w:val="24"/>
          <w:lang w:val="en-GB"/>
        </w:rPr>
      </w:pPr>
      <w:r w:rsidRPr="00CB256D">
        <w:rPr>
          <w:rFonts w:ascii="Calibri" w:hAnsi="Calibri" w:cs="Calibri"/>
          <w:sz w:val="24"/>
          <w:szCs w:val="24"/>
          <w:lang w:val="en-GB"/>
        </w:rPr>
        <w:t xml:space="preserve">In total, 6 ‘mystery shoppers’ were engaged.  Mystery shoppers were randomly assigned to an approximately equal number of schools in each </w:t>
      </w:r>
      <w:r w:rsidRPr="00CB256D">
        <w:rPr>
          <w:rFonts w:ascii="Calibri" w:hAnsi="Calibri" w:cs="Calibri"/>
          <w:noProof/>
          <w:sz w:val="24"/>
          <w:szCs w:val="24"/>
          <w:lang w:val="en-GB"/>
        </w:rPr>
        <w:t>region</w:t>
      </w:r>
      <w:r w:rsidRPr="00CB256D">
        <w:rPr>
          <w:rFonts w:ascii="Calibri" w:hAnsi="Calibri" w:cs="Calibri"/>
          <w:sz w:val="24"/>
          <w:szCs w:val="24"/>
          <w:lang w:val="en-GB"/>
        </w:rPr>
        <w:t xml:space="preserve"> so that each ‘mystery shopper’ contacted an equal number of treatment and control schools.</w:t>
      </w:r>
    </w:p>
    <w:p w14:paraId="772586C2" w14:textId="48FCB9F1" w:rsidR="00F63F94" w:rsidRDefault="00F63F94" w:rsidP="009C4674">
      <w:pPr>
        <w:pStyle w:val="Heading3"/>
      </w:pPr>
      <w:r w:rsidRPr="00316C10">
        <w:t>Measurement</w:t>
      </w:r>
    </w:p>
    <w:p w14:paraId="0F5C1DBB" w14:textId="77777777" w:rsidR="00316C10" w:rsidRPr="00316C10" w:rsidRDefault="00316C10" w:rsidP="00EA648F">
      <w:pPr>
        <w:spacing w:after="0"/>
      </w:pPr>
    </w:p>
    <w:p w14:paraId="772586C3" w14:textId="77777777" w:rsidR="00F63F94" w:rsidRPr="00CB256D" w:rsidRDefault="00F63F94" w:rsidP="00F63F94">
      <w:pPr>
        <w:spacing w:after="120" w:line="240" w:lineRule="auto"/>
        <w:jc w:val="both"/>
        <w:rPr>
          <w:rFonts w:ascii="Calibri" w:hAnsi="Calibri" w:cs="Calibri"/>
          <w:sz w:val="24"/>
          <w:szCs w:val="24"/>
          <w:lang w:val="en-GB"/>
        </w:rPr>
      </w:pPr>
      <w:r w:rsidRPr="00CB256D">
        <w:rPr>
          <w:rFonts w:ascii="Calibri" w:hAnsi="Calibri" w:cs="Calibri"/>
          <w:sz w:val="24"/>
          <w:szCs w:val="24"/>
          <w:lang w:val="en-GB"/>
        </w:rPr>
        <w:t xml:space="preserve">Since data </w:t>
      </w:r>
      <w:r w:rsidRPr="00CB256D">
        <w:rPr>
          <w:rFonts w:ascii="Calibri" w:hAnsi="Calibri" w:cs="Calibri"/>
          <w:noProof/>
          <w:sz w:val="24"/>
          <w:szCs w:val="24"/>
          <w:lang w:val="en-GB"/>
        </w:rPr>
        <w:t>were</w:t>
      </w:r>
      <w:r w:rsidRPr="00CB256D">
        <w:rPr>
          <w:rFonts w:ascii="Calibri" w:hAnsi="Calibri" w:cs="Calibri"/>
          <w:sz w:val="24"/>
          <w:szCs w:val="24"/>
          <w:lang w:val="en-GB"/>
        </w:rPr>
        <w:t xml:space="preserve"> collected through telephone conversations in natural conditions, the qualitative data had to be transformed to quantitative measures</w:t>
      </w:r>
      <w:r w:rsidRPr="00CB256D">
        <w:rPr>
          <w:rFonts w:ascii="Calibri" w:hAnsi="Calibri" w:cs="Calibri"/>
          <w:sz w:val="24"/>
          <w:szCs w:val="24"/>
        </w:rPr>
        <w:t xml:space="preserve">. To guarantee the robustness of the quantitative data, the evaluation of the outcomes was performed by independent raters. </w:t>
      </w:r>
      <w:r w:rsidRPr="00CB256D">
        <w:rPr>
          <w:rFonts w:ascii="Calibri" w:hAnsi="Calibri" w:cs="Calibri"/>
          <w:sz w:val="24"/>
          <w:szCs w:val="24"/>
          <w:lang w:val="en-GB"/>
        </w:rPr>
        <w:t xml:space="preserve">Since Serbian law prohibits the recording of telephone conversations, the team hired associates who listened to the telephone conversations and wrote them down </w:t>
      </w:r>
      <w:r w:rsidRPr="00CB256D">
        <w:rPr>
          <w:rFonts w:ascii="Calibri" w:hAnsi="Calibri" w:cs="Calibri"/>
          <w:noProof/>
          <w:sz w:val="24"/>
          <w:szCs w:val="24"/>
          <w:lang w:val="en-GB"/>
        </w:rPr>
        <w:t>verbatim</w:t>
      </w:r>
      <w:r w:rsidRPr="00CB256D">
        <w:rPr>
          <w:rFonts w:ascii="Calibri" w:hAnsi="Calibri" w:cs="Calibri"/>
          <w:sz w:val="24"/>
          <w:szCs w:val="24"/>
          <w:lang w:val="en-GB"/>
        </w:rPr>
        <w:t xml:space="preserve"> but without recording the schools’ names, or any other information which might reveal the schools’ identity. The transcripts were then </w:t>
      </w:r>
      <w:r w:rsidRPr="00CB256D">
        <w:rPr>
          <w:rFonts w:ascii="Calibri" w:hAnsi="Calibri" w:cs="Calibri"/>
          <w:noProof/>
          <w:sz w:val="24"/>
          <w:szCs w:val="24"/>
          <w:lang w:val="en-GB"/>
        </w:rPr>
        <w:t>analyzed</w:t>
      </w:r>
      <w:r w:rsidRPr="00CB256D">
        <w:rPr>
          <w:rFonts w:ascii="Calibri" w:hAnsi="Calibri" w:cs="Calibri"/>
          <w:sz w:val="24"/>
          <w:szCs w:val="24"/>
          <w:lang w:val="en-GB"/>
        </w:rPr>
        <w:t xml:space="preserve"> by the independent raters. </w:t>
      </w:r>
    </w:p>
    <w:p w14:paraId="772586C4" w14:textId="77777777" w:rsidR="00F63F94" w:rsidRPr="00CB256D" w:rsidRDefault="00F63F94" w:rsidP="00EA648F">
      <w:pPr>
        <w:spacing w:after="0" w:line="240" w:lineRule="auto"/>
        <w:jc w:val="both"/>
        <w:rPr>
          <w:rFonts w:ascii="Calibri" w:hAnsi="Calibri" w:cs="Calibri"/>
          <w:sz w:val="24"/>
          <w:szCs w:val="24"/>
          <w:lang w:val="en-GB"/>
        </w:rPr>
      </w:pPr>
      <w:r w:rsidRPr="00CB256D">
        <w:rPr>
          <w:rFonts w:ascii="Calibri" w:hAnsi="Calibri" w:cs="Calibri"/>
          <w:sz w:val="24"/>
          <w:szCs w:val="24"/>
          <w:lang w:val="en-GB"/>
        </w:rPr>
        <w:t xml:space="preserve">The instructions and explanations given to the raters were limited to what was necessary for the completion of their task. The raters conducted the evaluations on Ipsos premises and were seated so that they could not interact among themselves. </w:t>
      </w:r>
    </w:p>
    <w:p w14:paraId="27913354" w14:textId="77777777" w:rsidR="00CB256D" w:rsidRDefault="00CB256D" w:rsidP="009C4674">
      <w:pPr>
        <w:pStyle w:val="Heading3"/>
      </w:pPr>
    </w:p>
    <w:p w14:paraId="0E7A6183" w14:textId="77777777" w:rsidR="00316C10" w:rsidRPr="00316C10" w:rsidRDefault="00F63F94" w:rsidP="009C4674">
      <w:pPr>
        <w:pStyle w:val="Heading3"/>
      </w:pPr>
      <w:r w:rsidRPr="00316C10">
        <w:t>Rater reliability</w:t>
      </w:r>
    </w:p>
    <w:p w14:paraId="086AF795" w14:textId="77777777" w:rsidR="00CB256D" w:rsidRDefault="00CB256D" w:rsidP="00EA648F">
      <w:pPr>
        <w:spacing w:after="0" w:line="240" w:lineRule="auto"/>
        <w:jc w:val="both"/>
        <w:rPr>
          <w:rFonts w:ascii="Calibri" w:hAnsi="Calibri" w:cs="Calibri"/>
          <w:lang w:val="en-GB"/>
        </w:rPr>
      </w:pPr>
    </w:p>
    <w:p w14:paraId="772586C6" w14:textId="07FB9897" w:rsidR="00F63F94" w:rsidRPr="001F7EB4" w:rsidRDefault="00F63F94" w:rsidP="00F63F94">
      <w:pPr>
        <w:spacing w:after="120" w:line="240" w:lineRule="auto"/>
        <w:jc w:val="both"/>
        <w:rPr>
          <w:rFonts w:ascii="Calibri" w:hAnsi="Calibri" w:cs="Calibri"/>
          <w:lang w:val="en-GB"/>
        </w:rPr>
      </w:pPr>
      <w:r w:rsidRPr="001F7EB4">
        <w:rPr>
          <w:rFonts w:ascii="Calibri" w:hAnsi="Calibri" w:cs="Calibri"/>
          <w:lang w:val="en-GB"/>
        </w:rPr>
        <w:t>The agreement on the outcomes evaluations among the three raters was found to be quite satisfactory. The inter-rater reliability expressed by the</w:t>
      </w:r>
      <w:r w:rsidRPr="001F7EB4">
        <w:rPr>
          <w:rFonts w:ascii="Calibri" w:hAnsi="Calibri" w:cs="Calibri"/>
        </w:rPr>
        <w:t xml:space="preserve"> intraclass</w:t>
      </w:r>
      <w:r w:rsidRPr="001F7EB4">
        <w:rPr>
          <w:rFonts w:ascii="Calibri" w:hAnsi="Calibri" w:cs="Calibri"/>
          <w:lang w:val="en-GB"/>
        </w:rPr>
        <w:t xml:space="preserve"> correlation coefficient (ICC) </w:t>
      </w:r>
      <w:r w:rsidRPr="001F7EB4">
        <w:rPr>
          <w:rStyle w:val="FootnoteReference"/>
          <w:rFonts w:ascii="Calibri" w:hAnsi="Calibri" w:cs="Calibri"/>
          <w:lang w:val="en-GB"/>
        </w:rPr>
        <w:footnoteReference w:id="4"/>
      </w:r>
      <w:r w:rsidRPr="001F7EB4">
        <w:rPr>
          <w:rFonts w:ascii="Calibri" w:hAnsi="Calibri" w:cs="Calibri"/>
          <w:lang w:val="en-GB"/>
        </w:rPr>
        <w:t xml:space="preserve"> was as high as 0.89 </w:t>
      </w:r>
      <w:r w:rsidRPr="001F7EB4">
        <w:rPr>
          <w:rStyle w:val="FootnoteReference"/>
          <w:rFonts w:ascii="Calibri" w:hAnsi="Calibri" w:cs="Calibri"/>
          <w:lang w:val="en-GB"/>
        </w:rPr>
        <w:footnoteReference w:id="5"/>
      </w:r>
      <w:r w:rsidRPr="001F7EB4">
        <w:rPr>
          <w:rFonts w:ascii="Calibri" w:hAnsi="Calibri" w:cs="Calibri"/>
          <w:lang w:val="en-GB"/>
        </w:rPr>
        <w:t xml:space="preserve">.  Since the inter-rater reliability was satisfactory, the average ratings of the three raters were used as the final measures of the outcomes. </w:t>
      </w:r>
    </w:p>
    <w:p w14:paraId="772586C8" w14:textId="17FDB6F5" w:rsidR="00F63F94" w:rsidRPr="00316C10" w:rsidRDefault="00F63F94" w:rsidP="00EA648F">
      <w:pPr>
        <w:pStyle w:val="Heading2"/>
        <w:spacing w:before="240" w:after="240"/>
        <w:contextualSpacing w:val="0"/>
        <w:jc w:val="both"/>
        <w:rPr>
          <w:rFonts w:cs="Arial"/>
          <w:color w:val="2F5496" w:themeColor="accent1" w:themeShade="BF"/>
          <w:spacing w:val="0"/>
          <w:kern w:val="0"/>
          <w:sz w:val="30"/>
          <w:szCs w:val="30"/>
        </w:rPr>
      </w:pPr>
      <w:bookmarkStart w:id="55" w:name="_Toc508872588"/>
      <w:r w:rsidRPr="00316C10">
        <w:rPr>
          <w:rFonts w:cs="Arial"/>
          <w:color w:val="2F5496" w:themeColor="accent1" w:themeShade="BF"/>
          <w:spacing w:val="0"/>
          <w:kern w:val="0"/>
          <w:sz w:val="30"/>
          <w:szCs w:val="30"/>
        </w:rPr>
        <w:lastRenderedPageBreak/>
        <w:t>Renting Experiment</w:t>
      </w:r>
      <w:bookmarkEnd w:id="55"/>
      <w:r w:rsidRPr="00316C10">
        <w:rPr>
          <w:rFonts w:cs="Arial"/>
          <w:color w:val="2F5496" w:themeColor="accent1" w:themeShade="BF"/>
          <w:spacing w:val="0"/>
          <w:kern w:val="0"/>
          <w:sz w:val="30"/>
          <w:szCs w:val="30"/>
        </w:rPr>
        <w:t xml:space="preserve"> </w:t>
      </w:r>
    </w:p>
    <w:p w14:paraId="772586C9" w14:textId="77777777" w:rsidR="00F63F94" w:rsidRDefault="00F63F94" w:rsidP="009C4674">
      <w:pPr>
        <w:pStyle w:val="Heading3"/>
      </w:pPr>
      <w:r w:rsidRPr="00316C10">
        <w:t>Independent (treatment) and dependent variables</w:t>
      </w:r>
    </w:p>
    <w:p w14:paraId="42288C8A" w14:textId="77777777" w:rsidR="00316C10" w:rsidRPr="00316C10" w:rsidRDefault="00316C10" w:rsidP="000613F3">
      <w:pPr>
        <w:spacing w:after="0"/>
      </w:pPr>
    </w:p>
    <w:p w14:paraId="772586CA" w14:textId="77777777" w:rsidR="00F63F94" w:rsidRPr="00CB256D" w:rsidRDefault="00F63F94" w:rsidP="00F63F94">
      <w:pPr>
        <w:spacing w:after="120" w:line="240" w:lineRule="auto"/>
        <w:jc w:val="both"/>
        <w:rPr>
          <w:rFonts w:ascii="Calibri" w:hAnsi="Calibri" w:cs="Calibri"/>
          <w:sz w:val="24"/>
          <w:szCs w:val="24"/>
          <w:lang w:val="en-GB"/>
        </w:rPr>
      </w:pPr>
      <w:r w:rsidRPr="00CB256D">
        <w:rPr>
          <w:rFonts w:ascii="Calibri" w:hAnsi="Calibri" w:cs="Calibri"/>
          <w:sz w:val="24"/>
          <w:szCs w:val="24"/>
          <w:lang w:val="en-GB"/>
        </w:rPr>
        <w:t xml:space="preserve">Sexual orientation was chosen as the treatment variable (independent variable) for the </w:t>
      </w:r>
      <w:r w:rsidRPr="00CB256D">
        <w:rPr>
          <w:rFonts w:ascii="Calibri" w:hAnsi="Calibri" w:cs="Calibri"/>
          <w:noProof/>
          <w:sz w:val="24"/>
          <w:szCs w:val="24"/>
          <w:lang w:val="en-GB"/>
        </w:rPr>
        <w:t>experiment</w:t>
      </w:r>
      <w:r w:rsidRPr="00CB256D">
        <w:rPr>
          <w:rFonts w:ascii="Calibri" w:hAnsi="Calibri" w:cs="Calibri"/>
          <w:sz w:val="24"/>
          <w:szCs w:val="24"/>
          <w:lang w:val="en-GB"/>
        </w:rPr>
        <w:t xml:space="preserve"> because compared to other parts of the LGBTI community, lesbian women and gay men are the most visible in Serbia. As such, open expression of sexual orientation was not expected to make a landlord suspicious of the genuineness of the rental inquiry. The dependent variable is the </w:t>
      </w:r>
      <w:r w:rsidRPr="00CB256D">
        <w:rPr>
          <w:rFonts w:ascii="Calibri" w:hAnsi="Calibri" w:cs="Calibri"/>
          <w:noProof/>
          <w:sz w:val="24"/>
          <w:szCs w:val="24"/>
          <w:lang w:val="en-GB"/>
        </w:rPr>
        <w:t>readiness</w:t>
      </w:r>
      <w:r w:rsidRPr="00CB256D">
        <w:rPr>
          <w:rFonts w:ascii="Calibri" w:hAnsi="Calibri" w:cs="Calibri"/>
          <w:sz w:val="24"/>
          <w:szCs w:val="24"/>
          <w:lang w:val="en-GB"/>
        </w:rPr>
        <w:t xml:space="preserve"> of the landlord to rent the apartment to the couple. </w:t>
      </w:r>
    </w:p>
    <w:p w14:paraId="772586CB" w14:textId="77777777" w:rsidR="00F63F94" w:rsidRPr="00316C10" w:rsidRDefault="00F63F94" w:rsidP="009C4674">
      <w:pPr>
        <w:pStyle w:val="Heading3"/>
      </w:pPr>
      <w:r w:rsidRPr="00316C10">
        <w:t>Experimental design</w:t>
      </w:r>
    </w:p>
    <w:p w14:paraId="28A46DB7" w14:textId="77777777" w:rsidR="00316C10" w:rsidRPr="001F7EB4" w:rsidRDefault="00316C10" w:rsidP="000613F3">
      <w:pPr>
        <w:spacing w:after="0" w:line="240" w:lineRule="auto"/>
        <w:jc w:val="both"/>
        <w:rPr>
          <w:rFonts w:ascii="Calibri" w:hAnsi="Calibri" w:cs="Calibri"/>
          <w:b/>
          <w:i/>
          <w:color w:val="0070C0"/>
          <w:sz w:val="24"/>
          <w:szCs w:val="24"/>
          <w:lang w:val="en-GB"/>
        </w:rPr>
      </w:pPr>
    </w:p>
    <w:p w14:paraId="772586CC" w14:textId="77777777" w:rsidR="00F63F94" w:rsidRPr="00CB256D" w:rsidRDefault="00F63F94" w:rsidP="00251537">
      <w:pPr>
        <w:spacing w:after="0" w:line="240" w:lineRule="auto"/>
        <w:jc w:val="both"/>
        <w:rPr>
          <w:rFonts w:ascii="Calibri" w:hAnsi="Calibri" w:cs="Calibri"/>
          <w:sz w:val="24"/>
          <w:szCs w:val="24"/>
          <w:lang w:val="en-GB"/>
        </w:rPr>
      </w:pPr>
      <w:r w:rsidRPr="00CB256D">
        <w:rPr>
          <w:rFonts w:ascii="Calibri" w:hAnsi="Calibri" w:cs="Calibri"/>
          <w:sz w:val="24"/>
          <w:szCs w:val="24"/>
          <w:lang w:val="en-GB"/>
        </w:rPr>
        <w:t xml:space="preserve">The experiment had two treatment groups, a lesbian and a gay couple, and two corresponding control groups of heterosexual couples. Landlords were randomly assigned to either a gay or lesbian couple and a corresponding heterosexual couple. Each landlord was contacted twice – by the same-sex couple (treatment group) and by a corresponding heterosexual couple (control group). </w:t>
      </w:r>
      <w:r w:rsidRPr="00CB256D">
        <w:rPr>
          <w:rFonts w:ascii="Calibri" w:hAnsi="Calibri" w:cs="Calibri"/>
          <w:sz w:val="24"/>
          <w:szCs w:val="24"/>
        </w:rPr>
        <w:t xml:space="preserve">When the lesbian couple contacted the landlord, the female member of the heterosexual couple would be the one contacting the same landlord as a control for any gender bias. </w:t>
      </w:r>
      <w:r w:rsidRPr="00CB256D">
        <w:rPr>
          <w:rFonts w:ascii="Calibri" w:hAnsi="Calibri" w:cs="Calibri"/>
          <w:sz w:val="24"/>
          <w:szCs w:val="24"/>
          <w:lang w:val="en-GB"/>
        </w:rPr>
        <w:t xml:space="preserve">The same applies to the gay couple, where the male member of the heterosexual couple contacted the landlord. </w:t>
      </w:r>
    </w:p>
    <w:p w14:paraId="0AA8CF59" w14:textId="77777777" w:rsidR="00CB256D" w:rsidRDefault="00CB256D" w:rsidP="009C4674">
      <w:pPr>
        <w:pStyle w:val="Heading3"/>
      </w:pPr>
    </w:p>
    <w:p w14:paraId="772586CD" w14:textId="77777777" w:rsidR="00F63F94" w:rsidRPr="009C4674" w:rsidRDefault="00F63F94" w:rsidP="009C4674">
      <w:pPr>
        <w:pStyle w:val="Heading3"/>
      </w:pPr>
      <w:r w:rsidRPr="009C4674">
        <w:t xml:space="preserve">Data collection method </w:t>
      </w:r>
    </w:p>
    <w:p w14:paraId="09273000" w14:textId="77777777" w:rsidR="00CB256D" w:rsidRDefault="00CB256D" w:rsidP="000613F3">
      <w:pPr>
        <w:spacing w:after="0" w:line="240" w:lineRule="auto"/>
        <w:jc w:val="both"/>
        <w:rPr>
          <w:rFonts w:ascii="Calibri" w:hAnsi="Calibri" w:cs="Calibri"/>
          <w:sz w:val="24"/>
          <w:szCs w:val="24"/>
          <w:lang w:val="en-GB"/>
        </w:rPr>
      </w:pPr>
    </w:p>
    <w:p w14:paraId="772586CE" w14:textId="77777777" w:rsidR="00F63F94" w:rsidRPr="00316C10" w:rsidRDefault="00F63F94" w:rsidP="00F63F94">
      <w:pPr>
        <w:spacing w:after="120" w:line="240" w:lineRule="auto"/>
        <w:jc w:val="both"/>
        <w:rPr>
          <w:rFonts w:ascii="Calibri" w:hAnsi="Calibri" w:cs="Calibri"/>
          <w:sz w:val="24"/>
          <w:szCs w:val="24"/>
          <w:lang w:val="en-GB"/>
        </w:rPr>
      </w:pPr>
      <w:r w:rsidRPr="00316C10">
        <w:rPr>
          <w:rFonts w:ascii="Calibri" w:hAnsi="Calibri" w:cs="Calibri"/>
          <w:sz w:val="24"/>
          <w:szCs w:val="24"/>
          <w:lang w:val="en-GB"/>
        </w:rPr>
        <w:t>Communication with the landlords was conducted by telephone. Members of the Ipsos research team who have vast experience in conducting ‘mystery shopper’ surveys conducted the interviews. The ‘mystery shoppers’ attended an additional training prior to participating in the experiment.</w:t>
      </w:r>
    </w:p>
    <w:p w14:paraId="772586CF" w14:textId="77777777" w:rsidR="00F63F94" w:rsidRPr="00316C10" w:rsidRDefault="00F63F94" w:rsidP="00EA648F">
      <w:pPr>
        <w:spacing w:after="0" w:line="240" w:lineRule="auto"/>
        <w:jc w:val="both"/>
        <w:rPr>
          <w:rFonts w:ascii="Calibri" w:hAnsi="Calibri" w:cs="Calibri"/>
          <w:sz w:val="24"/>
          <w:szCs w:val="24"/>
          <w:lang w:val="en-GB"/>
        </w:rPr>
      </w:pPr>
      <w:r w:rsidRPr="00316C10">
        <w:rPr>
          <w:rFonts w:ascii="Calibri" w:hAnsi="Calibri" w:cs="Calibri"/>
          <w:sz w:val="24"/>
          <w:szCs w:val="24"/>
          <w:lang w:val="en-GB"/>
        </w:rPr>
        <w:t xml:space="preserve">Data collection was conducted in the period from 10 to 22 </w:t>
      </w:r>
      <w:r w:rsidRPr="00316C10">
        <w:rPr>
          <w:rFonts w:ascii="Calibri" w:hAnsi="Calibri" w:cs="Calibri"/>
          <w:noProof/>
          <w:sz w:val="24"/>
          <w:szCs w:val="24"/>
          <w:lang w:val="en-GB"/>
        </w:rPr>
        <w:t>February</w:t>
      </w:r>
      <w:r w:rsidRPr="00316C10">
        <w:rPr>
          <w:rFonts w:ascii="Calibri" w:hAnsi="Calibri" w:cs="Calibri"/>
          <w:sz w:val="24"/>
          <w:szCs w:val="24"/>
          <w:lang w:val="en-GB"/>
        </w:rPr>
        <w:t xml:space="preserve"> 2017.</w:t>
      </w:r>
    </w:p>
    <w:p w14:paraId="3F6918FC" w14:textId="77777777" w:rsidR="00CB256D" w:rsidRDefault="00CB256D" w:rsidP="009C4674">
      <w:pPr>
        <w:pStyle w:val="Heading3"/>
      </w:pPr>
    </w:p>
    <w:p w14:paraId="772586D0" w14:textId="77777777" w:rsidR="00F63F94" w:rsidRPr="00316C10" w:rsidRDefault="00F63F94" w:rsidP="009C4674">
      <w:pPr>
        <w:pStyle w:val="Heading3"/>
      </w:pPr>
      <w:r w:rsidRPr="00316C10">
        <w:t>Scenario of the telephone conversation</w:t>
      </w:r>
    </w:p>
    <w:p w14:paraId="0ECFD311" w14:textId="77777777" w:rsidR="00316C10" w:rsidRDefault="00316C10" w:rsidP="000613F3">
      <w:pPr>
        <w:spacing w:after="0" w:line="240" w:lineRule="auto"/>
        <w:jc w:val="both"/>
        <w:rPr>
          <w:rFonts w:ascii="Calibri" w:hAnsi="Calibri" w:cs="Calibri"/>
          <w:lang w:val="en-GB"/>
        </w:rPr>
      </w:pPr>
    </w:p>
    <w:p w14:paraId="772586D1" w14:textId="77777777" w:rsidR="00F63F94" w:rsidRPr="00CB256D" w:rsidRDefault="00F63F94" w:rsidP="00F63F94">
      <w:pPr>
        <w:spacing w:after="120" w:line="240" w:lineRule="auto"/>
        <w:jc w:val="both"/>
        <w:rPr>
          <w:rFonts w:ascii="Calibri" w:hAnsi="Calibri" w:cs="Calibri"/>
          <w:sz w:val="24"/>
          <w:szCs w:val="24"/>
          <w:lang w:val="en-GB"/>
        </w:rPr>
      </w:pPr>
      <w:r w:rsidRPr="00CB256D">
        <w:rPr>
          <w:rFonts w:ascii="Calibri" w:hAnsi="Calibri" w:cs="Calibri"/>
          <w:sz w:val="24"/>
          <w:szCs w:val="24"/>
          <w:lang w:val="en-GB"/>
        </w:rPr>
        <w:t>The telephone conversation scenario was as follows:</w:t>
      </w:r>
    </w:p>
    <w:p w14:paraId="772586D3" w14:textId="77777777" w:rsidR="00F63F94" w:rsidRPr="00CB256D" w:rsidRDefault="00F63F94" w:rsidP="00F63F94">
      <w:pPr>
        <w:pStyle w:val="ListParagraph"/>
        <w:numPr>
          <w:ilvl w:val="0"/>
          <w:numId w:val="1"/>
        </w:numPr>
        <w:spacing w:after="120" w:line="240" w:lineRule="auto"/>
        <w:ind w:left="360" w:hanging="270"/>
        <w:contextualSpacing w:val="0"/>
        <w:jc w:val="both"/>
        <w:rPr>
          <w:rFonts w:ascii="Calibri" w:hAnsi="Calibri" w:cs="Calibri"/>
          <w:sz w:val="24"/>
          <w:szCs w:val="24"/>
          <w:lang w:val="en-GB"/>
        </w:rPr>
      </w:pPr>
      <w:r w:rsidRPr="00CB256D">
        <w:rPr>
          <w:rFonts w:ascii="Calibri" w:hAnsi="Calibri" w:cs="Calibri"/>
          <w:sz w:val="24"/>
          <w:szCs w:val="24"/>
          <w:lang w:val="en-GB"/>
        </w:rPr>
        <w:t>At the beginning of the conversation, to ensure naturalness and convey a serious interest in renting the apartment, the mystery shopper asks for information that was referred to in the advertisement (e.g. Internet connection, cable television, parking space, how many floors in the building, payment details, etc.).</w:t>
      </w:r>
    </w:p>
    <w:p w14:paraId="772586D4" w14:textId="77777777" w:rsidR="00F63F94" w:rsidRPr="00CB256D" w:rsidRDefault="00F63F94" w:rsidP="00F63F94">
      <w:pPr>
        <w:pStyle w:val="ListParagraph"/>
        <w:numPr>
          <w:ilvl w:val="0"/>
          <w:numId w:val="1"/>
        </w:numPr>
        <w:spacing w:after="120" w:line="240" w:lineRule="auto"/>
        <w:ind w:left="360" w:hanging="270"/>
        <w:contextualSpacing w:val="0"/>
        <w:jc w:val="both"/>
        <w:rPr>
          <w:rFonts w:ascii="Calibri" w:hAnsi="Calibri" w:cs="Calibri"/>
          <w:sz w:val="24"/>
          <w:szCs w:val="24"/>
          <w:lang w:val="en-GB"/>
        </w:rPr>
      </w:pPr>
      <w:r w:rsidRPr="00CB256D">
        <w:rPr>
          <w:rFonts w:ascii="Calibri" w:hAnsi="Calibri" w:cs="Calibri"/>
          <w:sz w:val="24"/>
          <w:szCs w:val="24"/>
          <w:lang w:val="en-GB"/>
        </w:rPr>
        <w:t xml:space="preserve">Thereafter, the mystery shopper states that the terms are acceptable and says that there will be two tenants in the apartment. In the control group, the two people are a heterosexual couple. In the treatment group, the two people are either two men or two women in a relationship and living together. The mystery shopper then asks when they could come to see the apartment. </w:t>
      </w:r>
    </w:p>
    <w:p w14:paraId="772586D5" w14:textId="77777777" w:rsidR="00F63F94" w:rsidRPr="00CB256D" w:rsidRDefault="00F63F94" w:rsidP="00F63F94">
      <w:pPr>
        <w:pStyle w:val="ListParagraph"/>
        <w:numPr>
          <w:ilvl w:val="0"/>
          <w:numId w:val="1"/>
        </w:numPr>
        <w:spacing w:after="120" w:line="240" w:lineRule="auto"/>
        <w:ind w:left="360" w:hanging="270"/>
        <w:contextualSpacing w:val="0"/>
        <w:jc w:val="both"/>
        <w:rPr>
          <w:rFonts w:ascii="Calibri" w:hAnsi="Calibri" w:cs="Calibri"/>
          <w:sz w:val="24"/>
          <w:szCs w:val="24"/>
          <w:lang w:val="en-GB"/>
        </w:rPr>
      </w:pPr>
      <w:r w:rsidRPr="00CB256D">
        <w:rPr>
          <w:rFonts w:ascii="Calibri" w:hAnsi="Calibri" w:cs="Calibri"/>
          <w:sz w:val="24"/>
          <w:szCs w:val="24"/>
          <w:lang w:val="en-GB"/>
        </w:rPr>
        <w:t xml:space="preserve">If the answer is positive, the mystery shopper says that he/she will decide with his/her partner and call back to schedule the time to inspect the apartment. If the answer is negative, the mystery shopper kindly asks about the reason for rejection, and without further </w:t>
      </w:r>
      <w:r w:rsidRPr="00CB256D">
        <w:rPr>
          <w:rFonts w:ascii="Calibri" w:hAnsi="Calibri" w:cs="Calibri"/>
          <w:noProof/>
          <w:sz w:val="24"/>
          <w:szCs w:val="24"/>
          <w:lang w:val="en-GB"/>
        </w:rPr>
        <w:t>discussion,</w:t>
      </w:r>
      <w:r w:rsidRPr="00CB256D">
        <w:rPr>
          <w:rFonts w:ascii="Calibri" w:hAnsi="Calibri" w:cs="Calibri"/>
          <w:sz w:val="24"/>
          <w:szCs w:val="24"/>
          <w:lang w:val="en-GB"/>
        </w:rPr>
        <w:t xml:space="preserve"> he/she thanks the landlord and concludes the conversation. </w:t>
      </w:r>
    </w:p>
    <w:p w14:paraId="772586D6" w14:textId="77777777" w:rsidR="00F63F94" w:rsidRPr="00CB256D" w:rsidRDefault="00F63F94" w:rsidP="00EA648F">
      <w:pPr>
        <w:spacing w:after="0" w:line="240" w:lineRule="auto"/>
        <w:jc w:val="both"/>
        <w:rPr>
          <w:rFonts w:ascii="Calibri" w:hAnsi="Calibri" w:cs="Calibri"/>
          <w:sz w:val="24"/>
          <w:szCs w:val="24"/>
          <w:lang w:val="en-GB"/>
        </w:rPr>
      </w:pPr>
      <w:r w:rsidRPr="00CB256D">
        <w:rPr>
          <w:rFonts w:ascii="Calibri" w:hAnsi="Calibri" w:cs="Calibri"/>
          <w:sz w:val="24"/>
          <w:szCs w:val="24"/>
          <w:lang w:val="en-GB"/>
        </w:rPr>
        <w:lastRenderedPageBreak/>
        <w:t xml:space="preserve">If the landlord asked additional questions about the age and/or income of potential tenants the mystery shoppers in both experimental and control groups gave the same answers: the couples are between 30 and 34 years old, employed, and they have a regular income. </w:t>
      </w:r>
    </w:p>
    <w:p w14:paraId="772586D7" w14:textId="77777777" w:rsidR="00F63F94" w:rsidRDefault="00F63F94" w:rsidP="000613F3">
      <w:pPr>
        <w:spacing w:after="0" w:line="240" w:lineRule="auto"/>
        <w:jc w:val="both"/>
        <w:rPr>
          <w:rFonts w:ascii="Calibri" w:hAnsi="Calibri" w:cs="Calibri"/>
          <w:b/>
          <w:i/>
          <w:color w:val="5B9BD5" w:themeColor="accent5"/>
          <w:sz w:val="24"/>
          <w:lang w:val="en-GB"/>
        </w:rPr>
      </w:pPr>
    </w:p>
    <w:p w14:paraId="772586D8" w14:textId="77777777" w:rsidR="00F63F94" w:rsidRDefault="00F63F94" w:rsidP="009C4674">
      <w:pPr>
        <w:pStyle w:val="Heading3"/>
      </w:pPr>
      <w:r w:rsidRPr="00316C10">
        <w:t>Sampling of landlords, number of observations and assignment of landlords and ‘mystery shoppers’ to treatment and control groups</w:t>
      </w:r>
    </w:p>
    <w:p w14:paraId="0FFCCBCE" w14:textId="77777777" w:rsidR="00316C10" w:rsidRPr="00316C10" w:rsidRDefault="00316C10" w:rsidP="00251537">
      <w:pPr>
        <w:spacing w:after="0"/>
      </w:pPr>
    </w:p>
    <w:p w14:paraId="772586D9" w14:textId="77777777" w:rsidR="00F63F94" w:rsidRPr="00CB256D" w:rsidRDefault="00F63F94" w:rsidP="00EA648F">
      <w:pPr>
        <w:spacing w:after="240" w:line="240" w:lineRule="auto"/>
        <w:jc w:val="both"/>
        <w:rPr>
          <w:rFonts w:ascii="Calibri" w:hAnsi="Calibri" w:cs="Calibri"/>
          <w:sz w:val="24"/>
          <w:szCs w:val="24"/>
          <w:lang w:val="en-GB"/>
        </w:rPr>
      </w:pPr>
      <w:r w:rsidRPr="00CB256D">
        <w:rPr>
          <w:rFonts w:ascii="Calibri" w:hAnsi="Calibri" w:cs="Calibri"/>
          <w:sz w:val="24"/>
          <w:szCs w:val="24"/>
          <w:lang w:val="en-GB"/>
        </w:rPr>
        <w:t xml:space="preserve">The sampling frame included landlords who advertised apartments for rent directly (i.e. not through an agency). As landlords are the final decision makers regarding the rentals, surveying agencies would have required a different, and more complex experimental scenario. </w:t>
      </w:r>
    </w:p>
    <w:p w14:paraId="772586DA" w14:textId="77777777" w:rsidR="00F63F94" w:rsidRPr="00CB256D" w:rsidRDefault="00F63F94" w:rsidP="00EA648F">
      <w:pPr>
        <w:spacing w:after="240" w:line="240" w:lineRule="auto"/>
        <w:jc w:val="both"/>
        <w:rPr>
          <w:rFonts w:ascii="Calibri" w:hAnsi="Calibri" w:cs="Calibri"/>
          <w:sz w:val="24"/>
          <w:szCs w:val="24"/>
          <w:lang w:val="en-GB"/>
        </w:rPr>
      </w:pPr>
      <w:r w:rsidRPr="00CB256D">
        <w:rPr>
          <w:rFonts w:ascii="Calibri" w:hAnsi="Calibri" w:cs="Calibri"/>
          <w:sz w:val="24"/>
          <w:szCs w:val="24"/>
          <w:lang w:val="en-GB"/>
        </w:rPr>
        <w:t>The landlords’ advertisements, were randomly selected from apartment rental websites in four cities (Belgrade, Nis, Novi Sad and</w:t>
      </w:r>
      <w:r w:rsidRPr="00CB256D">
        <w:rPr>
          <w:rFonts w:ascii="Calibri" w:hAnsi="Calibri" w:cs="Calibri"/>
          <w:sz w:val="24"/>
          <w:szCs w:val="24"/>
        </w:rPr>
        <w:t xml:space="preserve"> Kragujevac</w:t>
      </w:r>
      <w:r w:rsidRPr="00CB256D">
        <w:rPr>
          <w:rFonts w:ascii="Calibri" w:hAnsi="Calibri" w:cs="Calibri"/>
          <w:sz w:val="24"/>
          <w:szCs w:val="24"/>
          <w:lang w:val="en-GB"/>
        </w:rPr>
        <w:t xml:space="preserve">). In all these cities, there is a sizable rental market and the practice of renting apartments is widespread enough to fit the purpose of the experiment. The apartment rental websites in each of the cities were visited every other day during the realization of the experiment. Thus, the sample frame was refreshed with new advertisements, while the landlords who were already contacted were excluded.   </w:t>
      </w:r>
    </w:p>
    <w:p w14:paraId="772586DB" w14:textId="77777777" w:rsidR="00F63F94" w:rsidRPr="00CB256D" w:rsidRDefault="00F63F94" w:rsidP="00EA648F">
      <w:pPr>
        <w:spacing w:after="240" w:line="240" w:lineRule="auto"/>
        <w:jc w:val="both"/>
        <w:rPr>
          <w:rFonts w:ascii="Calibri" w:hAnsi="Calibri" w:cs="Calibri"/>
          <w:sz w:val="24"/>
          <w:szCs w:val="24"/>
          <w:lang w:val="en-GB"/>
        </w:rPr>
      </w:pPr>
      <w:r w:rsidRPr="00CB256D">
        <w:rPr>
          <w:rFonts w:ascii="Calibri" w:hAnsi="Calibri" w:cs="Calibri"/>
          <w:sz w:val="24"/>
          <w:szCs w:val="24"/>
          <w:lang w:val="en-GB"/>
        </w:rPr>
        <w:t>Since there were two treatment groups (lesbian couples and gay couples) and two corresponding control groups (two heterosexual couples) landlords in each city were randomly assigned to one of the treatment groups and corresponding control group, so that two independent samples of landlords were selected. In total 160</w:t>
      </w:r>
      <w:r w:rsidRPr="00CB256D">
        <w:rPr>
          <w:rFonts w:ascii="Calibri" w:hAnsi="Calibri" w:cs="Calibri"/>
          <w:i/>
          <w:sz w:val="24"/>
          <w:szCs w:val="24"/>
          <w:lang w:val="en-GB"/>
        </w:rPr>
        <w:t xml:space="preserve"> </w:t>
      </w:r>
      <w:r w:rsidRPr="00CB256D">
        <w:rPr>
          <w:rFonts w:ascii="Calibri" w:hAnsi="Calibri" w:cs="Calibri"/>
          <w:sz w:val="24"/>
          <w:szCs w:val="24"/>
          <w:lang w:val="en-GB"/>
        </w:rPr>
        <w:t>landlords were contacted: 80 were assigned to the group of gay couples (treatment) and corresponding heterosexual couples (control), and 80 to the group of lesbian couples (treatment) and corresponding heterosexual couples (control). Since each landlord was contacted twice (by the experimental and the control group), in total there were 320 observations. The sample size of landlords and the number of observations are presented in Table 2.1.1 below.</w:t>
      </w:r>
    </w:p>
    <w:p w14:paraId="702351FC" w14:textId="5EC46098" w:rsidR="00316C10" w:rsidRPr="009B1E28" w:rsidRDefault="00CB256D" w:rsidP="009C4674">
      <w:pPr>
        <w:pStyle w:val="Subtitle"/>
        <w:numPr>
          <w:ilvl w:val="0"/>
          <w:numId w:val="0"/>
        </w:numPr>
        <w:jc w:val="center"/>
      </w:pPr>
      <w:r w:rsidRPr="009B1E28">
        <w:t>Table 2.1.1: SAMPLE SIZE OF LANDLORDS AND NUMBER OF OBSERVATIONS</w:t>
      </w:r>
    </w:p>
    <w:tbl>
      <w:tblPr>
        <w:tblStyle w:val="TableGrid"/>
        <w:tblW w:w="5000" w:type="pct"/>
        <w:tblBorders>
          <w:top w:val="single" w:sz="4" w:space="0" w:color="00B1EE"/>
          <w:left w:val="single" w:sz="4" w:space="0" w:color="00B1EE"/>
          <w:bottom w:val="single" w:sz="4" w:space="0" w:color="00B1EE"/>
          <w:right w:val="single" w:sz="4" w:space="0" w:color="00B1EE"/>
          <w:insideH w:val="single" w:sz="4" w:space="0" w:color="00B1EE"/>
          <w:insideV w:val="single" w:sz="4" w:space="0" w:color="00B1EE"/>
        </w:tblBorders>
        <w:tblLook w:val="04A0" w:firstRow="1" w:lastRow="0" w:firstColumn="1" w:lastColumn="0" w:noHBand="0" w:noVBand="1"/>
      </w:tblPr>
      <w:tblGrid>
        <w:gridCol w:w="4673"/>
        <w:gridCol w:w="2218"/>
        <w:gridCol w:w="2119"/>
      </w:tblGrid>
      <w:tr w:rsidR="00F63F94" w:rsidRPr="001F7EB4" w14:paraId="772586E1" w14:textId="77777777" w:rsidTr="000613F3">
        <w:tc>
          <w:tcPr>
            <w:tcW w:w="4673" w:type="dxa"/>
            <w:shd w:val="clear" w:color="auto" w:fill="002F53"/>
            <w:hideMark/>
          </w:tcPr>
          <w:p w14:paraId="772586DE" w14:textId="77777777" w:rsidR="00F63F94" w:rsidRPr="000613F3" w:rsidRDefault="00F63F94" w:rsidP="00E12469">
            <w:pPr>
              <w:spacing w:after="120"/>
              <w:jc w:val="both"/>
              <w:rPr>
                <w:rFonts w:ascii="Calibri" w:hAnsi="Calibri" w:cs="Calibri"/>
                <w:b/>
                <w:color w:val="FFFFFF" w:themeColor="background1"/>
                <w:lang w:val="en-GB"/>
              </w:rPr>
            </w:pPr>
            <w:r w:rsidRPr="000613F3">
              <w:rPr>
                <w:rFonts w:ascii="Calibri" w:hAnsi="Calibri" w:cs="Calibri"/>
                <w:b/>
                <w:color w:val="FFFFFF" w:themeColor="background1"/>
                <w:lang w:val="en-GB"/>
              </w:rPr>
              <w:t>LANDLORDS</w:t>
            </w:r>
          </w:p>
        </w:tc>
        <w:tc>
          <w:tcPr>
            <w:tcW w:w="2218" w:type="dxa"/>
            <w:shd w:val="clear" w:color="auto" w:fill="002F53"/>
            <w:hideMark/>
          </w:tcPr>
          <w:p w14:paraId="772586DF" w14:textId="77777777" w:rsidR="00F63F94" w:rsidRPr="000613F3" w:rsidRDefault="00F63F94" w:rsidP="00E12469">
            <w:pPr>
              <w:spacing w:after="120"/>
              <w:jc w:val="both"/>
              <w:rPr>
                <w:rFonts w:ascii="Calibri" w:hAnsi="Calibri" w:cs="Calibri"/>
                <w:b/>
                <w:color w:val="FFFFFF" w:themeColor="background1"/>
                <w:lang w:val="en-GB"/>
              </w:rPr>
            </w:pPr>
            <w:r w:rsidRPr="000613F3">
              <w:rPr>
                <w:rFonts w:ascii="Calibri" w:hAnsi="Calibri" w:cs="Calibri"/>
                <w:b/>
                <w:color w:val="FFFFFF" w:themeColor="background1"/>
                <w:lang w:val="en-GB"/>
              </w:rPr>
              <w:t>Sample size=80</w:t>
            </w:r>
          </w:p>
        </w:tc>
        <w:tc>
          <w:tcPr>
            <w:tcW w:w="2119" w:type="dxa"/>
            <w:shd w:val="clear" w:color="auto" w:fill="002F53"/>
            <w:hideMark/>
          </w:tcPr>
          <w:p w14:paraId="772586E0" w14:textId="77777777" w:rsidR="00F63F94" w:rsidRPr="000613F3" w:rsidRDefault="00F63F94" w:rsidP="00E12469">
            <w:pPr>
              <w:spacing w:after="120"/>
              <w:jc w:val="both"/>
              <w:rPr>
                <w:rFonts w:ascii="Calibri" w:hAnsi="Calibri" w:cs="Calibri"/>
                <w:b/>
                <w:color w:val="FFFFFF" w:themeColor="background1"/>
                <w:lang w:val="en-GB"/>
              </w:rPr>
            </w:pPr>
            <w:r w:rsidRPr="000613F3">
              <w:rPr>
                <w:rFonts w:ascii="Calibri" w:hAnsi="Calibri" w:cs="Calibri"/>
                <w:b/>
                <w:color w:val="FFFFFF" w:themeColor="background1"/>
                <w:lang w:val="en-GB"/>
              </w:rPr>
              <w:t>Sample size =80</w:t>
            </w:r>
          </w:p>
        </w:tc>
      </w:tr>
      <w:tr w:rsidR="00F63F94" w:rsidRPr="001F7EB4" w14:paraId="772586E5" w14:textId="77777777" w:rsidTr="000613F3">
        <w:tc>
          <w:tcPr>
            <w:tcW w:w="4673" w:type="dxa"/>
            <w:shd w:val="clear" w:color="auto" w:fill="002F53"/>
          </w:tcPr>
          <w:p w14:paraId="772586E2" w14:textId="77777777" w:rsidR="00F63F94" w:rsidRPr="000613F3" w:rsidRDefault="00F63F94" w:rsidP="00E12469">
            <w:pPr>
              <w:spacing w:after="120"/>
              <w:jc w:val="both"/>
              <w:rPr>
                <w:rFonts w:ascii="Calibri" w:hAnsi="Calibri" w:cs="Calibri"/>
                <w:b/>
                <w:color w:val="FFFFFF" w:themeColor="background1"/>
                <w:lang w:val="en-GB"/>
              </w:rPr>
            </w:pPr>
          </w:p>
        </w:tc>
        <w:tc>
          <w:tcPr>
            <w:tcW w:w="2218" w:type="dxa"/>
            <w:shd w:val="clear" w:color="auto" w:fill="002F53"/>
            <w:hideMark/>
          </w:tcPr>
          <w:p w14:paraId="772586E3" w14:textId="77777777" w:rsidR="00F63F94" w:rsidRPr="000613F3" w:rsidRDefault="00F63F94" w:rsidP="00E12469">
            <w:pPr>
              <w:spacing w:after="120"/>
              <w:jc w:val="both"/>
              <w:rPr>
                <w:rFonts w:ascii="Calibri" w:hAnsi="Calibri" w:cs="Calibri"/>
                <w:b/>
                <w:color w:val="FFFFFF" w:themeColor="background1"/>
                <w:lang w:val="en-GB"/>
              </w:rPr>
            </w:pPr>
            <w:r w:rsidRPr="000613F3">
              <w:rPr>
                <w:rFonts w:ascii="Calibri" w:hAnsi="Calibri" w:cs="Calibri"/>
                <w:b/>
                <w:color w:val="FFFFFF" w:themeColor="background1"/>
                <w:lang w:val="en-GB"/>
              </w:rPr>
              <w:t>No. of observations</w:t>
            </w:r>
          </w:p>
        </w:tc>
        <w:tc>
          <w:tcPr>
            <w:tcW w:w="2119" w:type="dxa"/>
            <w:shd w:val="clear" w:color="auto" w:fill="002F53"/>
            <w:hideMark/>
          </w:tcPr>
          <w:p w14:paraId="772586E4" w14:textId="77777777" w:rsidR="00F63F94" w:rsidRPr="000613F3" w:rsidRDefault="00F63F94" w:rsidP="00E12469">
            <w:pPr>
              <w:spacing w:after="120"/>
              <w:jc w:val="both"/>
              <w:rPr>
                <w:rFonts w:ascii="Calibri" w:hAnsi="Calibri" w:cs="Calibri"/>
                <w:b/>
                <w:color w:val="FFFFFF" w:themeColor="background1"/>
                <w:lang w:val="en-GB"/>
              </w:rPr>
            </w:pPr>
            <w:r w:rsidRPr="000613F3">
              <w:rPr>
                <w:rFonts w:ascii="Calibri" w:hAnsi="Calibri" w:cs="Calibri"/>
                <w:b/>
                <w:color w:val="FFFFFF" w:themeColor="background1"/>
                <w:lang w:val="en-GB"/>
              </w:rPr>
              <w:t>No. of observations</w:t>
            </w:r>
          </w:p>
        </w:tc>
      </w:tr>
      <w:tr w:rsidR="00F63F94" w:rsidRPr="001F7EB4" w14:paraId="772586E9" w14:textId="77777777" w:rsidTr="000613F3">
        <w:tc>
          <w:tcPr>
            <w:tcW w:w="4673" w:type="dxa"/>
            <w:hideMark/>
          </w:tcPr>
          <w:p w14:paraId="772586E6" w14:textId="77777777" w:rsidR="00F63F94" w:rsidRPr="001F7EB4" w:rsidRDefault="00F63F94" w:rsidP="00E12469">
            <w:pPr>
              <w:spacing w:after="120"/>
              <w:jc w:val="both"/>
              <w:rPr>
                <w:rFonts w:ascii="Calibri" w:hAnsi="Calibri" w:cs="Calibri"/>
                <w:lang w:val="en-GB"/>
              </w:rPr>
            </w:pPr>
            <w:r w:rsidRPr="001F7EB4">
              <w:rPr>
                <w:rFonts w:ascii="Calibri" w:hAnsi="Calibri" w:cs="Calibri"/>
                <w:lang w:val="en-GB"/>
              </w:rPr>
              <w:t>Treatment – lesbian couple</w:t>
            </w:r>
          </w:p>
        </w:tc>
        <w:tc>
          <w:tcPr>
            <w:tcW w:w="2218" w:type="dxa"/>
            <w:hideMark/>
          </w:tcPr>
          <w:p w14:paraId="772586E7" w14:textId="77777777" w:rsidR="00F63F94" w:rsidRPr="001F7EB4" w:rsidRDefault="00F63F94" w:rsidP="000613F3">
            <w:pPr>
              <w:spacing w:after="120"/>
              <w:jc w:val="right"/>
              <w:rPr>
                <w:rFonts w:ascii="Calibri" w:hAnsi="Calibri" w:cs="Calibri"/>
                <w:lang w:val="en-GB"/>
              </w:rPr>
            </w:pPr>
            <w:r w:rsidRPr="001F7EB4">
              <w:rPr>
                <w:rFonts w:ascii="Calibri" w:hAnsi="Calibri" w:cs="Calibri"/>
                <w:lang w:val="en-GB"/>
              </w:rPr>
              <w:t>80</w:t>
            </w:r>
          </w:p>
        </w:tc>
        <w:tc>
          <w:tcPr>
            <w:tcW w:w="2119" w:type="dxa"/>
          </w:tcPr>
          <w:p w14:paraId="772586E8" w14:textId="19E14E31" w:rsidR="00F63F94" w:rsidRPr="001F7EB4" w:rsidRDefault="000613F3" w:rsidP="000613F3">
            <w:pPr>
              <w:spacing w:after="120"/>
              <w:jc w:val="right"/>
              <w:rPr>
                <w:rFonts w:ascii="Calibri" w:hAnsi="Calibri" w:cs="Calibri"/>
                <w:lang w:val="en-GB"/>
              </w:rPr>
            </w:pPr>
            <w:r>
              <w:rPr>
                <w:rFonts w:ascii="Calibri" w:hAnsi="Calibri" w:cs="Calibri"/>
                <w:lang w:val="en-GB"/>
              </w:rPr>
              <w:t>/</w:t>
            </w:r>
          </w:p>
        </w:tc>
      </w:tr>
      <w:tr w:rsidR="00F63F94" w:rsidRPr="001F7EB4" w14:paraId="772586ED" w14:textId="77777777" w:rsidTr="000613F3">
        <w:tc>
          <w:tcPr>
            <w:tcW w:w="4673" w:type="dxa"/>
            <w:shd w:val="clear" w:color="auto" w:fill="D9E1F3"/>
            <w:hideMark/>
          </w:tcPr>
          <w:p w14:paraId="772586EA" w14:textId="77777777" w:rsidR="00F63F94" w:rsidRPr="001F7EB4" w:rsidRDefault="00F63F94" w:rsidP="00E12469">
            <w:pPr>
              <w:spacing w:after="120"/>
              <w:jc w:val="both"/>
              <w:rPr>
                <w:rFonts w:ascii="Calibri" w:hAnsi="Calibri" w:cs="Calibri"/>
                <w:lang w:val="en-GB"/>
              </w:rPr>
            </w:pPr>
            <w:r w:rsidRPr="001F7EB4">
              <w:rPr>
                <w:rFonts w:ascii="Calibri" w:hAnsi="Calibri" w:cs="Calibri"/>
                <w:lang w:val="en-GB"/>
              </w:rPr>
              <w:t>Control – heterosexual couple, female gives a call</w:t>
            </w:r>
          </w:p>
        </w:tc>
        <w:tc>
          <w:tcPr>
            <w:tcW w:w="2218" w:type="dxa"/>
            <w:shd w:val="clear" w:color="auto" w:fill="D9E1F3"/>
            <w:hideMark/>
          </w:tcPr>
          <w:p w14:paraId="772586EB" w14:textId="77777777" w:rsidR="00F63F94" w:rsidRPr="001F7EB4" w:rsidRDefault="00F63F94" w:rsidP="000613F3">
            <w:pPr>
              <w:spacing w:after="120"/>
              <w:jc w:val="right"/>
              <w:rPr>
                <w:rFonts w:ascii="Calibri" w:hAnsi="Calibri" w:cs="Calibri"/>
                <w:lang w:val="en-GB"/>
              </w:rPr>
            </w:pPr>
            <w:r w:rsidRPr="001F7EB4">
              <w:rPr>
                <w:rFonts w:ascii="Calibri" w:hAnsi="Calibri" w:cs="Calibri"/>
                <w:lang w:val="en-GB"/>
              </w:rPr>
              <w:t>80</w:t>
            </w:r>
          </w:p>
        </w:tc>
        <w:tc>
          <w:tcPr>
            <w:tcW w:w="2119" w:type="dxa"/>
            <w:shd w:val="clear" w:color="auto" w:fill="D9E1F3"/>
          </w:tcPr>
          <w:p w14:paraId="772586EC" w14:textId="7381604D" w:rsidR="00F63F94" w:rsidRPr="001F7EB4" w:rsidRDefault="000613F3" w:rsidP="000613F3">
            <w:pPr>
              <w:spacing w:after="120"/>
              <w:jc w:val="right"/>
              <w:rPr>
                <w:rFonts w:ascii="Calibri" w:hAnsi="Calibri" w:cs="Calibri"/>
                <w:lang w:val="en-GB"/>
              </w:rPr>
            </w:pPr>
            <w:r>
              <w:rPr>
                <w:rFonts w:ascii="Calibri" w:hAnsi="Calibri" w:cs="Calibri"/>
                <w:lang w:val="en-GB"/>
              </w:rPr>
              <w:t>/</w:t>
            </w:r>
          </w:p>
        </w:tc>
      </w:tr>
      <w:tr w:rsidR="00F63F94" w:rsidRPr="001F7EB4" w14:paraId="772586F1" w14:textId="77777777" w:rsidTr="000613F3">
        <w:tc>
          <w:tcPr>
            <w:tcW w:w="4673" w:type="dxa"/>
            <w:hideMark/>
          </w:tcPr>
          <w:p w14:paraId="772586EE" w14:textId="77777777" w:rsidR="00F63F94" w:rsidRPr="001F7EB4" w:rsidRDefault="00F63F94" w:rsidP="00E12469">
            <w:pPr>
              <w:spacing w:after="120"/>
              <w:jc w:val="both"/>
              <w:rPr>
                <w:rFonts w:ascii="Calibri" w:hAnsi="Calibri" w:cs="Calibri"/>
                <w:lang w:val="en-GB"/>
              </w:rPr>
            </w:pPr>
            <w:r w:rsidRPr="001F7EB4">
              <w:rPr>
                <w:rFonts w:ascii="Calibri" w:hAnsi="Calibri" w:cs="Calibri"/>
                <w:lang w:val="en-GB"/>
              </w:rPr>
              <w:t>Treatment – gay couple</w:t>
            </w:r>
          </w:p>
        </w:tc>
        <w:tc>
          <w:tcPr>
            <w:tcW w:w="2218" w:type="dxa"/>
          </w:tcPr>
          <w:p w14:paraId="772586EF" w14:textId="0793C4C3" w:rsidR="000613F3" w:rsidRPr="001F7EB4" w:rsidRDefault="000613F3" w:rsidP="000613F3">
            <w:pPr>
              <w:spacing w:after="120"/>
              <w:jc w:val="right"/>
              <w:rPr>
                <w:rFonts w:ascii="Calibri" w:hAnsi="Calibri" w:cs="Calibri"/>
                <w:lang w:val="en-GB"/>
              </w:rPr>
            </w:pPr>
            <w:r>
              <w:rPr>
                <w:rFonts w:ascii="Calibri" w:hAnsi="Calibri" w:cs="Calibri"/>
                <w:lang w:val="en-GB"/>
              </w:rPr>
              <w:t>/</w:t>
            </w:r>
          </w:p>
        </w:tc>
        <w:tc>
          <w:tcPr>
            <w:tcW w:w="2119" w:type="dxa"/>
          </w:tcPr>
          <w:p w14:paraId="772586F0" w14:textId="77777777" w:rsidR="00F63F94" w:rsidRPr="001F7EB4" w:rsidRDefault="00F63F94" w:rsidP="000613F3">
            <w:pPr>
              <w:spacing w:after="120"/>
              <w:jc w:val="right"/>
              <w:rPr>
                <w:rFonts w:ascii="Calibri" w:hAnsi="Calibri" w:cs="Calibri"/>
                <w:lang w:val="en-GB"/>
              </w:rPr>
            </w:pPr>
            <w:r w:rsidRPr="001F7EB4">
              <w:rPr>
                <w:rFonts w:ascii="Calibri" w:hAnsi="Calibri" w:cs="Calibri"/>
                <w:lang w:val="en-GB"/>
              </w:rPr>
              <w:t>80</w:t>
            </w:r>
          </w:p>
        </w:tc>
      </w:tr>
      <w:tr w:rsidR="00F63F94" w:rsidRPr="001F7EB4" w14:paraId="772586F5" w14:textId="77777777" w:rsidTr="000613F3">
        <w:tc>
          <w:tcPr>
            <w:tcW w:w="4673" w:type="dxa"/>
            <w:shd w:val="clear" w:color="auto" w:fill="D9E1F3"/>
            <w:hideMark/>
          </w:tcPr>
          <w:p w14:paraId="772586F2" w14:textId="77777777" w:rsidR="00F63F94" w:rsidRPr="001F7EB4" w:rsidRDefault="00F63F94" w:rsidP="00E12469">
            <w:pPr>
              <w:spacing w:after="120"/>
              <w:jc w:val="both"/>
              <w:rPr>
                <w:rFonts w:ascii="Calibri" w:hAnsi="Calibri" w:cs="Calibri"/>
                <w:lang w:val="en-GB"/>
              </w:rPr>
            </w:pPr>
            <w:r w:rsidRPr="001F7EB4">
              <w:rPr>
                <w:rFonts w:ascii="Calibri" w:hAnsi="Calibri" w:cs="Calibri"/>
                <w:lang w:val="en-GB"/>
              </w:rPr>
              <w:t>Control – heterosexual couple, male gives a call</w:t>
            </w:r>
          </w:p>
        </w:tc>
        <w:tc>
          <w:tcPr>
            <w:tcW w:w="2218" w:type="dxa"/>
            <w:shd w:val="clear" w:color="auto" w:fill="D9E1F3"/>
          </w:tcPr>
          <w:p w14:paraId="772586F3" w14:textId="4AF01228" w:rsidR="00F63F94" w:rsidRPr="001F7EB4" w:rsidRDefault="000613F3" w:rsidP="000613F3">
            <w:pPr>
              <w:spacing w:after="120"/>
              <w:jc w:val="right"/>
              <w:rPr>
                <w:rFonts w:ascii="Calibri" w:hAnsi="Calibri" w:cs="Calibri"/>
                <w:lang w:val="en-GB"/>
              </w:rPr>
            </w:pPr>
            <w:r>
              <w:rPr>
                <w:rFonts w:ascii="Calibri" w:hAnsi="Calibri" w:cs="Calibri"/>
                <w:lang w:val="en-GB"/>
              </w:rPr>
              <w:t>/</w:t>
            </w:r>
          </w:p>
        </w:tc>
        <w:tc>
          <w:tcPr>
            <w:tcW w:w="2119" w:type="dxa"/>
            <w:shd w:val="clear" w:color="auto" w:fill="D9E1F3"/>
          </w:tcPr>
          <w:p w14:paraId="772586F4" w14:textId="77777777" w:rsidR="00F63F94" w:rsidRPr="001F7EB4" w:rsidRDefault="00F63F94" w:rsidP="000613F3">
            <w:pPr>
              <w:spacing w:after="120"/>
              <w:jc w:val="right"/>
              <w:rPr>
                <w:rFonts w:ascii="Calibri" w:hAnsi="Calibri" w:cs="Calibri"/>
                <w:lang w:val="en-GB"/>
              </w:rPr>
            </w:pPr>
            <w:r w:rsidRPr="001F7EB4">
              <w:rPr>
                <w:rFonts w:ascii="Calibri" w:hAnsi="Calibri" w:cs="Calibri"/>
                <w:lang w:val="en-GB"/>
              </w:rPr>
              <w:t>80</w:t>
            </w:r>
          </w:p>
        </w:tc>
      </w:tr>
      <w:tr w:rsidR="00F63F94" w:rsidRPr="001F7EB4" w14:paraId="772586F9" w14:textId="77777777" w:rsidTr="000613F3">
        <w:tc>
          <w:tcPr>
            <w:tcW w:w="4673" w:type="dxa"/>
            <w:hideMark/>
          </w:tcPr>
          <w:p w14:paraId="772586F6" w14:textId="77777777" w:rsidR="00F63F94" w:rsidRPr="001F7EB4" w:rsidRDefault="00F63F94" w:rsidP="00E12469">
            <w:pPr>
              <w:spacing w:after="120"/>
              <w:jc w:val="both"/>
              <w:rPr>
                <w:rFonts w:ascii="Calibri" w:hAnsi="Calibri" w:cs="Calibri"/>
                <w:lang w:val="en-GB"/>
              </w:rPr>
            </w:pPr>
            <w:r w:rsidRPr="001F7EB4">
              <w:rPr>
                <w:rFonts w:ascii="Calibri" w:hAnsi="Calibri" w:cs="Calibri"/>
                <w:lang w:val="en-GB"/>
              </w:rPr>
              <w:t>Total No of observation per sample</w:t>
            </w:r>
          </w:p>
        </w:tc>
        <w:tc>
          <w:tcPr>
            <w:tcW w:w="2218" w:type="dxa"/>
            <w:hideMark/>
          </w:tcPr>
          <w:p w14:paraId="772586F7" w14:textId="77777777" w:rsidR="00F63F94" w:rsidRPr="001F7EB4" w:rsidRDefault="00F63F94" w:rsidP="000613F3">
            <w:pPr>
              <w:spacing w:after="120"/>
              <w:jc w:val="right"/>
              <w:rPr>
                <w:rFonts w:ascii="Calibri" w:hAnsi="Calibri" w:cs="Calibri"/>
                <w:lang w:val="en-GB"/>
              </w:rPr>
            </w:pPr>
            <w:r w:rsidRPr="001F7EB4">
              <w:rPr>
                <w:rFonts w:ascii="Calibri" w:hAnsi="Calibri" w:cs="Calibri"/>
                <w:lang w:val="en-GB"/>
              </w:rPr>
              <w:t>160</w:t>
            </w:r>
          </w:p>
        </w:tc>
        <w:tc>
          <w:tcPr>
            <w:tcW w:w="2119" w:type="dxa"/>
            <w:hideMark/>
          </w:tcPr>
          <w:p w14:paraId="772586F8" w14:textId="77777777" w:rsidR="00F63F94" w:rsidRPr="001F7EB4" w:rsidRDefault="00F63F94" w:rsidP="000613F3">
            <w:pPr>
              <w:spacing w:after="120"/>
              <w:jc w:val="right"/>
              <w:rPr>
                <w:rFonts w:ascii="Calibri" w:hAnsi="Calibri" w:cs="Calibri"/>
                <w:lang w:val="en-GB"/>
              </w:rPr>
            </w:pPr>
            <w:r w:rsidRPr="001F7EB4">
              <w:rPr>
                <w:rFonts w:ascii="Calibri" w:hAnsi="Calibri" w:cs="Calibri"/>
                <w:lang w:val="en-GB"/>
              </w:rPr>
              <w:t>160</w:t>
            </w:r>
          </w:p>
        </w:tc>
      </w:tr>
      <w:tr w:rsidR="00F63F94" w:rsidRPr="001F7EB4" w14:paraId="772586FC" w14:textId="77777777" w:rsidTr="000613F3">
        <w:tc>
          <w:tcPr>
            <w:tcW w:w="4673" w:type="dxa"/>
            <w:shd w:val="clear" w:color="auto" w:fill="D9E1F3"/>
            <w:hideMark/>
          </w:tcPr>
          <w:p w14:paraId="772586FA" w14:textId="77777777" w:rsidR="00F63F94" w:rsidRPr="000613F3" w:rsidRDefault="00F63F94" w:rsidP="00E12469">
            <w:pPr>
              <w:spacing w:after="120"/>
              <w:jc w:val="both"/>
              <w:rPr>
                <w:rFonts w:ascii="Calibri" w:hAnsi="Calibri" w:cs="Calibri"/>
                <w:b/>
                <w:lang w:val="en-GB"/>
              </w:rPr>
            </w:pPr>
            <w:r w:rsidRPr="000613F3">
              <w:rPr>
                <w:rFonts w:ascii="Calibri" w:hAnsi="Calibri" w:cs="Calibri"/>
                <w:b/>
                <w:lang w:val="en-GB"/>
              </w:rPr>
              <w:t>Total no. of observations</w:t>
            </w:r>
          </w:p>
        </w:tc>
        <w:tc>
          <w:tcPr>
            <w:tcW w:w="4337" w:type="dxa"/>
            <w:gridSpan w:val="2"/>
            <w:shd w:val="clear" w:color="auto" w:fill="D9E1F3"/>
            <w:hideMark/>
          </w:tcPr>
          <w:p w14:paraId="772586FB" w14:textId="77777777" w:rsidR="00F63F94" w:rsidRPr="000613F3" w:rsidRDefault="00F63F94" w:rsidP="000613F3">
            <w:pPr>
              <w:spacing w:after="120"/>
              <w:jc w:val="right"/>
              <w:rPr>
                <w:rFonts w:ascii="Calibri" w:hAnsi="Calibri" w:cs="Calibri"/>
                <w:b/>
                <w:lang w:val="en-GB"/>
              </w:rPr>
            </w:pPr>
            <w:r w:rsidRPr="000613F3">
              <w:rPr>
                <w:rFonts w:ascii="Calibri" w:hAnsi="Calibri" w:cs="Calibri"/>
                <w:b/>
                <w:lang w:val="en-GB"/>
              </w:rPr>
              <w:t>320</w:t>
            </w:r>
          </w:p>
        </w:tc>
      </w:tr>
    </w:tbl>
    <w:p w14:paraId="772586FD" w14:textId="77777777" w:rsidR="00F63F94" w:rsidRPr="00EA648F" w:rsidRDefault="00F63F94" w:rsidP="00EA648F">
      <w:pPr>
        <w:spacing w:after="0" w:line="240" w:lineRule="auto"/>
        <w:jc w:val="both"/>
        <w:rPr>
          <w:rFonts w:ascii="Calibri" w:hAnsi="Calibri" w:cs="Calibri"/>
          <w:sz w:val="24"/>
          <w:szCs w:val="24"/>
          <w:lang w:val="en-GB"/>
        </w:rPr>
      </w:pPr>
    </w:p>
    <w:p w14:paraId="772586FE" w14:textId="5D1FDBB9" w:rsidR="00AE6824" w:rsidRDefault="00F63F94" w:rsidP="00EA648F">
      <w:pPr>
        <w:spacing w:after="240" w:line="240" w:lineRule="auto"/>
        <w:jc w:val="both"/>
        <w:rPr>
          <w:rFonts w:ascii="Calibri" w:hAnsi="Calibri" w:cs="Calibri"/>
          <w:sz w:val="24"/>
          <w:szCs w:val="24"/>
          <w:lang w:val="en-GB"/>
        </w:rPr>
      </w:pPr>
      <w:r w:rsidRPr="00316C10">
        <w:rPr>
          <w:rFonts w:ascii="Calibri" w:hAnsi="Calibri" w:cs="Calibri"/>
          <w:sz w:val="24"/>
          <w:szCs w:val="24"/>
          <w:lang w:val="en-GB"/>
        </w:rPr>
        <w:t>The sample size disaggregated by the gender of the landlords as well as by city are presented in the Tables 2.1.2 and 2.1.3 below.</w:t>
      </w:r>
    </w:p>
    <w:p w14:paraId="2A3D28F1" w14:textId="77777777" w:rsidR="00AE6824" w:rsidRDefault="00AE6824">
      <w:pPr>
        <w:rPr>
          <w:rFonts w:ascii="Calibri" w:hAnsi="Calibri" w:cs="Calibri"/>
          <w:sz w:val="24"/>
          <w:szCs w:val="24"/>
          <w:lang w:val="en-GB"/>
        </w:rPr>
      </w:pPr>
      <w:r>
        <w:rPr>
          <w:rFonts w:ascii="Calibri" w:hAnsi="Calibri" w:cs="Calibri"/>
          <w:sz w:val="24"/>
          <w:szCs w:val="24"/>
          <w:lang w:val="en-GB"/>
        </w:rPr>
        <w:br w:type="page"/>
      </w:r>
    </w:p>
    <w:p w14:paraId="2E6112ED" w14:textId="77777777" w:rsidR="00F63F94" w:rsidRDefault="00F63F94" w:rsidP="00EA648F">
      <w:pPr>
        <w:spacing w:after="240" w:line="240" w:lineRule="auto"/>
        <w:jc w:val="both"/>
        <w:rPr>
          <w:rFonts w:ascii="Calibri" w:hAnsi="Calibri" w:cs="Calibri"/>
          <w:sz w:val="24"/>
          <w:szCs w:val="24"/>
          <w:lang w:val="en-GB"/>
        </w:rPr>
      </w:pPr>
    </w:p>
    <w:p w14:paraId="20F3898A" w14:textId="39F02B2E" w:rsidR="00CB256D" w:rsidRPr="009B1E28" w:rsidRDefault="00CB256D" w:rsidP="009C4674">
      <w:pPr>
        <w:pStyle w:val="Subtitle"/>
        <w:numPr>
          <w:ilvl w:val="0"/>
          <w:numId w:val="0"/>
        </w:numPr>
        <w:jc w:val="center"/>
      </w:pPr>
      <w:r w:rsidRPr="009B1E28">
        <w:t>Table 2.1.2: SAMPLE SIZE OF LANDLORDS BY GENDER</w:t>
      </w:r>
    </w:p>
    <w:tbl>
      <w:tblPr>
        <w:tblStyle w:val="TableGrid"/>
        <w:tblW w:w="0" w:type="auto"/>
        <w:tblBorders>
          <w:top w:val="single" w:sz="4" w:space="0" w:color="00B1EE"/>
          <w:left w:val="single" w:sz="4" w:space="0" w:color="00B1EE"/>
          <w:bottom w:val="single" w:sz="4" w:space="0" w:color="00B1EE"/>
          <w:right w:val="single" w:sz="4" w:space="0" w:color="00B1EE"/>
          <w:insideH w:val="single" w:sz="4" w:space="0" w:color="00B1EE"/>
          <w:insideV w:val="single" w:sz="4" w:space="0" w:color="00B1EE"/>
        </w:tblBorders>
        <w:tblLook w:val="04A0" w:firstRow="1" w:lastRow="0" w:firstColumn="1" w:lastColumn="0" w:noHBand="0" w:noVBand="1"/>
      </w:tblPr>
      <w:tblGrid>
        <w:gridCol w:w="4531"/>
        <w:gridCol w:w="1486"/>
        <w:gridCol w:w="1486"/>
        <w:gridCol w:w="1487"/>
      </w:tblGrid>
      <w:tr w:rsidR="00F63F94" w:rsidRPr="001F7EB4" w14:paraId="77258705" w14:textId="77777777" w:rsidTr="000613F3">
        <w:trPr>
          <w:trHeight w:val="318"/>
        </w:trPr>
        <w:tc>
          <w:tcPr>
            <w:tcW w:w="4531" w:type="dxa"/>
            <w:shd w:val="clear" w:color="auto" w:fill="002F53"/>
            <w:vAlign w:val="center"/>
            <w:hideMark/>
          </w:tcPr>
          <w:p w14:paraId="77258701" w14:textId="77777777" w:rsidR="00F63F94" w:rsidRPr="000613F3" w:rsidRDefault="00F63F94" w:rsidP="000613F3">
            <w:pPr>
              <w:jc w:val="center"/>
              <w:rPr>
                <w:rFonts w:cs="Arial"/>
                <w:b/>
                <w:bCs/>
                <w:color w:val="FFFFFF" w:themeColor="background1"/>
                <w:sz w:val="24"/>
                <w:szCs w:val="24"/>
              </w:rPr>
            </w:pPr>
            <w:r w:rsidRPr="000613F3">
              <w:rPr>
                <w:rFonts w:cs="Arial"/>
                <w:b/>
                <w:bCs/>
                <w:color w:val="FFFFFF" w:themeColor="background1"/>
                <w:sz w:val="24"/>
                <w:szCs w:val="24"/>
              </w:rPr>
              <w:t>LANDLORDS</w:t>
            </w:r>
          </w:p>
        </w:tc>
        <w:tc>
          <w:tcPr>
            <w:tcW w:w="1486" w:type="dxa"/>
            <w:shd w:val="clear" w:color="auto" w:fill="002F53"/>
            <w:hideMark/>
          </w:tcPr>
          <w:p w14:paraId="77258702" w14:textId="77777777" w:rsidR="00F63F94" w:rsidRPr="000613F3" w:rsidRDefault="00F63F94" w:rsidP="000613F3">
            <w:pPr>
              <w:jc w:val="center"/>
              <w:rPr>
                <w:rFonts w:cs="Arial"/>
                <w:b/>
                <w:bCs/>
                <w:color w:val="FFFFFF" w:themeColor="background1"/>
                <w:sz w:val="24"/>
                <w:szCs w:val="24"/>
              </w:rPr>
            </w:pPr>
            <w:r w:rsidRPr="000613F3">
              <w:rPr>
                <w:rFonts w:cs="Arial"/>
                <w:b/>
                <w:bCs/>
                <w:color w:val="FFFFFF" w:themeColor="background1"/>
                <w:sz w:val="24"/>
                <w:szCs w:val="24"/>
              </w:rPr>
              <w:t>Male</w:t>
            </w:r>
          </w:p>
        </w:tc>
        <w:tc>
          <w:tcPr>
            <w:tcW w:w="1486" w:type="dxa"/>
            <w:shd w:val="clear" w:color="auto" w:fill="002F53"/>
            <w:hideMark/>
          </w:tcPr>
          <w:p w14:paraId="77258703" w14:textId="77777777" w:rsidR="00F63F94" w:rsidRPr="000613F3" w:rsidRDefault="00F63F94" w:rsidP="000613F3">
            <w:pPr>
              <w:jc w:val="center"/>
              <w:rPr>
                <w:rFonts w:cs="Arial"/>
                <w:b/>
                <w:bCs/>
                <w:color w:val="FFFFFF" w:themeColor="background1"/>
                <w:sz w:val="24"/>
                <w:szCs w:val="24"/>
              </w:rPr>
            </w:pPr>
            <w:r w:rsidRPr="000613F3">
              <w:rPr>
                <w:rFonts w:cs="Arial"/>
                <w:b/>
                <w:bCs/>
                <w:color w:val="FFFFFF" w:themeColor="background1"/>
                <w:sz w:val="24"/>
                <w:szCs w:val="24"/>
              </w:rPr>
              <w:t>Female</w:t>
            </w:r>
          </w:p>
        </w:tc>
        <w:tc>
          <w:tcPr>
            <w:tcW w:w="1487" w:type="dxa"/>
            <w:shd w:val="clear" w:color="auto" w:fill="002F53"/>
          </w:tcPr>
          <w:p w14:paraId="77258704" w14:textId="77777777" w:rsidR="00F63F94" w:rsidRPr="000613F3" w:rsidRDefault="00F63F94" w:rsidP="000613F3">
            <w:pPr>
              <w:jc w:val="center"/>
              <w:rPr>
                <w:rFonts w:cs="Arial"/>
                <w:b/>
                <w:bCs/>
                <w:color w:val="FFFFFF" w:themeColor="background1"/>
                <w:sz w:val="24"/>
                <w:szCs w:val="24"/>
              </w:rPr>
            </w:pPr>
            <w:r w:rsidRPr="000613F3">
              <w:rPr>
                <w:rFonts w:cs="Arial"/>
                <w:b/>
                <w:bCs/>
                <w:color w:val="FFFFFF" w:themeColor="background1"/>
                <w:sz w:val="24"/>
                <w:szCs w:val="24"/>
              </w:rPr>
              <w:t>Total</w:t>
            </w:r>
          </w:p>
        </w:tc>
      </w:tr>
      <w:tr w:rsidR="00F63F94" w:rsidRPr="001F7EB4" w14:paraId="7725870A" w14:textId="77777777" w:rsidTr="000613F3">
        <w:trPr>
          <w:trHeight w:val="318"/>
        </w:trPr>
        <w:tc>
          <w:tcPr>
            <w:tcW w:w="4531" w:type="dxa"/>
            <w:hideMark/>
          </w:tcPr>
          <w:p w14:paraId="77258706" w14:textId="77777777" w:rsidR="00F63F94" w:rsidRPr="001F7EB4" w:rsidRDefault="00F63F94" w:rsidP="00E12469">
            <w:pPr>
              <w:spacing w:after="120"/>
              <w:jc w:val="both"/>
              <w:rPr>
                <w:rFonts w:ascii="Calibri" w:hAnsi="Calibri" w:cs="Calibri"/>
                <w:lang w:val="en-GB"/>
              </w:rPr>
            </w:pPr>
            <w:r w:rsidRPr="001F7EB4">
              <w:rPr>
                <w:rFonts w:ascii="Calibri" w:hAnsi="Calibri" w:cs="Calibri"/>
                <w:lang w:val="en-GB"/>
              </w:rPr>
              <w:t>Lesbian couple and corresponding control</w:t>
            </w:r>
          </w:p>
        </w:tc>
        <w:tc>
          <w:tcPr>
            <w:tcW w:w="1486" w:type="dxa"/>
            <w:vAlign w:val="center"/>
          </w:tcPr>
          <w:p w14:paraId="77258707" w14:textId="77777777" w:rsidR="00F63F94" w:rsidRPr="001F7EB4" w:rsidRDefault="00F63F94" w:rsidP="000613F3">
            <w:pPr>
              <w:spacing w:after="120"/>
              <w:jc w:val="right"/>
              <w:rPr>
                <w:rFonts w:ascii="Calibri" w:hAnsi="Calibri" w:cs="Calibri"/>
                <w:lang w:val="en-GB"/>
              </w:rPr>
            </w:pPr>
            <w:r w:rsidRPr="001F7EB4">
              <w:rPr>
                <w:rFonts w:ascii="Calibri" w:hAnsi="Calibri" w:cs="Calibri"/>
                <w:lang w:val="en-GB"/>
              </w:rPr>
              <w:t>42</w:t>
            </w:r>
          </w:p>
        </w:tc>
        <w:tc>
          <w:tcPr>
            <w:tcW w:w="1486" w:type="dxa"/>
            <w:vAlign w:val="center"/>
          </w:tcPr>
          <w:p w14:paraId="77258708" w14:textId="77777777" w:rsidR="00F63F94" w:rsidRPr="001F7EB4" w:rsidRDefault="00F63F94" w:rsidP="000613F3">
            <w:pPr>
              <w:spacing w:after="120"/>
              <w:jc w:val="right"/>
              <w:rPr>
                <w:rFonts w:ascii="Calibri" w:hAnsi="Calibri" w:cs="Calibri"/>
                <w:lang w:val="en-GB"/>
              </w:rPr>
            </w:pPr>
            <w:r w:rsidRPr="001F7EB4">
              <w:rPr>
                <w:rFonts w:ascii="Calibri" w:hAnsi="Calibri" w:cs="Calibri"/>
                <w:lang w:val="en-GB"/>
              </w:rPr>
              <w:t>38</w:t>
            </w:r>
          </w:p>
        </w:tc>
        <w:tc>
          <w:tcPr>
            <w:tcW w:w="1487" w:type="dxa"/>
          </w:tcPr>
          <w:p w14:paraId="77258709" w14:textId="77777777" w:rsidR="00F63F94" w:rsidRPr="001F7EB4" w:rsidRDefault="00F63F94" w:rsidP="000613F3">
            <w:pPr>
              <w:spacing w:after="120"/>
              <w:jc w:val="right"/>
              <w:rPr>
                <w:rFonts w:ascii="Calibri" w:hAnsi="Calibri" w:cs="Calibri"/>
                <w:lang w:val="en-GB"/>
              </w:rPr>
            </w:pPr>
            <w:r w:rsidRPr="001F7EB4">
              <w:rPr>
                <w:rFonts w:ascii="Calibri" w:hAnsi="Calibri" w:cs="Calibri"/>
                <w:lang w:val="en-GB"/>
              </w:rPr>
              <w:t>80</w:t>
            </w:r>
          </w:p>
        </w:tc>
      </w:tr>
      <w:tr w:rsidR="00F63F94" w:rsidRPr="001F7EB4" w14:paraId="7725870F" w14:textId="77777777" w:rsidTr="000613F3">
        <w:trPr>
          <w:trHeight w:val="318"/>
        </w:trPr>
        <w:tc>
          <w:tcPr>
            <w:tcW w:w="4531" w:type="dxa"/>
            <w:shd w:val="clear" w:color="auto" w:fill="D9E1F3"/>
            <w:hideMark/>
          </w:tcPr>
          <w:p w14:paraId="7725870B" w14:textId="77777777" w:rsidR="00F63F94" w:rsidRPr="001F7EB4" w:rsidRDefault="00F63F94" w:rsidP="00E12469">
            <w:pPr>
              <w:spacing w:after="120"/>
              <w:jc w:val="both"/>
              <w:rPr>
                <w:rFonts w:ascii="Calibri" w:hAnsi="Calibri" w:cs="Calibri"/>
                <w:lang w:val="en-GB"/>
              </w:rPr>
            </w:pPr>
            <w:r w:rsidRPr="001F7EB4">
              <w:rPr>
                <w:rFonts w:ascii="Calibri" w:hAnsi="Calibri" w:cs="Calibri"/>
                <w:lang w:val="en-GB"/>
              </w:rPr>
              <w:t>Gay couple and corresponding control</w:t>
            </w:r>
          </w:p>
        </w:tc>
        <w:tc>
          <w:tcPr>
            <w:tcW w:w="1486" w:type="dxa"/>
            <w:shd w:val="clear" w:color="auto" w:fill="D9E1F3"/>
            <w:vAlign w:val="center"/>
          </w:tcPr>
          <w:p w14:paraId="7725870C" w14:textId="77777777" w:rsidR="00F63F94" w:rsidRPr="001F7EB4" w:rsidRDefault="00F63F94" w:rsidP="000613F3">
            <w:pPr>
              <w:spacing w:after="120"/>
              <w:jc w:val="right"/>
              <w:rPr>
                <w:rFonts w:ascii="Calibri" w:hAnsi="Calibri" w:cs="Calibri"/>
                <w:lang w:val="en-GB"/>
              </w:rPr>
            </w:pPr>
            <w:r w:rsidRPr="001F7EB4">
              <w:rPr>
                <w:rFonts w:ascii="Calibri" w:hAnsi="Calibri" w:cs="Calibri"/>
                <w:lang w:val="en-GB"/>
              </w:rPr>
              <w:t>44</w:t>
            </w:r>
          </w:p>
        </w:tc>
        <w:tc>
          <w:tcPr>
            <w:tcW w:w="1486" w:type="dxa"/>
            <w:shd w:val="clear" w:color="auto" w:fill="D9E1F3"/>
            <w:vAlign w:val="center"/>
          </w:tcPr>
          <w:p w14:paraId="7725870D" w14:textId="77777777" w:rsidR="00F63F94" w:rsidRPr="001F7EB4" w:rsidRDefault="00F63F94" w:rsidP="000613F3">
            <w:pPr>
              <w:spacing w:after="120"/>
              <w:jc w:val="right"/>
              <w:rPr>
                <w:rFonts w:ascii="Calibri" w:hAnsi="Calibri" w:cs="Calibri"/>
                <w:lang w:val="en-GB"/>
              </w:rPr>
            </w:pPr>
            <w:r w:rsidRPr="001F7EB4">
              <w:rPr>
                <w:rFonts w:ascii="Calibri" w:hAnsi="Calibri" w:cs="Calibri"/>
                <w:lang w:val="en-GB"/>
              </w:rPr>
              <w:t>36</w:t>
            </w:r>
          </w:p>
        </w:tc>
        <w:tc>
          <w:tcPr>
            <w:tcW w:w="1487" w:type="dxa"/>
            <w:shd w:val="clear" w:color="auto" w:fill="D9E1F3"/>
          </w:tcPr>
          <w:p w14:paraId="7725870E" w14:textId="77777777" w:rsidR="00F63F94" w:rsidRPr="001F7EB4" w:rsidRDefault="00F63F94" w:rsidP="000613F3">
            <w:pPr>
              <w:spacing w:after="120"/>
              <w:jc w:val="right"/>
              <w:rPr>
                <w:rFonts w:ascii="Calibri" w:hAnsi="Calibri" w:cs="Calibri"/>
                <w:lang w:val="en-GB"/>
              </w:rPr>
            </w:pPr>
            <w:r w:rsidRPr="001F7EB4">
              <w:rPr>
                <w:rFonts w:ascii="Calibri" w:hAnsi="Calibri" w:cs="Calibri"/>
                <w:lang w:val="en-GB"/>
              </w:rPr>
              <w:t>80</w:t>
            </w:r>
          </w:p>
        </w:tc>
      </w:tr>
      <w:tr w:rsidR="00F63F94" w:rsidRPr="001F7EB4" w14:paraId="77258714" w14:textId="77777777" w:rsidTr="000613F3">
        <w:trPr>
          <w:trHeight w:val="318"/>
        </w:trPr>
        <w:tc>
          <w:tcPr>
            <w:tcW w:w="4531" w:type="dxa"/>
          </w:tcPr>
          <w:p w14:paraId="77258710" w14:textId="489DFB62" w:rsidR="00F63F94" w:rsidRPr="000613F3" w:rsidRDefault="000613F3" w:rsidP="00E12469">
            <w:pPr>
              <w:spacing w:after="120"/>
              <w:jc w:val="both"/>
              <w:rPr>
                <w:rFonts w:ascii="Calibri" w:hAnsi="Calibri" w:cs="Calibri"/>
                <w:b/>
                <w:lang w:val="en-GB"/>
              </w:rPr>
            </w:pPr>
            <w:r w:rsidRPr="000613F3">
              <w:rPr>
                <w:rFonts w:ascii="Calibri" w:hAnsi="Calibri" w:cs="Calibri"/>
                <w:b/>
                <w:lang w:val="en-GB"/>
              </w:rPr>
              <w:t>Total</w:t>
            </w:r>
          </w:p>
        </w:tc>
        <w:tc>
          <w:tcPr>
            <w:tcW w:w="1486" w:type="dxa"/>
            <w:vAlign w:val="center"/>
          </w:tcPr>
          <w:p w14:paraId="77258711" w14:textId="77777777" w:rsidR="00F63F94" w:rsidRPr="000613F3" w:rsidRDefault="00F63F94" w:rsidP="000613F3">
            <w:pPr>
              <w:spacing w:after="120"/>
              <w:jc w:val="right"/>
              <w:rPr>
                <w:rFonts w:ascii="Calibri" w:hAnsi="Calibri" w:cs="Calibri"/>
                <w:b/>
                <w:lang w:val="en-GB"/>
              </w:rPr>
            </w:pPr>
            <w:r w:rsidRPr="000613F3">
              <w:rPr>
                <w:rFonts w:ascii="Calibri" w:hAnsi="Calibri" w:cs="Calibri"/>
                <w:b/>
                <w:lang w:val="en-GB"/>
              </w:rPr>
              <w:t>86</w:t>
            </w:r>
          </w:p>
        </w:tc>
        <w:tc>
          <w:tcPr>
            <w:tcW w:w="1486" w:type="dxa"/>
            <w:vAlign w:val="center"/>
          </w:tcPr>
          <w:p w14:paraId="77258712" w14:textId="77777777" w:rsidR="00F63F94" w:rsidRPr="000613F3" w:rsidRDefault="00F63F94" w:rsidP="000613F3">
            <w:pPr>
              <w:spacing w:after="120"/>
              <w:jc w:val="right"/>
              <w:rPr>
                <w:rFonts w:ascii="Calibri" w:hAnsi="Calibri" w:cs="Calibri"/>
                <w:b/>
                <w:lang w:val="en-GB"/>
              </w:rPr>
            </w:pPr>
            <w:r w:rsidRPr="000613F3">
              <w:rPr>
                <w:rFonts w:ascii="Calibri" w:hAnsi="Calibri" w:cs="Calibri"/>
                <w:b/>
                <w:lang w:val="en-GB"/>
              </w:rPr>
              <w:t>74</w:t>
            </w:r>
          </w:p>
        </w:tc>
        <w:tc>
          <w:tcPr>
            <w:tcW w:w="1487" w:type="dxa"/>
          </w:tcPr>
          <w:p w14:paraId="77258713" w14:textId="77777777" w:rsidR="00F63F94" w:rsidRPr="000613F3" w:rsidRDefault="00F63F94" w:rsidP="000613F3">
            <w:pPr>
              <w:spacing w:after="120"/>
              <w:jc w:val="right"/>
              <w:rPr>
                <w:rFonts w:ascii="Calibri" w:hAnsi="Calibri" w:cs="Calibri"/>
                <w:b/>
                <w:lang w:val="en-GB"/>
              </w:rPr>
            </w:pPr>
            <w:r w:rsidRPr="000613F3">
              <w:rPr>
                <w:rFonts w:ascii="Calibri" w:hAnsi="Calibri" w:cs="Calibri"/>
                <w:b/>
                <w:lang w:val="en-GB"/>
              </w:rPr>
              <w:t>160</w:t>
            </w:r>
          </w:p>
        </w:tc>
      </w:tr>
    </w:tbl>
    <w:p w14:paraId="77258715" w14:textId="77777777" w:rsidR="00F63F94" w:rsidRDefault="00F63F94" w:rsidP="00F63F94">
      <w:pPr>
        <w:spacing w:after="120" w:line="240" w:lineRule="auto"/>
        <w:jc w:val="both"/>
        <w:rPr>
          <w:rFonts w:ascii="Calibri" w:hAnsi="Calibri" w:cs="Calibri"/>
          <w:sz w:val="16"/>
          <w:szCs w:val="16"/>
          <w:lang w:val="en-GB"/>
        </w:rPr>
      </w:pPr>
    </w:p>
    <w:p w14:paraId="2A815FED" w14:textId="4049CFB4" w:rsidR="002A5731" w:rsidRPr="009B1E28" w:rsidRDefault="002A5731" w:rsidP="009C4674">
      <w:pPr>
        <w:pStyle w:val="Subtitle"/>
        <w:numPr>
          <w:ilvl w:val="0"/>
          <w:numId w:val="0"/>
        </w:numPr>
        <w:jc w:val="center"/>
      </w:pPr>
      <w:r w:rsidRPr="009B1E28">
        <w:t>Table 2.1.3: ALLOCATION OF LANDLORDS AND NUMBER OF OBSERVATIONS PER CITY</w:t>
      </w:r>
    </w:p>
    <w:tbl>
      <w:tblPr>
        <w:tblStyle w:val="TableGrid"/>
        <w:tblW w:w="0" w:type="auto"/>
        <w:tblBorders>
          <w:top w:val="single" w:sz="4" w:space="0" w:color="00B1EE"/>
          <w:left w:val="single" w:sz="4" w:space="0" w:color="00B1EE"/>
          <w:bottom w:val="single" w:sz="4" w:space="0" w:color="00B1EE"/>
          <w:right w:val="single" w:sz="4" w:space="0" w:color="00B1EE"/>
          <w:insideH w:val="single" w:sz="4" w:space="0" w:color="00B1EE"/>
          <w:insideV w:val="single" w:sz="4" w:space="0" w:color="00B1EE"/>
        </w:tblBorders>
        <w:tblLook w:val="04A0" w:firstRow="1" w:lastRow="0" w:firstColumn="1" w:lastColumn="0" w:noHBand="0" w:noVBand="1"/>
      </w:tblPr>
      <w:tblGrid>
        <w:gridCol w:w="4531"/>
        <w:gridCol w:w="2229"/>
        <w:gridCol w:w="2230"/>
      </w:tblGrid>
      <w:tr w:rsidR="00F63F94" w:rsidRPr="001F7EB4" w14:paraId="7725871B" w14:textId="77777777" w:rsidTr="000613F3">
        <w:trPr>
          <w:trHeight w:val="469"/>
        </w:trPr>
        <w:tc>
          <w:tcPr>
            <w:tcW w:w="4531" w:type="dxa"/>
            <w:shd w:val="clear" w:color="auto" w:fill="002F53"/>
            <w:vAlign w:val="center"/>
          </w:tcPr>
          <w:p w14:paraId="77258718" w14:textId="77777777" w:rsidR="00F63F94" w:rsidRPr="000613F3" w:rsidRDefault="00F63F94" w:rsidP="000613F3">
            <w:pPr>
              <w:spacing w:after="120"/>
              <w:rPr>
                <w:rFonts w:ascii="Calibri" w:hAnsi="Calibri" w:cs="Calibri"/>
                <w:b/>
                <w:color w:val="FFFFFF" w:themeColor="background1"/>
                <w:lang w:val="en-GB"/>
              </w:rPr>
            </w:pPr>
            <w:r w:rsidRPr="000613F3">
              <w:rPr>
                <w:rFonts w:ascii="Calibri" w:hAnsi="Calibri" w:cs="Calibri"/>
                <w:b/>
                <w:color w:val="FFFFFF" w:themeColor="background1"/>
                <w:lang w:val="en-GB"/>
              </w:rPr>
              <w:t>City</w:t>
            </w:r>
          </w:p>
        </w:tc>
        <w:tc>
          <w:tcPr>
            <w:tcW w:w="2229" w:type="dxa"/>
            <w:shd w:val="clear" w:color="auto" w:fill="002F53"/>
            <w:vAlign w:val="center"/>
          </w:tcPr>
          <w:p w14:paraId="77258719" w14:textId="77777777" w:rsidR="00F63F94" w:rsidRPr="000613F3" w:rsidRDefault="00F63F94" w:rsidP="000613F3">
            <w:pPr>
              <w:spacing w:after="120"/>
              <w:jc w:val="center"/>
              <w:rPr>
                <w:rFonts w:ascii="Calibri" w:hAnsi="Calibri" w:cs="Calibri"/>
                <w:b/>
                <w:color w:val="FFFFFF" w:themeColor="background1"/>
                <w:lang w:val="en-GB"/>
              </w:rPr>
            </w:pPr>
            <w:r w:rsidRPr="000613F3">
              <w:rPr>
                <w:rFonts w:ascii="Calibri" w:hAnsi="Calibri" w:cs="Calibri"/>
                <w:b/>
                <w:color w:val="FFFFFF" w:themeColor="background1"/>
                <w:lang w:val="en-GB"/>
              </w:rPr>
              <w:t>Sample size of landlords</w:t>
            </w:r>
          </w:p>
        </w:tc>
        <w:tc>
          <w:tcPr>
            <w:tcW w:w="2230" w:type="dxa"/>
            <w:shd w:val="clear" w:color="auto" w:fill="002F53"/>
            <w:vAlign w:val="center"/>
          </w:tcPr>
          <w:p w14:paraId="7725871A" w14:textId="77777777" w:rsidR="00F63F94" w:rsidRPr="000613F3" w:rsidRDefault="00F63F94" w:rsidP="000613F3">
            <w:pPr>
              <w:spacing w:after="120"/>
              <w:jc w:val="center"/>
              <w:rPr>
                <w:rFonts w:ascii="Calibri" w:hAnsi="Calibri" w:cs="Calibri"/>
                <w:b/>
                <w:color w:val="FFFFFF" w:themeColor="background1"/>
                <w:lang w:val="en-GB"/>
              </w:rPr>
            </w:pPr>
            <w:r w:rsidRPr="000613F3">
              <w:rPr>
                <w:rFonts w:ascii="Calibri" w:hAnsi="Calibri" w:cs="Calibri"/>
                <w:b/>
                <w:color w:val="FFFFFF" w:themeColor="background1"/>
                <w:lang w:val="en-GB"/>
              </w:rPr>
              <w:t>No. of observations</w:t>
            </w:r>
          </w:p>
        </w:tc>
      </w:tr>
      <w:tr w:rsidR="00F63F94" w:rsidRPr="001F7EB4" w14:paraId="7725871F" w14:textId="77777777" w:rsidTr="000613F3">
        <w:trPr>
          <w:trHeight w:val="287"/>
        </w:trPr>
        <w:tc>
          <w:tcPr>
            <w:tcW w:w="4531" w:type="dxa"/>
          </w:tcPr>
          <w:p w14:paraId="7725871C" w14:textId="77777777" w:rsidR="00F63F94" w:rsidRPr="001F7EB4" w:rsidRDefault="00F63F94" w:rsidP="00E12469">
            <w:pPr>
              <w:spacing w:after="120"/>
              <w:jc w:val="both"/>
              <w:rPr>
                <w:rFonts w:ascii="Calibri" w:hAnsi="Calibri" w:cs="Calibri"/>
                <w:lang w:val="en-GB"/>
              </w:rPr>
            </w:pPr>
            <w:r w:rsidRPr="001F7EB4">
              <w:rPr>
                <w:rFonts w:ascii="Calibri" w:hAnsi="Calibri" w:cs="Calibri"/>
                <w:lang w:val="en-GB"/>
              </w:rPr>
              <w:t>Belgrade</w:t>
            </w:r>
          </w:p>
        </w:tc>
        <w:tc>
          <w:tcPr>
            <w:tcW w:w="2229" w:type="dxa"/>
          </w:tcPr>
          <w:p w14:paraId="7725871D" w14:textId="77777777" w:rsidR="00F63F94" w:rsidRPr="001F7EB4" w:rsidRDefault="00F63F94" w:rsidP="000613F3">
            <w:pPr>
              <w:spacing w:after="120"/>
              <w:jc w:val="right"/>
              <w:rPr>
                <w:rFonts w:ascii="Calibri" w:hAnsi="Calibri" w:cs="Calibri"/>
                <w:lang w:val="en-GB"/>
              </w:rPr>
            </w:pPr>
            <w:r w:rsidRPr="001F7EB4">
              <w:rPr>
                <w:rFonts w:ascii="Calibri" w:hAnsi="Calibri" w:cs="Calibri"/>
                <w:lang w:val="en-GB"/>
              </w:rPr>
              <w:t>70</w:t>
            </w:r>
          </w:p>
        </w:tc>
        <w:tc>
          <w:tcPr>
            <w:tcW w:w="2230" w:type="dxa"/>
          </w:tcPr>
          <w:p w14:paraId="7725871E" w14:textId="77777777" w:rsidR="00F63F94" w:rsidRPr="001F7EB4" w:rsidRDefault="00F63F94" w:rsidP="000613F3">
            <w:pPr>
              <w:spacing w:after="120"/>
              <w:jc w:val="right"/>
              <w:rPr>
                <w:rFonts w:ascii="Calibri" w:hAnsi="Calibri" w:cs="Calibri"/>
                <w:lang w:val="en-GB"/>
              </w:rPr>
            </w:pPr>
            <w:r w:rsidRPr="001F7EB4">
              <w:rPr>
                <w:rFonts w:ascii="Calibri" w:hAnsi="Calibri" w:cs="Calibri"/>
                <w:lang w:val="en-GB"/>
              </w:rPr>
              <w:t>140</w:t>
            </w:r>
          </w:p>
        </w:tc>
      </w:tr>
      <w:tr w:rsidR="00F63F94" w:rsidRPr="001F7EB4" w14:paraId="77258723" w14:textId="77777777" w:rsidTr="000613F3">
        <w:trPr>
          <w:trHeight w:val="275"/>
        </w:trPr>
        <w:tc>
          <w:tcPr>
            <w:tcW w:w="4531" w:type="dxa"/>
            <w:shd w:val="clear" w:color="auto" w:fill="D9E1F3"/>
          </w:tcPr>
          <w:p w14:paraId="77258720" w14:textId="77777777" w:rsidR="00F63F94" w:rsidRPr="001F7EB4" w:rsidRDefault="00F63F94" w:rsidP="00E12469">
            <w:pPr>
              <w:spacing w:after="120"/>
              <w:jc w:val="both"/>
              <w:rPr>
                <w:rFonts w:ascii="Calibri" w:hAnsi="Calibri" w:cs="Calibri"/>
                <w:lang w:val="en-GB"/>
              </w:rPr>
            </w:pPr>
            <w:r w:rsidRPr="001F7EB4">
              <w:rPr>
                <w:rFonts w:ascii="Calibri" w:hAnsi="Calibri" w:cs="Calibri"/>
                <w:lang w:val="en-GB"/>
              </w:rPr>
              <w:t>Nis</w:t>
            </w:r>
          </w:p>
        </w:tc>
        <w:tc>
          <w:tcPr>
            <w:tcW w:w="2229" w:type="dxa"/>
            <w:shd w:val="clear" w:color="auto" w:fill="D9E1F3"/>
          </w:tcPr>
          <w:p w14:paraId="77258721" w14:textId="77777777" w:rsidR="00F63F94" w:rsidRPr="001F7EB4" w:rsidRDefault="00F63F94" w:rsidP="000613F3">
            <w:pPr>
              <w:spacing w:after="120"/>
              <w:jc w:val="right"/>
              <w:rPr>
                <w:rFonts w:ascii="Calibri" w:hAnsi="Calibri" w:cs="Calibri"/>
                <w:lang w:val="en-GB"/>
              </w:rPr>
            </w:pPr>
            <w:r w:rsidRPr="001F7EB4">
              <w:rPr>
                <w:rFonts w:ascii="Calibri" w:hAnsi="Calibri" w:cs="Calibri"/>
                <w:lang w:val="en-GB"/>
              </w:rPr>
              <w:t>30</w:t>
            </w:r>
          </w:p>
        </w:tc>
        <w:tc>
          <w:tcPr>
            <w:tcW w:w="2230" w:type="dxa"/>
            <w:shd w:val="clear" w:color="auto" w:fill="D9E1F3"/>
          </w:tcPr>
          <w:p w14:paraId="77258722" w14:textId="77777777" w:rsidR="00F63F94" w:rsidRPr="001F7EB4" w:rsidRDefault="00F63F94" w:rsidP="000613F3">
            <w:pPr>
              <w:spacing w:after="120"/>
              <w:jc w:val="right"/>
              <w:rPr>
                <w:rFonts w:ascii="Calibri" w:hAnsi="Calibri" w:cs="Calibri"/>
                <w:lang w:val="en-GB"/>
              </w:rPr>
            </w:pPr>
            <w:r w:rsidRPr="001F7EB4">
              <w:rPr>
                <w:rFonts w:ascii="Calibri" w:hAnsi="Calibri" w:cs="Calibri"/>
                <w:lang w:val="en-GB"/>
              </w:rPr>
              <w:t>60</w:t>
            </w:r>
          </w:p>
        </w:tc>
      </w:tr>
      <w:tr w:rsidR="00F63F94" w:rsidRPr="001F7EB4" w14:paraId="77258727" w14:textId="77777777" w:rsidTr="000613F3">
        <w:trPr>
          <w:trHeight w:val="275"/>
        </w:trPr>
        <w:tc>
          <w:tcPr>
            <w:tcW w:w="4531" w:type="dxa"/>
          </w:tcPr>
          <w:p w14:paraId="77258724" w14:textId="77777777" w:rsidR="00F63F94" w:rsidRPr="001F7EB4" w:rsidRDefault="00F63F94" w:rsidP="00E12469">
            <w:pPr>
              <w:spacing w:after="120"/>
              <w:jc w:val="both"/>
              <w:rPr>
                <w:rFonts w:ascii="Calibri" w:hAnsi="Calibri" w:cs="Calibri"/>
                <w:lang w:val="en-GB"/>
              </w:rPr>
            </w:pPr>
            <w:r w:rsidRPr="001F7EB4">
              <w:rPr>
                <w:rFonts w:ascii="Calibri" w:hAnsi="Calibri" w:cs="Calibri"/>
                <w:lang w:val="en-GB"/>
              </w:rPr>
              <w:t>Novi Sad</w:t>
            </w:r>
          </w:p>
        </w:tc>
        <w:tc>
          <w:tcPr>
            <w:tcW w:w="2229" w:type="dxa"/>
          </w:tcPr>
          <w:p w14:paraId="77258725" w14:textId="77777777" w:rsidR="00F63F94" w:rsidRPr="001F7EB4" w:rsidRDefault="00F63F94" w:rsidP="000613F3">
            <w:pPr>
              <w:spacing w:after="120"/>
              <w:jc w:val="right"/>
              <w:rPr>
                <w:rFonts w:ascii="Calibri" w:hAnsi="Calibri" w:cs="Calibri"/>
                <w:lang w:val="en-GB"/>
              </w:rPr>
            </w:pPr>
            <w:r w:rsidRPr="001F7EB4">
              <w:rPr>
                <w:rFonts w:ascii="Calibri" w:hAnsi="Calibri" w:cs="Calibri"/>
                <w:lang w:val="en-GB"/>
              </w:rPr>
              <w:t>30</w:t>
            </w:r>
          </w:p>
        </w:tc>
        <w:tc>
          <w:tcPr>
            <w:tcW w:w="2230" w:type="dxa"/>
          </w:tcPr>
          <w:p w14:paraId="77258726" w14:textId="77777777" w:rsidR="00F63F94" w:rsidRPr="001F7EB4" w:rsidRDefault="00F63F94" w:rsidP="000613F3">
            <w:pPr>
              <w:spacing w:after="120"/>
              <w:jc w:val="right"/>
              <w:rPr>
                <w:rFonts w:ascii="Calibri" w:hAnsi="Calibri" w:cs="Calibri"/>
                <w:lang w:val="en-GB"/>
              </w:rPr>
            </w:pPr>
            <w:r w:rsidRPr="001F7EB4">
              <w:rPr>
                <w:rFonts w:ascii="Calibri" w:hAnsi="Calibri" w:cs="Calibri"/>
                <w:lang w:val="en-GB"/>
              </w:rPr>
              <w:t>60</w:t>
            </w:r>
          </w:p>
        </w:tc>
      </w:tr>
      <w:tr w:rsidR="00F63F94" w:rsidRPr="001F7EB4" w14:paraId="7725872B" w14:textId="77777777" w:rsidTr="000613F3">
        <w:trPr>
          <w:trHeight w:val="275"/>
        </w:trPr>
        <w:tc>
          <w:tcPr>
            <w:tcW w:w="4531" w:type="dxa"/>
            <w:shd w:val="clear" w:color="auto" w:fill="D9E1F3"/>
          </w:tcPr>
          <w:p w14:paraId="77258728" w14:textId="77777777" w:rsidR="00F63F94" w:rsidRPr="001F7EB4" w:rsidRDefault="00F63F94" w:rsidP="00E12469">
            <w:pPr>
              <w:spacing w:after="120"/>
              <w:jc w:val="both"/>
              <w:rPr>
                <w:rFonts w:ascii="Calibri" w:hAnsi="Calibri" w:cs="Calibri"/>
                <w:lang w:val="en-GB"/>
              </w:rPr>
            </w:pPr>
            <w:r w:rsidRPr="001F7EB4">
              <w:rPr>
                <w:rFonts w:ascii="Calibri" w:hAnsi="Calibri" w:cs="Calibri"/>
                <w:lang w:val="en-GB"/>
              </w:rPr>
              <w:t>Kragujevac</w:t>
            </w:r>
          </w:p>
        </w:tc>
        <w:tc>
          <w:tcPr>
            <w:tcW w:w="2229" w:type="dxa"/>
            <w:shd w:val="clear" w:color="auto" w:fill="D9E1F3"/>
          </w:tcPr>
          <w:p w14:paraId="77258729" w14:textId="77777777" w:rsidR="00F63F94" w:rsidRPr="001F7EB4" w:rsidRDefault="00F63F94" w:rsidP="000613F3">
            <w:pPr>
              <w:spacing w:after="120"/>
              <w:jc w:val="right"/>
              <w:rPr>
                <w:rFonts w:ascii="Calibri" w:hAnsi="Calibri" w:cs="Calibri"/>
                <w:lang w:val="en-GB"/>
              </w:rPr>
            </w:pPr>
            <w:r w:rsidRPr="001F7EB4">
              <w:rPr>
                <w:rFonts w:ascii="Calibri" w:hAnsi="Calibri" w:cs="Calibri"/>
                <w:lang w:val="en-GB"/>
              </w:rPr>
              <w:t>30</w:t>
            </w:r>
          </w:p>
        </w:tc>
        <w:tc>
          <w:tcPr>
            <w:tcW w:w="2230" w:type="dxa"/>
            <w:shd w:val="clear" w:color="auto" w:fill="D9E1F3"/>
          </w:tcPr>
          <w:p w14:paraId="7725872A" w14:textId="77777777" w:rsidR="00F63F94" w:rsidRPr="001F7EB4" w:rsidRDefault="00F63F94" w:rsidP="000613F3">
            <w:pPr>
              <w:spacing w:after="120"/>
              <w:jc w:val="right"/>
              <w:rPr>
                <w:rFonts w:ascii="Calibri" w:hAnsi="Calibri" w:cs="Calibri"/>
                <w:lang w:val="en-GB"/>
              </w:rPr>
            </w:pPr>
            <w:r w:rsidRPr="001F7EB4">
              <w:rPr>
                <w:rFonts w:ascii="Calibri" w:hAnsi="Calibri" w:cs="Calibri"/>
                <w:lang w:val="en-GB"/>
              </w:rPr>
              <w:t>60</w:t>
            </w:r>
          </w:p>
        </w:tc>
      </w:tr>
      <w:tr w:rsidR="00F63F94" w:rsidRPr="001F7EB4" w14:paraId="7725872F" w14:textId="77777777" w:rsidTr="000613F3">
        <w:trPr>
          <w:trHeight w:val="301"/>
        </w:trPr>
        <w:tc>
          <w:tcPr>
            <w:tcW w:w="4531" w:type="dxa"/>
          </w:tcPr>
          <w:p w14:paraId="7725872C" w14:textId="77777777" w:rsidR="00F63F94" w:rsidRPr="000613F3" w:rsidRDefault="00F63F94" w:rsidP="00E12469">
            <w:pPr>
              <w:spacing w:after="120"/>
              <w:jc w:val="both"/>
              <w:rPr>
                <w:rFonts w:ascii="Calibri" w:hAnsi="Calibri" w:cs="Calibri"/>
                <w:b/>
                <w:lang w:val="en-GB"/>
              </w:rPr>
            </w:pPr>
            <w:r w:rsidRPr="000613F3">
              <w:rPr>
                <w:rFonts w:ascii="Calibri" w:hAnsi="Calibri" w:cs="Calibri"/>
                <w:b/>
                <w:lang w:val="en-GB"/>
              </w:rPr>
              <w:t>Total</w:t>
            </w:r>
          </w:p>
        </w:tc>
        <w:tc>
          <w:tcPr>
            <w:tcW w:w="2229" w:type="dxa"/>
          </w:tcPr>
          <w:p w14:paraId="7725872D" w14:textId="77777777" w:rsidR="00F63F94" w:rsidRPr="000613F3" w:rsidRDefault="00F63F94" w:rsidP="000613F3">
            <w:pPr>
              <w:spacing w:after="120"/>
              <w:jc w:val="right"/>
              <w:rPr>
                <w:rFonts w:ascii="Calibri" w:hAnsi="Calibri" w:cs="Calibri"/>
                <w:b/>
                <w:lang w:val="en-GB"/>
              </w:rPr>
            </w:pPr>
            <w:r w:rsidRPr="000613F3">
              <w:rPr>
                <w:rFonts w:ascii="Calibri" w:hAnsi="Calibri" w:cs="Calibri"/>
                <w:b/>
                <w:lang w:val="en-GB"/>
              </w:rPr>
              <w:t>160</w:t>
            </w:r>
          </w:p>
        </w:tc>
        <w:tc>
          <w:tcPr>
            <w:tcW w:w="2230" w:type="dxa"/>
          </w:tcPr>
          <w:p w14:paraId="7725872E" w14:textId="77777777" w:rsidR="00F63F94" w:rsidRPr="000613F3" w:rsidRDefault="00F63F94" w:rsidP="000613F3">
            <w:pPr>
              <w:spacing w:after="120"/>
              <w:jc w:val="right"/>
              <w:rPr>
                <w:rFonts w:ascii="Calibri" w:hAnsi="Calibri" w:cs="Calibri"/>
                <w:b/>
                <w:lang w:val="en-GB"/>
              </w:rPr>
            </w:pPr>
            <w:r w:rsidRPr="000613F3">
              <w:rPr>
                <w:rFonts w:ascii="Calibri" w:hAnsi="Calibri" w:cs="Calibri"/>
                <w:b/>
                <w:lang w:val="en-GB"/>
              </w:rPr>
              <w:t>320</w:t>
            </w:r>
          </w:p>
        </w:tc>
      </w:tr>
    </w:tbl>
    <w:p w14:paraId="77258730" w14:textId="77777777" w:rsidR="00F63F94" w:rsidRPr="00EA648F" w:rsidRDefault="00F63F94" w:rsidP="000613F3">
      <w:pPr>
        <w:spacing w:after="0" w:line="240" w:lineRule="auto"/>
        <w:jc w:val="both"/>
        <w:rPr>
          <w:rFonts w:ascii="Calibri" w:hAnsi="Calibri" w:cs="Calibri"/>
          <w:i/>
          <w:color w:val="0070C0"/>
          <w:sz w:val="24"/>
          <w:szCs w:val="24"/>
          <w:lang w:val="en-GB"/>
        </w:rPr>
      </w:pPr>
    </w:p>
    <w:p w14:paraId="77258731" w14:textId="77777777" w:rsidR="00F63F94" w:rsidRPr="000613F3" w:rsidRDefault="00F63F94" w:rsidP="00EA648F">
      <w:pPr>
        <w:spacing w:after="240" w:line="240" w:lineRule="auto"/>
        <w:jc w:val="both"/>
        <w:rPr>
          <w:rFonts w:ascii="Calibri" w:hAnsi="Calibri" w:cs="Calibri"/>
          <w:sz w:val="24"/>
          <w:szCs w:val="24"/>
          <w:lang w:val="en-GB"/>
        </w:rPr>
      </w:pPr>
      <w:r w:rsidRPr="000613F3">
        <w:rPr>
          <w:rFonts w:ascii="Calibri" w:hAnsi="Calibri" w:cs="Calibri"/>
          <w:sz w:val="24"/>
          <w:szCs w:val="24"/>
          <w:lang w:val="en-GB"/>
        </w:rPr>
        <w:t xml:space="preserve">In total, 8 mystery shoppers participated in the experiment, 4 </w:t>
      </w:r>
      <w:r w:rsidRPr="000613F3">
        <w:rPr>
          <w:rFonts w:ascii="Calibri" w:hAnsi="Calibri" w:cs="Calibri"/>
          <w:noProof/>
          <w:sz w:val="24"/>
          <w:szCs w:val="24"/>
          <w:lang w:val="en-GB"/>
        </w:rPr>
        <w:t>males,</w:t>
      </w:r>
      <w:r w:rsidRPr="000613F3">
        <w:rPr>
          <w:rFonts w:ascii="Calibri" w:hAnsi="Calibri" w:cs="Calibri"/>
          <w:sz w:val="24"/>
          <w:szCs w:val="24"/>
          <w:lang w:val="en-GB"/>
        </w:rPr>
        <w:t xml:space="preserve"> and 4 females. Thus, there were 4 pairs of “mystery shoppers”, two male pairs (who contacted the landlords in the role of gay couples and corresponding heterosexual couples), and two female pairs (who contacted the landlords in the role of lesbian couples and corresponding heterosexual couples). “Mystery shoppers” within the pairs </w:t>
      </w:r>
      <w:r w:rsidRPr="000613F3">
        <w:rPr>
          <w:rFonts w:ascii="Calibri" w:hAnsi="Calibri" w:cs="Calibri"/>
          <w:noProof/>
          <w:sz w:val="24"/>
          <w:szCs w:val="24"/>
          <w:lang w:val="en-GB"/>
        </w:rPr>
        <w:t>switched roles</w:t>
      </w:r>
      <w:r w:rsidRPr="000613F3">
        <w:rPr>
          <w:rFonts w:ascii="Calibri" w:hAnsi="Calibri" w:cs="Calibri"/>
          <w:sz w:val="24"/>
          <w:szCs w:val="24"/>
          <w:lang w:val="en-GB"/>
        </w:rPr>
        <w:t xml:space="preserve"> so that each of them called an </w:t>
      </w:r>
      <w:r w:rsidRPr="000613F3">
        <w:rPr>
          <w:rFonts w:ascii="Calibri" w:hAnsi="Calibri" w:cs="Calibri"/>
          <w:noProof/>
          <w:sz w:val="24"/>
          <w:szCs w:val="24"/>
          <w:lang w:val="en-GB"/>
        </w:rPr>
        <w:t>equal number</w:t>
      </w:r>
      <w:r w:rsidRPr="000613F3">
        <w:rPr>
          <w:rFonts w:ascii="Calibri" w:hAnsi="Calibri" w:cs="Calibri"/>
          <w:sz w:val="24"/>
          <w:szCs w:val="24"/>
          <w:lang w:val="en-GB"/>
        </w:rPr>
        <w:t xml:space="preserve"> of landlords in a role of </w:t>
      </w:r>
      <w:r w:rsidRPr="000613F3">
        <w:rPr>
          <w:rFonts w:ascii="Calibri" w:hAnsi="Calibri" w:cs="Calibri"/>
          <w:noProof/>
          <w:sz w:val="24"/>
          <w:szCs w:val="24"/>
          <w:lang w:val="en-GB"/>
        </w:rPr>
        <w:t>same-sex</w:t>
      </w:r>
      <w:r w:rsidRPr="000613F3">
        <w:rPr>
          <w:rFonts w:ascii="Calibri" w:hAnsi="Calibri" w:cs="Calibri"/>
          <w:sz w:val="24"/>
          <w:szCs w:val="24"/>
          <w:lang w:val="en-GB"/>
        </w:rPr>
        <w:t xml:space="preserve"> couple representative and heterosexual couple representative.  </w:t>
      </w:r>
    </w:p>
    <w:p w14:paraId="77258732" w14:textId="77777777" w:rsidR="00F63F94" w:rsidRDefault="00F63F94" w:rsidP="009C4674">
      <w:pPr>
        <w:pStyle w:val="Heading3"/>
      </w:pPr>
      <w:r w:rsidRPr="00316C10">
        <w:t>Measurement</w:t>
      </w:r>
    </w:p>
    <w:p w14:paraId="010603DD" w14:textId="77777777" w:rsidR="00316C10" w:rsidRPr="00316C10" w:rsidRDefault="00316C10" w:rsidP="00EA648F">
      <w:pPr>
        <w:spacing w:after="0"/>
      </w:pPr>
    </w:p>
    <w:p w14:paraId="77258733" w14:textId="77777777" w:rsidR="00F63F94" w:rsidRPr="000613F3" w:rsidRDefault="00F63F94" w:rsidP="00F63F94">
      <w:pPr>
        <w:spacing w:after="120" w:line="240" w:lineRule="auto"/>
        <w:jc w:val="both"/>
        <w:rPr>
          <w:rFonts w:ascii="Calibri" w:hAnsi="Calibri" w:cs="Calibri"/>
          <w:sz w:val="24"/>
          <w:szCs w:val="24"/>
          <w:lang w:val="en-GB"/>
        </w:rPr>
      </w:pPr>
      <w:r w:rsidRPr="000613F3">
        <w:rPr>
          <w:rFonts w:ascii="Calibri" w:hAnsi="Calibri" w:cs="Calibri"/>
          <w:sz w:val="24"/>
          <w:szCs w:val="24"/>
          <w:lang w:val="en-GB"/>
        </w:rPr>
        <w:t xml:space="preserve">Since data </w:t>
      </w:r>
      <w:r w:rsidRPr="000613F3">
        <w:rPr>
          <w:rFonts w:ascii="Calibri" w:hAnsi="Calibri" w:cs="Calibri"/>
          <w:noProof/>
          <w:sz w:val="24"/>
          <w:szCs w:val="24"/>
          <w:lang w:val="en-GB"/>
        </w:rPr>
        <w:t>were</w:t>
      </w:r>
      <w:r w:rsidRPr="000613F3">
        <w:rPr>
          <w:rFonts w:ascii="Calibri" w:hAnsi="Calibri" w:cs="Calibri"/>
          <w:sz w:val="24"/>
          <w:szCs w:val="24"/>
          <w:lang w:val="en-GB"/>
        </w:rPr>
        <w:t xml:space="preserve"> collected through telephone conversations in natural conditions, the qualitative data had to be transformed to quantitative measures</w:t>
      </w:r>
      <w:r w:rsidRPr="000613F3">
        <w:rPr>
          <w:rFonts w:ascii="Calibri" w:hAnsi="Calibri" w:cs="Calibri"/>
          <w:sz w:val="24"/>
          <w:szCs w:val="24"/>
        </w:rPr>
        <w:t xml:space="preserve">. To guarantee the robustness of the quantitative data, the evaluation of the outcomes was performed by independent raters. </w:t>
      </w:r>
      <w:r w:rsidRPr="000613F3">
        <w:rPr>
          <w:rFonts w:ascii="Calibri" w:hAnsi="Calibri" w:cs="Calibri"/>
          <w:sz w:val="24"/>
          <w:szCs w:val="24"/>
          <w:lang w:val="en-GB"/>
        </w:rPr>
        <w:t xml:space="preserve">Since Serbian law prohibits the recording of telephone conversations, the team hired associates who listened to the telephone conversations and wrote them down </w:t>
      </w:r>
      <w:r w:rsidRPr="000613F3">
        <w:rPr>
          <w:rFonts w:ascii="Calibri" w:hAnsi="Calibri" w:cs="Calibri"/>
          <w:noProof/>
          <w:sz w:val="24"/>
          <w:szCs w:val="24"/>
          <w:lang w:val="en-GB"/>
        </w:rPr>
        <w:t>verbatim</w:t>
      </w:r>
      <w:r w:rsidRPr="000613F3">
        <w:rPr>
          <w:rFonts w:ascii="Calibri" w:hAnsi="Calibri" w:cs="Calibri"/>
          <w:sz w:val="24"/>
          <w:szCs w:val="24"/>
          <w:lang w:val="en-GB"/>
        </w:rPr>
        <w:t xml:space="preserve"> but without recording the landlords’ names, or any other information which might reveal the landlords’ identity. The transcripts were then </w:t>
      </w:r>
      <w:r w:rsidRPr="000613F3">
        <w:rPr>
          <w:rFonts w:ascii="Calibri" w:hAnsi="Calibri" w:cs="Calibri"/>
          <w:noProof/>
          <w:sz w:val="24"/>
          <w:szCs w:val="24"/>
          <w:lang w:val="en-GB"/>
        </w:rPr>
        <w:t>analyzed</w:t>
      </w:r>
      <w:r w:rsidRPr="000613F3">
        <w:rPr>
          <w:rFonts w:ascii="Calibri" w:hAnsi="Calibri" w:cs="Calibri"/>
          <w:sz w:val="24"/>
          <w:szCs w:val="24"/>
          <w:lang w:val="en-GB"/>
        </w:rPr>
        <w:t xml:space="preserve"> by the independent raters. </w:t>
      </w:r>
    </w:p>
    <w:p w14:paraId="77258734" w14:textId="77777777" w:rsidR="00F63F94" w:rsidRPr="000613F3" w:rsidRDefault="00F63F94" w:rsidP="00EA648F">
      <w:pPr>
        <w:spacing w:after="0" w:line="240" w:lineRule="auto"/>
        <w:jc w:val="both"/>
        <w:rPr>
          <w:rFonts w:ascii="Calibri" w:hAnsi="Calibri" w:cs="Calibri"/>
          <w:sz w:val="24"/>
          <w:szCs w:val="24"/>
          <w:lang w:val="en-GB"/>
        </w:rPr>
      </w:pPr>
      <w:r w:rsidRPr="000613F3">
        <w:rPr>
          <w:rFonts w:ascii="Calibri" w:hAnsi="Calibri" w:cs="Calibri"/>
          <w:sz w:val="24"/>
          <w:szCs w:val="24"/>
          <w:lang w:val="en-GB"/>
        </w:rPr>
        <w:t xml:space="preserve">The instructions and explanations given to the raters were limited to what was necessary for the completion of their task. The raters conducted the evaluations on Ipsos premises and were seated so that they could not interact among themselves. </w:t>
      </w:r>
    </w:p>
    <w:p w14:paraId="77A403C3" w14:textId="77777777" w:rsidR="002A5731" w:rsidRDefault="002A5731" w:rsidP="009C4674">
      <w:pPr>
        <w:pStyle w:val="Heading3"/>
      </w:pPr>
    </w:p>
    <w:p w14:paraId="6639323C" w14:textId="77777777" w:rsidR="00AE6824" w:rsidRDefault="00AE6824">
      <w:pPr>
        <w:rPr>
          <w:rFonts w:eastAsiaTheme="majorEastAsia" w:cs="Arial"/>
          <w:b/>
          <w:color w:val="2E5496"/>
          <w:sz w:val="24"/>
          <w:szCs w:val="24"/>
        </w:rPr>
      </w:pPr>
      <w:r>
        <w:br w:type="page"/>
      </w:r>
    </w:p>
    <w:p w14:paraId="77258735" w14:textId="07586C23" w:rsidR="00F63F94" w:rsidRDefault="00F63F94" w:rsidP="009C4674">
      <w:pPr>
        <w:pStyle w:val="Heading3"/>
      </w:pPr>
      <w:r w:rsidRPr="00316C10">
        <w:lastRenderedPageBreak/>
        <w:t>Rater reliability</w:t>
      </w:r>
    </w:p>
    <w:p w14:paraId="2A429D48" w14:textId="77777777" w:rsidR="00316C10" w:rsidRPr="00EA648F" w:rsidRDefault="00316C10" w:rsidP="000613F3">
      <w:pPr>
        <w:spacing w:after="0"/>
        <w:rPr>
          <w:sz w:val="24"/>
          <w:szCs w:val="24"/>
        </w:rPr>
      </w:pPr>
    </w:p>
    <w:p w14:paraId="53CD0E94" w14:textId="5D5E4122" w:rsidR="006431F4" w:rsidRPr="000613F3" w:rsidRDefault="00F63F94" w:rsidP="002A5731">
      <w:pPr>
        <w:spacing w:after="120" w:line="240" w:lineRule="auto"/>
        <w:jc w:val="both"/>
        <w:rPr>
          <w:rFonts w:ascii="Calibri" w:hAnsi="Calibri" w:cs="Calibri"/>
          <w:sz w:val="24"/>
          <w:szCs w:val="24"/>
          <w:lang w:val="en-GB"/>
        </w:rPr>
      </w:pPr>
      <w:r w:rsidRPr="000613F3">
        <w:rPr>
          <w:rFonts w:ascii="Calibri" w:hAnsi="Calibri" w:cs="Calibri"/>
          <w:sz w:val="24"/>
          <w:szCs w:val="24"/>
          <w:lang w:val="en-GB"/>
        </w:rPr>
        <w:t>The agreement of the evaluations of the outcomes among the three raters was found to be quite satisfactory. The inter-rater reliability expressed by the intraclass correlation coefficient (ICC)</w:t>
      </w:r>
      <w:r w:rsidRPr="000613F3">
        <w:rPr>
          <w:rStyle w:val="FootnoteReference"/>
          <w:rFonts w:ascii="Calibri" w:hAnsi="Calibri" w:cs="Calibri"/>
          <w:sz w:val="24"/>
          <w:szCs w:val="24"/>
          <w:lang w:val="en-GB"/>
        </w:rPr>
        <w:footnoteReference w:id="6"/>
      </w:r>
      <w:r w:rsidRPr="000613F3">
        <w:rPr>
          <w:rFonts w:ascii="Calibri" w:hAnsi="Calibri" w:cs="Calibri"/>
          <w:sz w:val="24"/>
          <w:szCs w:val="24"/>
          <w:lang w:val="en-GB"/>
        </w:rPr>
        <w:t xml:space="preserve"> </w:t>
      </w:r>
      <w:r w:rsidRPr="000613F3">
        <w:rPr>
          <w:rFonts w:ascii="Calibri" w:hAnsi="Calibri" w:cs="Calibri"/>
          <w:noProof/>
          <w:sz w:val="24"/>
          <w:szCs w:val="24"/>
          <w:lang w:val="en-GB"/>
        </w:rPr>
        <w:t>was as</w:t>
      </w:r>
      <w:r w:rsidRPr="000613F3">
        <w:rPr>
          <w:rFonts w:ascii="Calibri" w:hAnsi="Calibri" w:cs="Calibri"/>
          <w:sz w:val="24"/>
          <w:szCs w:val="24"/>
          <w:lang w:val="en-GB"/>
        </w:rPr>
        <w:t xml:space="preserve"> high as 0.91.</w:t>
      </w:r>
      <w:r w:rsidRPr="000613F3">
        <w:rPr>
          <w:rStyle w:val="FootnoteReference"/>
          <w:rFonts w:ascii="Calibri" w:hAnsi="Calibri" w:cs="Calibri"/>
          <w:sz w:val="24"/>
          <w:szCs w:val="24"/>
          <w:lang w:val="en-GB"/>
        </w:rPr>
        <w:footnoteReference w:id="7"/>
      </w:r>
      <w:r w:rsidRPr="000613F3">
        <w:rPr>
          <w:rFonts w:ascii="Calibri" w:hAnsi="Calibri" w:cs="Calibri"/>
          <w:sz w:val="24"/>
          <w:szCs w:val="24"/>
          <w:lang w:val="en-GB"/>
        </w:rPr>
        <w:t xml:space="preserve"> Since the inter-rater reliability was high, the average ratings of the three raters were used as the final mea</w:t>
      </w:r>
      <w:r w:rsidR="006431F4">
        <w:rPr>
          <w:rFonts w:ascii="Calibri" w:hAnsi="Calibri" w:cs="Calibri"/>
          <w:sz w:val="24"/>
          <w:szCs w:val="24"/>
          <w:lang w:val="en-GB"/>
        </w:rPr>
        <w:t xml:space="preserve">sures of the outcomes. </w:t>
      </w:r>
    </w:p>
    <w:sectPr w:rsidR="006431F4" w:rsidRPr="000613F3" w:rsidSect="0066198F">
      <w:headerReference w:type="default" r:id="rId28"/>
      <w:footerReference w:type="default" r:id="rId29"/>
      <w:pgSz w:w="11900" w:h="16840"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F6EEC" w14:textId="77777777" w:rsidR="0043330C" w:rsidRDefault="0043330C" w:rsidP="00F63F94">
      <w:pPr>
        <w:spacing w:after="0" w:line="240" w:lineRule="auto"/>
      </w:pPr>
      <w:r>
        <w:separator/>
      </w:r>
    </w:p>
    <w:p w14:paraId="1ADF3B10" w14:textId="77777777" w:rsidR="0043330C" w:rsidRDefault="0043330C"/>
  </w:endnote>
  <w:endnote w:type="continuationSeparator" w:id="0">
    <w:p w14:paraId="1EA1DC91" w14:textId="77777777" w:rsidR="0043330C" w:rsidRDefault="0043330C" w:rsidP="00F63F94">
      <w:pPr>
        <w:spacing w:after="0" w:line="240" w:lineRule="auto"/>
      </w:pPr>
      <w:r>
        <w:continuationSeparator/>
      </w:r>
    </w:p>
    <w:p w14:paraId="42977906" w14:textId="77777777" w:rsidR="0043330C" w:rsidRDefault="0043330C"/>
  </w:endnote>
  <w:endnote w:id="1">
    <w:p w14:paraId="77258799" w14:textId="77777777" w:rsidR="004F2757" w:rsidRPr="002A5731" w:rsidRDefault="004F2757" w:rsidP="00F63F94">
      <w:pPr>
        <w:pStyle w:val="EndnoteText"/>
        <w:rPr>
          <w:sz w:val="18"/>
          <w:szCs w:val="18"/>
        </w:rPr>
      </w:pPr>
      <w:r w:rsidRPr="002A5731">
        <w:rPr>
          <w:rStyle w:val="EndnoteReference"/>
          <w:sz w:val="18"/>
          <w:szCs w:val="18"/>
        </w:rPr>
        <w:endnoteRef/>
      </w:r>
      <w:r w:rsidRPr="002A5731">
        <w:rPr>
          <w:sz w:val="18"/>
          <w:szCs w:val="18"/>
        </w:rPr>
        <w:t xml:space="preserve"> Lee Badgett, Laura Durso, and Alyssa Schneebaum, “New Patterns of Poverty in the Lesbian, Gay, and Bisexual Community,” Williams Institute, 2013, </w:t>
      </w:r>
      <w:hyperlink r:id="rId1" w:history="1">
        <w:r w:rsidRPr="002A5731">
          <w:rPr>
            <w:rStyle w:val="Hyperlink"/>
            <w:sz w:val="18"/>
            <w:szCs w:val="18"/>
          </w:rPr>
          <w:t>https://williamsinstitute.law.ucla.edu/wp-content/uploads/LGB-Poverty-Update-Jun-2013.pdf</w:t>
        </w:r>
      </w:hyperlink>
      <w:r w:rsidRPr="002A5731">
        <w:rPr>
          <w:sz w:val="18"/>
          <w:szCs w:val="18"/>
        </w:rPr>
        <w:t>.</w:t>
      </w:r>
    </w:p>
    <w:p w14:paraId="7725879A" w14:textId="77777777" w:rsidR="004F2757" w:rsidRPr="002A5731" w:rsidRDefault="004F2757" w:rsidP="00F63F94">
      <w:pPr>
        <w:pStyle w:val="EndnoteText"/>
        <w:rPr>
          <w:sz w:val="18"/>
          <w:szCs w:val="18"/>
        </w:rPr>
      </w:pPr>
      <w:r w:rsidRPr="002A5731">
        <w:rPr>
          <w:sz w:val="18"/>
          <w:szCs w:val="18"/>
        </w:rPr>
        <w:t>Dominik Koehler, “LGBTI People Are (Likely) Over Represented in the Bottom 40%,” World Bank Group SOGI Task Force,  2015, http://blogs.worldbank.org/governance/lgbti-people-are-likely-over-represented-bottom-40.</w:t>
      </w:r>
    </w:p>
  </w:endnote>
  <w:endnote w:id="2">
    <w:p w14:paraId="7725879B" w14:textId="77777777" w:rsidR="004F2757" w:rsidRPr="002A5731" w:rsidRDefault="004F2757" w:rsidP="00F63F94">
      <w:pPr>
        <w:pStyle w:val="EndnoteText"/>
        <w:rPr>
          <w:sz w:val="18"/>
          <w:szCs w:val="18"/>
        </w:rPr>
      </w:pPr>
      <w:r w:rsidRPr="002A5731">
        <w:rPr>
          <w:rStyle w:val="EndnoteReference"/>
          <w:sz w:val="18"/>
          <w:szCs w:val="18"/>
        </w:rPr>
        <w:endnoteRef/>
      </w:r>
      <w:r w:rsidRPr="002A5731">
        <w:rPr>
          <w:sz w:val="18"/>
          <w:szCs w:val="18"/>
        </w:rPr>
        <w:t xml:space="preserve"> Fundamental Rights Agency, “EU LGBT Survey Technical Report,” European Union Agency for Fundamental Rights, Vienna, 2012, </w:t>
      </w:r>
      <w:hyperlink r:id="rId2" w:history="1">
        <w:r w:rsidRPr="002A5731">
          <w:rPr>
            <w:rStyle w:val="Hyperlink"/>
            <w:sz w:val="18"/>
            <w:szCs w:val="18"/>
          </w:rPr>
          <w:t>http://fra.europa.eu/sites/default/files/eu-lgbt-survey-technical-report_en.pdf</w:t>
        </w:r>
      </w:hyperlink>
      <w:r w:rsidRPr="002A5731">
        <w:rPr>
          <w:sz w:val="18"/>
          <w:szCs w:val="18"/>
        </w:rPr>
        <w:t>.</w:t>
      </w:r>
    </w:p>
  </w:endnote>
  <w:endnote w:id="3">
    <w:p w14:paraId="7725879C" w14:textId="77777777" w:rsidR="004F2757" w:rsidRPr="002A5731" w:rsidRDefault="004F2757" w:rsidP="00F63F94">
      <w:pPr>
        <w:pStyle w:val="EndnoteText"/>
        <w:rPr>
          <w:sz w:val="18"/>
          <w:szCs w:val="18"/>
        </w:rPr>
      </w:pPr>
      <w:r w:rsidRPr="002A5731">
        <w:rPr>
          <w:rStyle w:val="EndnoteReference"/>
          <w:sz w:val="18"/>
          <w:szCs w:val="18"/>
        </w:rPr>
        <w:endnoteRef/>
      </w:r>
      <w:r w:rsidRPr="002A5731">
        <w:rPr>
          <w:sz w:val="18"/>
          <w:szCs w:val="18"/>
        </w:rPr>
        <w:t xml:space="preserve"> Philip Oreopoulos, ‘‘Why Do Skilled Immigrants Struggle in the Labor Market? A Field Experiment With Thirteen Thousand Resumes,” </w:t>
      </w:r>
      <w:r w:rsidRPr="002A5731">
        <w:rPr>
          <w:i/>
          <w:sz w:val="18"/>
          <w:szCs w:val="18"/>
        </w:rPr>
        <w:t>American Economic Journal: Economic Policy</w:t>
      </w:r>
      <w:r w:rsidRPr="002A5731">
        <w:rPr>
          <w:sz w:val="18"/>
          <w:szCs w:val="18"/>
        </w:rPr>
        <w:t xml:space="preserve"> 3, no. 4 (2011): 148– 171, </w:t>
      </w:r>
      <w:hyperlink r:id="rId3" w:history="1">
        <w:r w:rsidRPr="002A5731">
          <w:rPr>
            <w:rStyle w:val="Hyperlink"/>
            <w:sz w:val="18"/>
            <w:szCs w:val="18"/>
          </w:rPr>
          <w:t>https://www.aeaweb.org/articles?id=10.1257/pol.3.4.148</w:t>
        </w:r>
      </w:hyperlink>
      <w:r w:rsidRPr="002A5731">
        <w:rPr>
          <w:sz w:val="18"/>
          <w:szCs w:val="18"/>
        </w:rPr>
        <w:t>.</w:t>
      </w:r>
    </w:p>
  </w:endnote>
  <w:endnote w:id="4">
    <w:p w14:paraId="7725879D" w14:textId="77777777" w:rsidR="004F2757" w:rsidRPr="002A5731" w:rsidRDefault="004F2757" w:rsidP="00F63F94">
      <w:pPr>
        <w:pStyle w:val="EndnoteText"/>
        <w:rPr>
          <w:sz w:val="18"/>
          <w:szCs w:val="18"/>
        </w:rPr>
      </w:pPr>
      <w:r w:rsidRPr="002A5731">
        <w:rPr>
          <w:rStyle w:val="EndnoteReference"/>
          <w:sz w:val="18"/>
          <w:szCs w:val="18"/>
        </w:rPr>
        <w:endnoteRef/>
      </w:r>
      <w:r w:rsidRPr="002A5731">
        <w:rPr>
          <w:sz w:val="18"/>
          <w:szCs w:val="18"/>
        </w:rPr>
        <w:t xml:space="preserve"> Katrin Auspurg, Thomas Hinz, and Laura Schmid, “Contexts and Conditions of Ethnic Discrimination: Evidence From a Field Experiment in a German Housing Market,” </w:t>
      </w:r>
      <w:r w:rsidRPr="002A5731">
        <w:rPr>
          <w:i/>
          <w:iCs/>
          <w:sz w:val="18"/>
          <w:szCs w:val="18"/>
        </w:rPr>
        <w:t>Journal of Housing Economics</w:t>
      </w:r>
      <w:r w:rsidRPr="002A5731">
        <w:rPr>
          <w:sz w:val="18"/>
          <w:szCs w:val="18"/>
        </w:rPr>
        <w:t xml:space="preserve"> </w:t>
      </w:r>
      <w:r w:rsidRPr="002A5731">
        <w:rPr>
          <w:bCs/>
          <w:sz w:val="18"/>
          <w:szCs w:val="18"/>
        </w:rPr>
        <w:t xml:space="preserve">35 (2017): 26-36, </w:t>
      </w:r>
      <w:hyperlink r:id="rId4" w:history="1">
        <w:r w:rsidRPr="002A5731">
          <w:rPr>
            <w:rStyle w:val="Hyperlink"/>
            <w:bCs/>
            <w:sz w:val="18"/>
            <w:szCs w:val="18"/>
          </w:rPr>
          <w:t>https://www.sciencedirect.com/science/article/pii/S1051137717300037</w:t>
        </w:r>
      </w:hyperlink>
      <w:r w:rsidRPr="002A5731">
        <w:rPr>
          <w:bCs/>
          <w:sz w:val="18"/>
          <w:szCs w:val="18"/>
        </w:rPr>
        <w:t>.</w:t>
      </w:r>
    </w:p>
  </w:endnote>
  <w:endnote w:id="5">
    <w:p w14:paraId="7725879E" w14:textId="77777777" w:rsidR="004F2757" w:rsidRPr="002A5731" w:rsidRDefault="004F2757" w:rsidP="00F63F94">
      <w:pPr>
        <w:pStyle w:val="EndnoteText"/>
        <w:rPr>
          <w:sz w:val="18"/>
          <w:szCs w:val="18"/>
        </w:rPr>
      </w:pPr>
      <w:r w:rsidRPr="002A5731">
        <w:rPr>
          <w:rStyle w:val="EndnoteReference"/>
          <w:sz w:val="18"/>
          <w:szCs w:val="18"/>
        </w:rPr>
        <w:endnoteRef/>
      </w:r>
      <w:r w:rsidRPr="002A5731">
        <w:rPr>
          <w:sz w:val="18"/>
          <w:szCs w:val="18"/>
        </w:rPr>
        <w:t xml:space="preserve"> Devah Pager and Hana Shepherd, “</w:t>
      </w:r>
      <w:r w:rsidRPr="002A5731">
        <w:rPr>
          <w:bCs/>
          <w:sz w:val="18"/>
          <w:szCs w:val="18"/>
        </w:rPr>
        <w:t>The Sociology of Discrimination: Racial Discrimination in Employment, Housing, Credit, and Consumer Markets,”</w:t>
      </w:r>
      <w:r w:rsidRPr="002A5731">
        <w:rPr>
          <w:sz w:val="18"/>
          <w:szCs w:val="18"/>
        </w:rPr>
        <w:t xml:space="preserve"> </w:t>
      </w:r>
      <w:r w:rsidRPr="002A5731">
        <w:rPr>
          <w:i/>
          <w:sz w:val="18"/>
          <w:szCs w:val="18"/>
        </w:rPr>
        <w:t>Annual Review of Sociology</w:t>
      </w:r>
      <w:r w:rsidRPr="002A5731">
        <w:rPr>
          <w:sz w:val="18"/>
          <w:szCs w:val="18"/>
        </w:rPr>
        <w:t xml:space="preserve"> 34 (2008): 181-209, </w:t>
      </w:r>
      <w:hyperlink r:id="rId5" w:history="1">
        <w:r w:rsidRPr="002A5731">
          <w:rPr>
            <w:rStyle w:val="Hyperlink"/>
            <w:sz w:val="18"/>
            <w:szCs w:val="18"/>
          </w:rPr>
          <w:t>http://www.annualreviews.org/doi/abs/10.1146/annurev.soc.33.040406.131740</w:t>
        </w:r>
      </w:hyperlink>
      <w:r w:rsidRPr="002A5731">
        <w:rPr>
          <w:sz w:val="18"/>
          <w:szCs w:val="18"/>
        </w:rPr>
        <w:t>.</w:t>
      </w:r>
    </w:p>
  </w:endnote>
  <w:endnote w:id="6">
    <w:p w14:paraId="7725879F" w14:textId="77777777" w:rsidR="004F2757" w:rsidRPr="002A5731" w:rsidRDefault="004F2757" w:rsidP="00F63F94">
      <w:pPr>
        <w:pStyle w:val="EndnoteText"/>
        <w:rPr>
          <w:sz w:val="18"/>
          <w:szCs w:val="18"/>
        </w:rPr>
      </w:pPr>
      <w:r w:rsidRPr="002A5731">
        <w:rPr>
          <w:rStyle w:val="EndnoteReference"/>
          <w:sz w:val="18"/>
          <w:szCs w:val="18"/>
        </w:rPr>
        <w:endnoteRef/>
      </w:r>
      <w:r w:rsidRPr="002A5731">
        <w:rPr>
          <w:sz w:val="18"/>
          <w:szCs w:val="18"/>
        </w:rPr>
        <w:t xml:space="preserve"> András Tilcsik, “Pride and Prejudice: Employment Discrimination against Openly Gay Men in the United States,” </w:t>
      </w:r>
      <w:r w:rsidRPr="002A5731">
        <w:rPr>
          <w:i/>
          <w:sz w:val="18"/>
          <w:szCs w:val="18"/>
        </w:rPr>
        <w:t>American Journal of Sociology</w:t>
      </w:r>
      <w:r w:rsidRPr="002A5731">
        <w:rPr>
          <w:sz w:val="18"/>
          <w:szCs w:val="18"/>
        </w:rPr>
        <w:t xml:space="preserve"> 117, no. 2 (2011): 586-626, </w:t>
      </w:r>
      <w:hyperlink r:id="rId6" w:history="1">
        <w:r w:rsidRPr="002A5731">
          <w:rPr>
            <w:rStyle w:val="Hyperlink"/>
            <w:sz w:val="18"/>
            <w:szCs w:val="18"/>
          </w:rPr>
          <w:t>https://www.ncbi.nlm.nih.gov/pubmed/22268247</w:t>
        </w:r>
      </w:hyperlink>
      <w:r w:rsidRPr="002A5731">
        <w:rPr>
          <w:sz w:val="18"/>
          <w:szCs w:val="18"/>
        </w:rPr>
        <w:t>.</w:t>
      </w:r>
    </w:p>
  </w:endnote>
  <w:endnote w:id="7">
    <w:p w14:paraId="772587A0" w14:textId="77777777" w:rsidR="004F2757" w:rsidRPr="002A5731" w:rsidRDefault="004F2757" w:rsidP="00F63F94">
      <w:pPr>
        <w:pStyle w:val="EndnoteText"/>
        <w:rPr>
          <w:sz w:val="18"/>
          <w:szCs w:val="18"/>
        </w:rPr>
      </w:pPr>
      <w:r w:rsidRPr="002A5731">
        <w:rPr>
          <w:rStyle w:val="EndnoteReference"/>
          <w:sz w:val="18"/>
          <w:szCs w:val="18"/>
        </w:rPr>
        <w:endnoteRef/>
      </w:r>
      <w:r w:rsidRPr="002A5731">
        <w:rPr>
          <w:sz w:val="18"/>
          <w:szCs w:val="18"/>
        </w:rPr>
        <w:t xml:space="preserve"> United Nations Development Programme (UNDP), “Being LGBTI in Eastern Europe: Serbia Country Report,” UNDP, 2017, </w:t>
      </w:r>
      <w:hyperlink r:id="rId7" w:history="1">
        <w:r w:rsidRPr="002A5731">
          <w:rPr>
            <w:rStyle w:val="Hyperlink"/>
            <w:sz w:val="18"/>
            <w:szCs w:val="18"/>
          </w:rPr>
          <w:t>http://www.eurasia.undp.org/content/dam/rbec/docs/undp-rbec-blee-SERBIA%20.pdf</w:t>
        </w:r>
      </w:hyperlink>
      <w:r w:rsidRPr="002A5731">
        <w:rPr>
          <w:sz w:val="18"/>
          <w:szCs w:val="18"/>
        </w:rPr>
        <w:t>.</w:t>
      </w:r>
    </w:p>
  </w:endnote>
  <w:endnote w:id="8">
    <w:p w14:paraId="772587A1" w14:textId="77777777" w:rsidR="004F2757" w:rsidRPr="002A5731" w:rsidRDefault="004F2757" w:rsidP="00F63F94">
      <w:pPr>
        <w:pStyle w:val="EndnoteText"/>
        <w:rPr>
          <w:sz w:val="18"/>
          <w:szCs w:val="18"/>
        </w:rPr>
      </w:pPr>
      <w:r w:rsidRPr="002A5731">
        <w:rPr>
          <w:rStyle w:val="EndnoteReference"/>
          <w:sz w:val="18"/>
          <w:szCs w:val="18"/>
        </w:rPr>
        <w:endnoteRef/>
      </w:r>
      <w:r w:rsidRPr="002A5731">
        <w:rPr>
          <w:sz w:val="18"/>
          <w:szCs w:val="18"/>
        </w:rPr>
        <w:t xml:space="preserve"> European Commission, “Serbia 2016 Report,” Brussels, 2016, 3, </w:t>
      </w:r>
      <w:hyperlink r:id="rId8" w:history="1">
        <w:r w:rsidRPr="002A5731">
          <w:rPr>
            <w:rStyle w:val="Hyperlink"/>
            <w:sz w:val="18"/>
            <w:szCs w:val="18"/>
          </w:rPr>
          <w:t>https://ec.europa.eu/neighbourhood-enlargement/sites/near/files/pdf/key_documents/2016/20161109_report_serbia.pdf</w:t>
        </w:r>
      </w:hyperlink>
      <w:r w:rsidRPr="002A5731">
        <w:rPr>
          <w:sz w:val="18"/>
          <w:szCs w:val="18"/>
        </w:rPr>
        <w:t>.</w:t>
      </w:r>
    </w:p>
  </w:endnote>
  <w:endnote w:id="9">
    <w:p w14:paraId="772587A2" w14:textId="77777777" w:rsidR="004F2757" w:rsidRPr="002A5731" w:rsidRDefault="004F2757" w:rsidP="00F63F94">
      <w:pPr>
        <w:pStyle w:val="EndnoteText"/>
        <w:rPr>
          <w:sz w:val="18"/>
          <w:szCs w:val="18"/>
        </w:rPr>
      </w:pPr>
      <w:r w:rsidRPr="002A5731">
        <w:rPr>
          <w:rStyle w:val="EndnoteReference"/>
          <w:sz w:val="18"/>
          <w:szCs w:val="18"/>
        </w:rPr>
        <w:endnoteRef/>
      </w:r>
      <w:r w:rsidRPr="002A5731">
        <w:rPr>
          <w:sz w:val="18"/>
          <w:szCs w:val="18"/>
        </w:rPr>
        <w:t xml:space="preserve"> UNDP, “Being LGBTI in Eastern Europe.</w:t>
      </w:r>
      <w:r w:rsidRPr="002A5731">
        <w:rPr>
          <w:rStyle w:val="Hyperlink"/>
          <w:sz w:val="18"/>
          <w:szCs w:val="18"/>
        </w:rPr>
        <w:t>”</w:t>
      </w:r>
    </w:p>
  </w:endnote>
  <w:endnote w:id="10">
    <w:p w14:paraId="772587A3" w14:textId="77777777" w:rsidR="004F2757" w:rsidRPr="002A5731" w:rsidRDefault="004F2757" w:rsidP="00F63F94">
      <w:pPr>
        <w:pStyle w:val="EndnoteText"/>
        <w:rPr>
          <w:sz w:val="18"/>
          <w:szCs w:val="18"/>
        </w:rPr>
      </w:pPr>
      <w:r w:rsidRPr="002A5731">
        <w:rPr>
          <w:rStyle w:val="EndnoteReference"/>
          <w:sz w:val="18"/>
          <w:szCs w:val="18"/>
        </w:rPr>
        <w:endnoteRef/>
      </w:r>
      <w:r w:rsidRPr="002A5731">
        <w:rPr>
          <w:sz w:val="18"/>
          <w:szCs w:val="18"/>
        </w:rPr>
        <w:t xml:space="preserve"> Cisgender refers to people whose identity and gender corresponds with their birth sex, i.e., who are not transgender.</w:t>
      </w:r>
    </w:p>
  </w:endnote>
  <w:endnote w:id="11">
    <w:p w14:paraId="772587A4" w14:textId="77777777" w:rsidR="004F2757" w:rsidRPr="002A5731" w:rsidRDefault="004F2757" w:rsidP="00F63F94">
      <w:pPr>
        <w:pStyle w:val="EndnoteText"/>
        <w:rPr>
          <w:sz w:val="18"/>
          <w:szCs w:val="18"/>
        </w:rPr>
      </w:pPr>
      <w:r w:rsidRPr="002A5731">
        <w:rPr>
          <w:rStyle w:val="EndnoteReference"/>
          <w:sz w:val="18"/>
          <w:szCs w:val="18"/>
        </w:rPr>
        <w:endnoteRef/>
      </w:r>
      <w:r w:rsidRPr="002A5731">
        <w:rPr>
          <w:sz w:val="18"/>
          <w:szCs w:val="18"/>
        </w:rPr>
        <w:t xml:space="preserve"> Martijn Hesselink and Ton van der Wiele, “Mystery Shopping: In-Depth Measurement of Customer Satisfaction,” 2011, </w:t>
      </w:r>
      <w:hyperlink r:id="rId9" w:history="1">
        <w:r w:rsidRPr="002A5731">
          <w:rPr>
            <w:rStyle w:val="Hyperlink"/>
            <w:sz w:val="18"/>
            <w:szCs w:val="18"/>
          </w:rPr>
          <w:t>http://www.mvmgroup.rs/wp-content/uploads/2011/04/Importance-of-mistery-shopping.pdf</w:t>
        </w:r>
      </w:hyperlink>
      <w:r w:rsidRPr="002A5731">
        <w:rPr>
          <w:sz w:val="18"/>
          <w:szCs w:val="18"/>
        </w:rPr>
        <w:t xml:space="preserve">. </w:t>
      </w:r>
    </w:p>
  </w:endnote>
  <w:endnote w:id="12">
    <w:p w14:paraId="772587A5" w14:textId="77777777" w:rsidR="004F2757" w:rsidRPr="002A5731" w:rsidRDefault="004F2757" w:rsidP="00F63F94">
      <w:pPr>
        <w:pStyle w:val="EndnoteText"/>
        <w:rPr>
          <w:sz w:val="18"/>
          <w:szCs w:val="18"/>
        </w:rPr>
      </w:pPr>
      <w:r w:rsidRPr="002A5731">
        <w:rPr>
          <w:rStyle w:val="EndnoteReference"/>
          <w:sz w:val="18"/>
          <w:szCs w:val="18"/>
        </w:rPr>
        <w:endnoteRef/>
      </w:r>
      <w:r w:rsidRPr="002A5731">
        <w:rPr>
          <w:sz w:val="18"/>
          <w:szCs w:val="18"/>
        </w:rPr>
        <w:t xml:space="preserve"> For example, in the SILC survey, (World Bank forthcoming), only 17 percent of LGBTI respondents stated that they were open about their sexual orientation at work in the last five years. </w:t>
      </w:r>
    </w:p>
  </w:endnote>
  <w:endnote w:id="13">
    <w:p w14:paraId="772587A6" w14:textId="77777777" w:rsidR="004F2757" w:rsidRPr="002A5731" w:rsidRDefault="004F2757" w:rsidP="00F63F94">
      <w:pPr>
        <w:pStyle w:val="EndnoteText"/>
        <w:rPr>
          <w:sz w:val="18"/>
          <w:szCs w:val="18"/>
        </w:rPr>
      </w:pPr>
      <w:r w:rsidRPr="002A5731">
        <w:rPr>
          <w:rStyle w:val="EndnoteReference"/>
          <w:sz w:val="18"/>
          <w:szCs w:val="18"/>
        </w:rPr>
        <w:endnoteRef/>
      </w:r>
      <w:r w:rsidRPr="002A5731">
        <w:rPr>
          <w:sz w:val="18"/>
          <w:szCs w:val="18"/>
        </w:rPr>
        <w:t xml:space="preserve"> For example, qualitative survey focus groups in Belgrade, Nis, and Novi Sad showed that in the acronym LGBT, most of the participants were familiar only with the meaning of the letters L (lesbian) and G (gay). The result was confirmed in the quantitative survey, showing that majority of the people in Serbia relate LGBT population to gay, lesbian, and bisexual people, while the awareness of transgender and intersex people is quite low. National Democratic Institute (NDI), “LGBTI Public Opinion Poll: Western Balkans,” 2015, </w:t>
      </w:r>
      <w:hyperlink r:id="rId10" w:history="1">
        <w:r w:rsidRPr="002A5731">
          <w:rPr>
            <w:rStyle w:val="Hyperlink"/>
            <w:sz w:val="18"/>
            <w:szCs w:val="18"/>
          </w:rPr>
          <w:t>https://www.ndi.org/LGBTI_Balkans_poll</w:t>
        </w:r>
      </w:hyperlink>
      <w:r w:rsidRPr="002A5731">
        <w:rPr>
          <w:sz w:val="18"/>
          <w:szCs w:val="18"/>
        </w:rPr>
        <w:t>.</w:t>
      </w:r>
    </w:p>
  </w:endnote>
  <w:endnote w:id="14">
    <w:p w14:paraId="772587A7" w14:textId="77777777" w:rsidR="004F2757" w:rsidRPr="002A5731" w:rsidRDefault="004F2757" w:rsidP="00F63F94">
      <w:pPr>
        <w:pStyle w:val="EndnoteText"/>
        <w:rPr>
          <w:sz w:val="18"/>
          <w:szCs w:val="18"/>
        </w:rPr>
      </w:pPr>
      <w:r w:rsidRPr="002A5731">
        <w:rPr>
          <w:rStyle w:val="EndnoteReference"/>
          <w:sz w:val="18"/>
          <w:szCs w:val="18"/>
        </w:rPr>
        <w:endnoteRef/>
      </w:r>
      <w:r w:rsidRPr="002A5731">
        <w:rPr>
          <w:sz w:val="18"/>
          <w:szCs w:val="18"/>
        </w:rPr>
        <w:t xml:space="preserve"> UNESCO, “From Insult to Inclusion: Asia-Pacific Report on Bullying, Violence and Discrimination on the Basis of Sexual Orientation and Gender Identity,” Bangkok, 2015, </w:t>
      </w:r>
      <w:hyperlink r:id="rId11" w:history="1">
        <w:r w:rsidRPr="002A5731">
          <w:rPr>
            <w:rStyle w:val="Hyperlink"/>
            <w:sz w:val="18"/>
            <w:szCs w:val="18"/>
          </w:rPr>
          <w:t>http://unesdoc.unesco.org/images/0023/002354/235414e.pdf</w:t>
        </w:r>
      </w:hyperlink>
      <w:r w:rsidRPr="002A5731">
        <w:rPr>
          <w:sz w:val="18"/>
          <w:szCs w:val="18"/>
        </w:rPr>
        <w:t xml:space="preserve">. </w:t>
      </w:r>
    </w:p>
  </w:endnote>
  <w:endnote w:id="15">
    <w:p w14:paraId="772587A8" w14:textId="77777777" w:rsidR="004F2757" w:rsidRPr="002A5731" w:rsidRDefault="004F2757" w:rsidP="00F63F94">
      <w:pPr>
        <w:pStyle w:val="EndnoteText"/>
        <w:rPr>
          <w:sz w:val="18"/>
          <w:szCs w:val="18"/>
        </w:rPr>
      </w:pPr>
      <w:r w:rsidRPr="002A5731">
        <w:rPr>
          <w:rStyle w:val="EndnoteReference"/>
          <w:sz w:val="18"/>
          <w:szCs w:val="18"/>
        </w:rPr>
        <w:endnoteRef/>
      </w:r>
      <w:r w:rsidRPr="002A5731">
        <w:rPr>
          <w:sz w:val="18"/>
          <w:szCs w:val="18"/>
        </w:rPr>
        <w:t xml:space="preserve"> Mahidol University, Plan International Thailand, and UNESCO Bangkok Office, “Bullying Targeting Secondary School Students Who Are or Are Perceived to Be Transgender or Same-Sex Attracted: Types, Prevalence, Impact, Motivation and Preventive Measures in 5 Provinces of Thailand,” Bangkok, 2014, </w:t>
      </w:r>
      <w:hyperlink r:id="rId12" w:history="1">
        <w:r w:rsidRPr="002A5731">
          <w:rPr>
            <w:rStyle w:val="Hyperlink"/>
            <w:sz w:val="18"/>
            <w:szCs w:val="18"/>
          </w:rPr>
          <w:t>http://unesdoc.unesco.org/images/0022/002275/227518e.pdf</w:t>
        </w:r>
      </w:hyperlink>
      <w:r w:rsidRPr="002A5731">
        <w:rPr>
          <w:sz w:val="18"/>
          <w:szCs w:val="18"/>
        </w:rPr>
        <w:t xml:space="preserve">. </w:t>
      </w:r>
    </w:p>
  </w:endnote>
  <w:endnote w:id="16">
    <w:p w14:paraId="772587A9" w14:textId="77777777" w:rsidR="004F2757" w:rsidRPr="002A5731" w:rsidRDefault="004F2757" w:rsidP="00F63F94">
      <w:pPr>
        <w:pStyle w:val="EndnoteText"/>
        <w:rPr>
          <w:sz w:val="18"/>
          <w:szCs w:val="18"/>
        </w:rPr>
      </w:pPr>
      <w:r w:rsidRPr="002A5731">
        <w:rPr>
          <w:rStyle w:val="EndnoteReference"/>
          <w:sz w:val="18"/>
          <w:szCs w:val="18"/>
        </w:rPr>
        <w:endnoteRef/>
      </w:r>
      <w:r w:rsidRPr="002A5731">
        <w:rPr>
          <w:sz w:val="18"/>
          <w:szCs w:val="18"/>
        </w:rPr>
        <w:t xml:space="preserve"> A detailed description of the methodology can be found in Annex, available upon request.</w:t>
      </w:r>
    </w:p>
  </w:endnote>
  <w:endnote w:id="17">
    <w:p w14:paraId="772587AA" w14:textId="77777777" w:rsidR="004F2757" w:rsidRPr="002A5731" w:rsidRDefault="004F2757" w:rsidP="00F63F94">
      <w:pPr>
        <w:pStyle w:val="EndnoteText"/>
        <w:rPr>
          <w:sz w:val="18"/>
          <w:szCs w:val="18"/>
        </w:rPr>
      </w:pPr>
      <w:r w:rsidRPr="002A5731">
        <w:rPr>
          <w:rStyle w:val="EndnoteReference"/>
          <w:sz w:val="18"/>
          <w:szCs w:val="18"/>
        </w:rPr>
        <w:endnoteRef/>
      </w:r>
      <w:r w:rsidRPr="002A5731">
        <w:rPr>
          <w:sz w:val="18"/>
          <w:szCs w:val="18"/>
        </w:rPr>
        <w:t xml:space="preserve"> Telephone conversations included in Annex, available upon request</w:t>
      </w:r>
    </w:p>
  </w:endnote>
  <w:endnote w:id="18">
    <w:p w14:paraId="772587AB" w14:textId="77777777" w:rsidR="004F2757" w:rsidRPr="002A5731" w:rsidRDefault="004F2757" w:rsidP="00F63F94">
      <w:pPr>
        <w:pStyle w:val="EndnoteText"/>
        <w:rPr>
          <w:sz w:val="18"/>
          <w:szCs w:val="18"/>
        </w:rPr>
      </w:pPr>
      <w:r w:rsidRPr="002A5731">
        <w:rPr>
          <w:rStyle w:val="EndnoteReference"/>
          <w:sz w:val="18"/>
          <w:szCs w:val="18"/>
        </w:rPr>
        <w:endnoteRef/>
      </w:r>
      <w:r w:rsidRPr="002A5731">
        <w:rPr>
          <w:sz w:val="18"/>
          <w:szCs w:val="18"/>
        </w:rPr>
        <w:t xml:space="preserve"> Based on the definition by the Serbian Government. For further details see Annex, available upon request.</w:t>
      </w:r>
    </w:p>
  </w:endnote>
  <w:endnote w:id="19">
    <w:p w14:paraId="772587AC" w14:textId="77777777" w:rsidR="004F2757" w:rsidRPr="002A5731" w:rsidRDefault="004F2757" w:rsidP="00F63F94">
      <w:pPr>
        <w:shd w:val="clear" w:color="auto" w:fill="FFFFFF"/>
        <w:spacing w:after="0" w:line="240" w:lineRule="auto"/>
        <w:rPr>
          <w:sz w:val="18"/>
          <w:szCs w:val="18"/>
        </w:rPr>
      </w:pPr>
      <w:r w:rsidRPr="002A5731">
        <w:rPr>
          <w:rStyle w:val="EndnoteReference"/>
          <w:sz w:val="18"/>
          <w:szCs w:val="18"/>
        </w:rPr>
        <w:endnoteRef/>
      </w:r>
      <w:r w:rsidRPr="002A5731">
        <w:rPr>
          <w:sz w:val="18"/>
          <w:szCs w:val="18"/>
        </w:rPr>
        <w:t xml:space="preserve"> </w:t>
      </w:r>
      <w:r w:rsidRPr="002A5731">
        <w:rPr>
          <w:rFonts w:eastAsia="Times New Roman" w:cs="Segoe UI"/>
          <w:color w:val="000000"/>
          <w:sz w:val="18"/>
          <w:szCs w:val="18"/>
          <w:lang w:val="en-GB"/>
        </w:rPr>
        <w:t xml:space="preserve">The results did not vary systematically depending on geographic region, municipality size (expressed by the </w:t>
      </w:r>
      <w:r w:rsidRPr="002A5731">
        <w:rPr>
          <w:rFonts w:eastAsia="Times New Roman" w:cs="Segoe UI"/>
          <w:noProof/>
          <w:color w:val="000000"/>
          <w:sz w:val="18"/>
          <w:szCs w:val="18"/>
          <w:lang w:val="en-GB"/>
        </w:rPr>
        <w:t>number</w:t>
      </w:r>
      <w:r w:rsidRPr="002A5731">
        <w:rPr>
          <w:rFonts w:eastAsia="Times New Roman" w:cs="Segoe UI"/>
          <w:color w:val="000000"/>
          <w:sz w:val="18"/>
          <w:szCs w:val="18"/>
          <w:lang w:val="en-GB"/>
        </w:rPr>
        <w:t xml:space="preserve"> of primary schools), or school location (on the outskirts or in the town </w:t>
      </w:r>
      <w:r w:rsidRPr="002A5731">
        <w:rPr>
          <w:rFonts w:eastAsia="Times New Roman" w:cs="Segoe UI"/>
          <w:noProof/>
          <w:color w:val="000000"/>
          <w:sz w:val="18"/>
          <w:szCs w:val="18"/>
          <w:lang w:val="en-GB"/>
        </w:rPr>
        <w:t>center</w:t>
      </w:r>
      <w:r w:rsidRPr="002A5731">
        <w:rPr>
          <w:rFonts w:eastAsia="Times New Roman" w:cs="Segoe UI"/>
          <w:color w:val="000000"/>
          <w:sz w:val="18"/>
          <w:szCs w:val="18"/>
          <w:lang w:val="en-GB"/>
        </w:rPr>
        <w:t xml:space="preserve">); hence these variables are not reported. </w:t>
      </w:r>
    </w:p>
  </w:endnote>
  <w:endnote w:id="20">
    <w:p w14:paraId="772587AD" w14:textId="77777777" w:rsidR="004F2757" w:rsidRPr="002A5731" w:rsidRDefault="004F2757" w:rsidP="00F63F94">
      <w:pPr>
        <w:pStyle w:val="EndnoteText"/>
        <w:rPr>
          <w:rFonts w:eastAsia="Times New Roman"/>
          <w:i/>
          <w:iCs/>
          <w:sz w:val="18"/>
          <w:szCs w:val="18"/>
        </w:rPr>
      </w:pPr>
      <w:r w:rsidRPr="002A5731">
        <w:rPr>
          <w:rStyle w:val="EndnoteReference"/>
          <w:sz w:val="18"/>
          <w:szCs w:val="18"/>
        </w:rPr>
        <w:endnoteRef/>
      </w:r>
      <w:r w:rsidRPr="002A5731">
        <w:rPr>
          <w:sz w:val="18"/>
          <w:szCs w:val="18"/>
        </w:rPr>
        <w:t xml:space="preserve"> For example: Kilem </w:t>
      </w:r>
      <w:r w:rsidRPr="002A5731">
        <w:rPr>
          <w:rFonts w:eastAsia="Times New Roman"/>
          <w:sz w:val="18"/>
          <w:szCs w:val="18"/>
        </w:rPr>
        <w:t xml:space="preserve">Gwet, </w:t>
      </w:r>
      <w:r w:rsidRPr="002A5731">
        <w:rPr>
          <w:sz w:val="18"/>
          <w:szCs w:val="18"/>
        </w:rPr>
        <w:t>Handbook of Inter-Rater Reliability</w:t>
      </w:r>
      <w:r w:rsidRPr="002A5731">
        <w:rPr>
          <w:rFonts w:eastAsia="Times New Roman"/>
          <w:i/>
          <w:iCs/>
          <w:sz w:val="18"/>
          <w:szCs w:val="18"/>
        </w:rPr>
        <w:t>: The Definitive Guide to Measuring the Extent of Agreement Among Multiple Raters</w:t>
      </w:r>
      <w:r w:rsidRPr="002A5731">
        <w:rPr>
          <w:sz w:val="18"/>
          <w:szCs w:val="18"/>
        </w:rPr>
        <w:t xml:space="preserve">, </w:t>
      </w:r>
      <w:r w:rsidRPr="002A5731">
        <w:rPr>
          <w:rFonts w:eastAsia="Times New Roman"/>
          <w:iCs/>
          <w:sz w:val="18"/>
          <w:szCs w:val="18"/>
        </w:rPr>
        <w:t>4th ed.,</w:t>
      </w:r>
      <w:r w:rsidRPr="002A5731">
        <w:rPr>
          <w:rFonts w:eastAsia="Times New Roman"/>
          <w:sz w:val="18"/>
          <w:szCs w:val="18"/>
        </w:rPr>
        <w:t xml:space="preserve"> (Gaithersburg: Advanced Analytics, LLC, 2014), </w:t>
      </w:r>
      <w:hyperlink r:id="rId13" w:history="1">
        <w:r w:rsidRPr="002A5731">
          <w:rPr>
            <w:rStyle w:val="Hyperlink"/>
            <w:rFonts w:eastAsia="Times New Roman"/>
            <w:sz w:val="18"/>
            <w:szCs w:val="18"/>
          </w:rPr>
          <w:t>http://www.agreestat.com/book4/</w:t>
        </w:r>
      </w:hyperlink>
      <w:r w:rsidRPr="002A5731">
        <w:rPr>
          <w:rFonts w:eastAsia="Times New Roman"/>
          <w:sz w:val="18"/>
          <w:szCs w:val="18"/>
        </w:rPr>
        <w:t>.</w:t>
      </w:r>
    </w:p>
  </w:endnote>
  <w:endnote w:id="21">
    <w:p w14:paraId="772587AE" w14:textId="77777777" w:rsidR="004F2757" w:rsidRPr="002A5731" w:rsidRDefault="004F2757" w:rsidP="00F63F94">
      <w:pPr>
        <w:pStyle w:val="EndnoteText"/>
        <w:rPr>
          <w:sz w:val="18"/>
          <w:szCs w:val="18"/>
        </w:rPr>
      </w:pPr>
      <w:r w:rsidRPr="002A5731">
        <w:rPr>
          <w:rStyle w:val="EndnoteReference"/>
          <w:sz w:val="18"/>
          <w:szCs w:val="18"/>
        </w:rPr>
        <w:endnoteRef/>
      </w:r>
      <w:r w:rsidRPr="002A5731">
        <w:rPr>
          <w:sz w:val="18"/>
          <w:szCs w:val="18"/>
        </w:rPr>
        <w:t xml:space="preserve"> </w:t>
      </w:r>
      <w:r w:rsidRPr="002A5731">
        <w:rPr>
          <w:rFonts w:cs="Arial"/>
          <w:color w:val="000000"/>
          <w:sz w:val="18"/>
          <w:szCs w:val="18"/>
        </w:rPr>
        <w:t xml:space="preserve">Pearson Chi-Square = 5.52, df = 1, </w:t>
      </w:r>
      <w:r w:rsidRPr="002A5731">
        <w:rPr>
          <w:sz w:val="18"/>
          <w:szCs w:val="18"/>
        </w:rPr>
        <w:t>p &lt; 0.05.</w:t>
      </w:r>
    </w:p>
  </w:endnote>
  <w:endnote w:id="22">
    <w:p w14:paraId="772587AF" w14:textId="77777777" w:rsidR="004F2757" w:rsidRPr="002A5731" w:rsidRDefault="004F2757" w:rsidP="00F63F94">
      <w:pPr>
        <w:pStyle w:val="EndnoteText"/>
        <w:rPr>
          <w:sz w:val="18"/>
          <w:szCs w:val="18"/>
        </w:rPr>
      </w:pPr>
      <w:r w:rsidRPr="002A5731">
        <w:rPr>
          <w:rStyle w:val="EndnoteReference"/>
          <w:sz w:val="18"/>
          <w:szCs w:val="18"/>
        </w:rPr>
        <w:endnoteRef/>
      </w:r>
      <w:r w:rsidRPr="002A5731">
        <w:rPr>
          <w:sz w:val="18"/>
          <w:szCs w:val="18"/>
        </w:rPr>
        <w:t xml:space="preserve"> Pearson Chi-Square = 21.97, df = 1, p &lt; 0.001.</w:t>
      </w:r>
    </w:p>
  </w:endnote>
  <w:endnote w:id="23">
    <w:p w14:paraId="772587B0" w14:textId="77777777" w:rsidR="004F2757" w:rsidRPr="002A5731" w:rsidRDefault="004F2757" w:rsidP="00F63F94">
      <w:pPr>
        <w:pStyle w:val="EndnoteText"/>
        <w:rPr>
          <w:sz w:val="18"/>
          <w:szCs w:val="18"/>
        </w:rPr>
      </w:pPr>
      <w:r w:rsidRPr="002A5731">
        <w:rPr>
          <w:rStyle w:val="EndnoteReference"/>
          <w:sz w:val="18"/>
          <w:szCs w:val="18"/>
        </w:rPr>
        <w:endnoteRef/>
      </w:r>
      <w:r w:rsidRPr="002A5731">
        <w:rPr>
          <w:sz w:val="18"/>
          <w:szCs w:val="18"/>
        </w:rPr>
        <w:t xml:space="preserve"> Laura Durso and Gary Gates, “Serving Our Youth: Findings from a National Survey of Service Providers Working with Lesbian, Gay, Bisexual and Transgender Youth Who Are Homeless or At Risk of Becoming Homeless,” Los Angeles, The Williams Institute with True Colors Fund and The Palette Fund, 2012, https://williamsinstitute.law.ucla.edu/research/safe-schools-and-youth/serving-our-youth-july-2012/.</w:t>
      </w:r>
    </w:p>
  </w:endnote>
  <w:endnote w:id="24">
    <w:p w14:paraId="772587B1" w14:textId="77777777" w:rsidR="004F2757" w:rsidRPr="002A5731" w:rsidRDefault="004F2757" w:rsidP="00F63F94">
      <w:pPr>
        <w:pStyle w:val="EndnoteText"/>
        <w:rPr>
          <w:sz w:val="18"/>
          <w:szCs w:val="18"/>
        </w:rPr>
      </w:pPr>
      <w:r w:rsidRPr="002A5731">
        <w:rPr>
          <w:rStyle w:val="EndnoteReference"/>
          <w:sz w:val="18"/>
          <w:szCs w:val="18"/>
        </w:rPr>
        <w:endnoteRef/>
      </w:r>
      <w:r w:rsidRPr="002A5731">
        <w:rPr>
          <w:sz w:val="18"/>
          <w:szCs w:val="18"/>
        </w:rPr>
        <w:t xml:space="preserve"> See the Annex for a fuller description of the scenario.</w:t>
      </w:r>
    </w:p>
  </w:endnote>
  <w:endnote w:id="25">
    <w:p w14:paraId="772587B2" w14:textId="77777777" w:rsidR="004F2757" w:rsidRPr="002A5731" w:rsidRDefault="004F2757" w:rsidP="00F63F94">
      <w:pPr>
        <w:pStyle w:val="EndnoteText"/>
        <w:rPr>
          <w:sz w:val="18"/>
          <w:szCs w:val="18"/>
        </w:rPr>
      </w:pPr>
      <w:r w:rsidRPr="002A5731">
        <w:rPr>
          <w:rStyle w:val="EndnoteReference"/>
          <w:sz w:val="18"/>
          <w:szCs w:val="18"/>
        </w:rPr>
        <w:endnoteRef/>
      </w:r>
      <w:r w:rsidRPr="002A5731">
        <w:rPr>
          <w:sz w:val="18"/>
          <w:szCs w:val="18"/>
        </w:rPr>
        <w:t xml:space="preserve"> Kilem </w:t>
      </w:r>
      <w:r w:rsidRPr="002A5731">
        <w:rPr>
          <w:rFonts w:eastAsia="Times New Roman"/>
          <w:sz w:val="18"/>
          <w:szCs w:val="18"/>
        </w:rPr>
        <w:t xml:space="preserve">Gwet, </w:t>
      </w:r>
      <w:r w:rsidRPr="002A5731">
        <w:rPr>
          <w:rFonts w:eastAsia="Times New Roman"/>
          <w:i/>
          <w:sz w:val="18"/>
          <w:szCs w:val="18"/>
        </w:rPr>
        <w:t>Handbook of Inter-Rater Reliability.</w:t>
      </w:r>
      <w:r w:rsidRPr="002A5731">
        <w:rPr>
          <w:rFonts w:eastAsia="Times New Roman"/>
          <w:sz w:val="18"/>
          <w:szCs w:val="18"/>
        </w:rPr>
        <w:t xml:space="preserve"> </w:t>
      </w:r>
    </w:p>
  </w:endnote>
  <w:endnote w:id="26">
    <w:p w14:paraId="772587B3" w14:textId="77777777" w:rsidR="004F2757" w:rsidRPr="002A5731" w:rsidRDefault="004F2757" w:rsidP="00F63F94">
      <w:pPr>
        <w:pStyle w:val="EndnoteText"/>
        <w:rPr>
          <w:sz w:val="18"/>
          <w:szCs w:val="18"/>
        </w:rPr>
      </w:pPr>
      <w:r w:rsidRPr="002A5731">
        <w:rPr>
          <w:rStyle w:val="EndnoteReference"/>
          <w:sz w:val="18"/>
          <w:szCs w:val="18"/>
        </w:rPr>
        <w:endnoteRef/>
      </w:r>
      <w:r w:rsidRPr="002A5731">
        <w:rPr>
          <w:sz w:val="18"/>
          <w:szCs w:val="18"/>
        </w:rPr>
        <w:t xml:space="preserve"> </w:t>
      </w:r>
      <w:r w:rsidRPr="002A5731">
        <w:rPr>
          <w:rFonts w:cs="Arial"/>
          <w:color w:val="000000"/>
          <w:sz w:val="18"/>
          <w:szCs w:val="18"/>
        </w:rPr>
        <w:t xml:space="preserve">Pearson Chi-Square = 41.63, df = 3, </w:t>
      </w:r>
      <w:r w:rsidRPr="002A5731">
        <w:rPr>
          <w:sz w:val="18"/>
          <w:szCs w:val="18"/>
        </w:rPr>
        <w:t>p &lt; 0.001</w:t>
      </w:r>
      <w:r w:rsidRPr="002A5731">
        <w:rPr>
          <w:rFonts w:cs="Arial"/>
          <w:color w:val="000000"/>
          <w:sz w:val="18"/>
          <w:szCs w:val="18"/>
        </w:rPr>
        <w:t>.</w:t>
      </w:r>
    </w:p>
  </w:endnote>
  <w:endnote w:id="27">
    <w:p w14:paraId="772587B4" w14:textId="77777777" w:rsidR="004F2757" w:rsidRPr="002A5731" w:rsidRDefault="004F2757" w:rsidP="00F63F94">
      <w:pPr>
        <w:pStyle w:val="EndnoteText"/>
        <w:rPr>
          <w:sz w:val="18"/>
          <w:szCs w:val="18"/>
        </w:rPr>
      </w:pPr>
      <w:r w:rsidRPr="002A5731">
        <w:rPr>
          <w:rStyle w:val="EndnoteReference"/>
          <w:sz w:val="18"/>
          <w:szCs w:val="18"/>
        </w:rPr>
        <w:endnoteRef/>
      </w:r>
      <w:r w:rsidRPr="002A5731">
        <w:rPr>
          <w:sz w:val="18"/>
          <w:szCs w:val="18"/>
        </w:rPr>
        <w:t xml:space="preserve"> </w:t>
      </w:r>
      <w:r w:rsidRPr="002A5731">
        <w:rPr>
          <w:rFonts w:cs="Arial"/>
          <w:sz w:val="18"/>
          <w:szCs w:val="18"/>
        </w:rPr>
        <w:t xml:space="preserve">Pearson Chi-Square = 12.172, df = 1, </w:t>
      </w:r>
      <w:r w:rsidRPr="002A5731">
        <w:rPr>
          <w:sz w:val="18"/>
          <w:szCs w:val="18"/>
        </w:rPr>
        <w:t>p &lt; 0.001</w:t>
      </w:r>
      <w:r w:rsidRPr="002A5731">
        <w:rPr>
          <w:rFonts w:cs="Arial"/>
          <w:sz w:val="18"/>
          <w:szCs w:val="18"/>
        </w:rPr>
        <w:t xml:space="preserve"> .</w:t>
      </w:r>
    </w:p>
  </w:endnote>
  <w:endnote w:id="28">
    <w:p w14:paraId="772587B5" w14:textId="77777777" w:rsidR="004F2757" w:rsidRPr="002A5731" w:rsidRDefault="004F2757" w:rsidP="00F63F94">
      <w:pPr>
        <w:pStyle w:val="EndnoteText"/>
        <w:rPr>
          <w:sz w:val="18"/>
          <w:szCs w:val="18"/>
        </w:rPr>
      </w:pPr>
      <w:r w:rsidRPr="002A5731">
        <w:rPr>
          <w:rStyle w:val="EndnoteReference"/>
          <w:sz w:val="18"/>
          <w:szCs w:val="18"/>
        </w:rPr>
        <w:endnoteRef/>
      </w:r>
      <w:r w:rsidRPr="002A5731">
        <w:rPr>
          <w:sz w:val="18"/>
          <w:szCs w:val="18"/>
        </w:rPr>
        <w:t xml:space="preserve"> Gay and corresponding heterosexual group: </w:t>
      </w:r>
      <w:r w:rsidRPr="002A5731">
        <w:rPr>
          <w:rFonts w:cs="Arial"/>
          <w:sz w:val="18"/>
          <w:szCs w:val="18"/>
        </w:rPr>
        <w:t xml:space="preserve">Pearson Chi-Square = 7.36, </w:t>
      </w:r>
      <w:r w:rsidRPr="002A5731">
        <w:rPr>
          <w:rFonts w:cs="Arial"/>
          <w:color w:val="000000"/>
          <w:sz w:val="18"/>
          <w:szCs w:val="18"/>
        </w:rPr>
        <w:t xml:space="preserve">df = 1, </w:t>
      </w:r>
      <w:r w:rsidRPr="002A5731">
        <w:rPr>
          <w:sz w:val="18"/>
          <w:szCs w:val="18"/>
        </w:rPr>
        <w:t>p &lt; 0.01.</w:t>
      </w:r>
    </w:p>
  </w:endnote>
  <w:endnote w:id="29">
    <w:p w14:paraId="772587B6" w14:textId="77777777" w:rsidR="004F2757" w:rsidRPr="002A5731" w:rsidRDefault="004F2757" w:rsidP="00F63F94">
      <w:pPr>
        <w:pStyle w:val="EndnoteText"/>
        <w:rPr>
          <w:sz w:val="18"/>
          <w:szCs w:val="18"/>
        </w:rPr>
      </w:pPr>
      <w:r w:rsidRPr="002A5731">
        <w:rPr>
          <w:rStyle w:val="EndnoteReference"/>
          <w:sz w:val="18"/>
          <w:szCs w:val="18"/>
        </w:rPr>
        <w:endnoteRef/>
      </w:r>
      <w:r w:rsidRPr="002A5731">
        <w:rPr>
          <w:sz w:val="18"/>
          <w:szCs w:val="18"/>
        </w:rPr>
        <w:t xml:space="preserve"> Lesbian and corresponding heterosexual group: </w:t>
      </w:r>
      <w:r w:rsidRPr="002A5731">
        <w:rPr>
          <w:rFonts w:cs="Arial"/>
          <w:sz w:val="18"/>
          <w:szCs w:val="18"/>
        </w:rPr>
        <w:t xml:space="preserve">Pearson Chi-Square = 3.11, df = 1, </w:t>
      </w:r>
      <w:r w:rsidRPr="002A5731">
        <w:rPr>
          <w:sz w:val="18"/>
          <w:szCs w:val="18"/>
        </w:rPr>
        <w:t>p = 0.08.</w:t>
      </w:r>
    </w:p>
  </w:endnote>
  <w:endnote w:id="30">
    <w:p w14:paraId="772587B7" w14:textId="77777777" w:rsidR="004F2757" w:rsidRPr="002A5731" w:rsidRDefault="004F2757" w:rsidP="00F63F94">
      <w:pPr>
        <w:pStyle w:val="EndnoteText"/>
        <w:rPr>
          <w:sz w:val="18"/>
          <w:szCs w:val="18"/>
        </w:rPr>
      </w:pPr>
      <w:r w:rsidRPr="002A5731">
        <w:rPr>
          <w:rStyle w:val="EndnoteReference"/>
          <w:sz w:val="18"/>
          <w:szCs w:val="18"/>
        </w:rPr>
        <w:endnoteRef/>
      </w:r>
      <w:r w:rsidRPr="002A5731">
        <w:rPr>
          <w:sz w:val="18"/>
          <w:szCs w:val="18"/>
        </w:rPr>
        <w:t xml:space="preserve"> </w:t>
      </w:r>
      <w:r w:rsidRPr="002A5731">
        <w:rPr>
          <w:rFonts w:cs="Arial"/>
          <w:color w:val="000000"/>
          <w:sz w:val="18"/>
          <w:szCs w:val="18"/>
        </w:rPr>
        <w:t xml:space="preserve">Pearson Chi-Square = 2.36, df = 1, </w:t>
      </w:r>
      <w:r w:rsidRPr="002A5731">
        <w:rPr>
          <w:sz w:val="18"/>
          <w:szCs w:val="18"/>
        </w:rPr>
        <w:t>p = 0.001.</w:t>
      </w:r>
    </w:p>
  </w:endnote>
  <w:endnote w:id="31">
    <w:p w14:paraId="772587B8" w14:textId="77777777" w:rsidR="004F2757" w:rsidRPr="002A5731" w:rsidRDefault="004F2757" w:rsidP="00F63F94">
      <w:pPr>
        <w:pStyle w:val="EndnoteText"/>
        <w:rPr>
          <w:sz w:val="18"/>
          <w:szCs w:val="18"/>
        </w:rPr>
      </w:pPr>
      <w:r w:rsidRPr="002A5731">
        <w:rPr>
          <w:rStyle w:val="EndnoteReference"/>
          <w:sz w:val="18"/>
          <w:szCs w:val="18"/>
        </w:rPr>
        <w:endnoteRef/>
      </w:r>
      <w:r w:rsidRPr="002A5731">
        <w:rPr>
          <w:sz w:val="18"/>
          <w:szCs w:val="18"/>
        </w:rPr>
        <w:t xml:space="preserve"> </w:t>
      </w:r>
      <w:r w:rsidRPr="002A5731">
        <w:rPr>
          <w:sz w:val="18"/>
          <w:szCs w:val="18"/>
          <w:lang w:val="en-GB"/>
        </w:rPr>
        <w:t xml:space="preserve">In spite of the fact that the difference in the percentage of refusals of gay and lesbian couples might seem to be different, the statistical test shows that difference is not systematic. </w:t>
      </w:r>
      <w:r w:rsidRPr="002A5731">
        <w:rPr>
          <w:rFonts w:cs="Arial"/>
          <w:color w:val="000000"/>
          <w:sz w:val="18"/>
          <w:szCs w:val="18"/>
        </w:rPr>
        <w:t xml:space="preserve">Pearson Chi-Square = 10.84, df = 1, </w:t>
      </w:r>
      <w:r w:rsidRPr="002A5731">
        <w:rPr>
          <w:sz w:val="18"/>
          <w:szCs w:val="18"/>
        </w:rPr>
        <w:t xml:space="preserve">p = 0.12. </w:t>
      </w:r>
    </w:p>
  </w:endnote>
  <w:endnote w:id="32">
    <w:p w14:paraId="772587B9" w14:textId="77777777" w:rsidR="004F2757" w:rsidRPr="002A5731" w:rsidRDefault="004F2757" w:rsidP="00F63F94">
      <w:pPr>
        <w:pStyle w:val="EndnoteText"/>
        <w:rPr>
          <w:sz w:val="18"/>
          <w:szCs w:val="18"/>
        </w:rPr>
      </w:pPr>
      <w:r w:rsidRPr="002A5731">
        <w:rPr>
          <w:rStyle w:val="EndnoteReference"/>
          <w:sz w:val="18"/>
          <w:szCs w:val="18"/>
        </w:rPr>
        <w:t>32</w:t>
      </w:r>
      <w:r w:rsidRPr="002A5731">
        <w:rPr>
          <w:sz w:val="18"/>
          <w:szCs w:val="18"/>
        </w:rPr>
        <w:t xml:space="preserve"> UNESCO, “From Insult to Inclusion.”</w:t>
      </w:r>
      <w:r w:rsidRPr="002A5731" w:rsidDel="00A42D90">
        <w:rPr>
          <w:sz w:val="18"/>
          <w:szCs w:val="18"/>
        </w:rPr>
        <w:t xml:space="preserve"> </w:t>
      </w:r>
    </w:p>
  </w:endnote>
  <w:endnote w:id="33">
    <w:p w14:paraId="772587BA" w14:textId="77777777" w:rsidR="004F2757" w:rsidRPr="002A5731" w:rsidRDefault="004F2757" w:rsidP="00F63F94">
      <w:pPr>
        <w:pStyle w:val="EndnoteText"/>
        <w:rPr>
          <w:sz w:val="18"/>
          <w:szCs w:val="18"/>
        </w:rPr>
      </w:pPr>
      <w:r w:rsidRPr="002A5731">
        <w:rPr>
          <w:rStyle w:val="EndnoteReference"/>
          <w:sz w:val="18"/>
          <w:szCs w:val="18"/>
        </w:rPr>
        <w:t>33</w:t>
      </w:r>
      <w:r w:rsidRPr="002A5731">
        <w:rPr>
          <w:sz w:val="18"/>
          <w:szCs w:val="18"/>
        </w:rPr>
        <w:t xml:space="preserve"> The Government of the Republic of Serbia, “Anti-Discrimination Strategy 2013-2018” (unofficial translation), 44, </w:t>
      </w:r>
      <w:hyperlink r:id="rId14" w:history="1">
        <w:r w:rsidRPr="002A5731">
          <w:rPr>
            <w:rStyle w:val="Hyperlink"/>
            <w:sz w:val="18"/>
            <w:szCs w:val="18"/>
          </w:rPr>
          <w:t>https://rm.coe.int/16801e8db9</w:t>
        </w:r>
      </w:hyperlink>
      <w:r w:rsidRPr="002A5731">
        <w:rPr>
          <w:sz w:val="18"/>
          <w:szCs w:val="18"/>
        </w:rPr>
        <w:t>.</w:t>
      </w:r>
    </w:p>
  </w:endnote>
  <w:endnote w:id="34">
    <w:p w14:paraId="772587BB" w14:textId="77777777" w:rsidR="004F2757" w:rsidRDefault="004F2757" w:rsidP="00F63F94">
      <w:pPr>
        <w:pStyle w:val="EndnoteText"/>
        <w:rPr>
          <w:sz w:val="18"/>
          <w:szCs w:val="18"/>
        </w:rPr>
      </w:pPr>
      <w:r w:rsidRPr="002A5731">
        <w:rPr>
          <w:rStyle w:val="EndnoteReference"/>
          <w:sz w:val="18"/>
          <w:szCs w:val="18"/>
        </w:rPr>
        <w:t>34</w:t>
      </w:r>
      <w:r w:rsidRPr="002A5731">
        <w:rPr>
          <w:sz w:val="18"/>
          <w:szCs w:val="18"/>
        </w:rPr>
        <w:t xml:space="preserve"> “</w:t>
      </w:r>
      <w:r w:rsidRPr="002A5731">
        <w:rPr>
          <w:i/>
          <w:sz w:val="18"/>
          <w:szCs w:val="18"/>
        </w:rPr>
        <w:t>Specifically ensure protection of the right of children and youth to education in a safe environment, without violence, harassment, social exclusion or other forms of discriminatory or degrading treatment based on sexual orientation or gender identity.</w:t>
      </w:r>
      <w:r w:rsidRPr="002A5731">
        <w:rPr>
          <w:sz w:val="18"/>
          <w:szCs w:val="18"/>
        </w:rPr>
        <w:t>”</w:t>
      </w:r>
      <w:r w:rsidRPr="002A5731">
        <w:rPr>
          <w:i/>
          <w:sz w:val="18"/>
          <w:szCs w:val="18"/>
        </w:rPr>
        <w:t xml:space="preserve">  </w:t>
      </w:r>
      <w:r w:rsidRPr="002A5731">
        <w:rPr>
          <w:sz w:val="18"/>
          <w:szCs w:val="18"/>
        </w:rPr>
        <w:t>Government of the Republic of Serbia, “Anti-Discrimination Strategy,” 47.</w:t>
      </w:r>
    </w:p>
    <w:p w14:paraId="1F373DA6" w14:textId="77777777" w:rsidR="004F2757" w:rsidRDefault="004F2757" w:rsidP="00F63F94">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32801011"/>
      <w:docPartObj>
        <w:docPartGallery w:val="Page Numbers (Bottom of Page)"/>
        <w:docPartUnique/>
      </w:docPartObj>
    </w:sdtPr>
    <w:sdtContent>
      <w:p w14:paraId="4F19DA92" w14:textId="77F66AC4" w:rsidR="004F2757" w:rsidRDefault="004F2757" w:rsidP="00A903A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154067" w14:textId="77777777" w:rsidR="004F2757" w:rsidRDefault="004F27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7662629"/>
      <w:docPartObj>
        <w:docPartGallery w:val="Page Numbers (Bottom of Page)"/>
        <w:docPartUnique/>
      </w:docPartObj>
    </w:sdtPr>
    <w:sdtEndPr>
      <w:rPr>
        <w:noProof/>
      </w:rPr>
    </w:sdtEndPr>
    <w:sdtContent>
      <w:p w14:paraId="7725876E" w14:textId="64895E73" w:rsidR="004F2757" w:rsidRDefault="004F2757">
        <w:pPr>
          <w:pStyle w:val="Footer"/>
          <w:jc w:val="center"/>
        </w:pPr>
      </w:p>
    </w:sdtContent>
  </w:sdt>
  <w:p w14:paraId="7725876F" w14:textId="77777777" w:rsidR="004F2757" w:rsidRDefault="004F27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39112135"/>
      <w:docPartObj>
        <w:docPartGallery w:val="Page Numbers (Bottom of Page)"/>
        <w:docPartUnique/>
      </w:docPartObj>
    </w:sdtPr>
    <w:sdtContent>
      <w:p w14:paraId="679C4203" w14:textId="3BFD228F" w:rsidR="004F2757" w:rsidRDefault="004F2757" w:rsidP="00A903A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B8E9334" w14:textId="77777777" w:rsidR="004F2757" w:rsidRDefault="004F27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63BD7F" w14:textId="77777777" w:rsidR="0043330C" w:rsidRDefault="0043330C" w:rsidP="00F63F94">
      <w:pPr>
        <w:spacing w:after="0" w:line="240" w:lineRule="auto"/>
      </w:pPr>
      <w:r>
        <w:separator/>
      </w:r>
    </w:p>
    <w:p w14:paraId="7F69747E" w14:textId="77777777" w:rsidR="0043330C" w:rsidRDefault="0043330C"/>
  </w:footnote>
  <w:footnote w:type="continuationSeparator" w:id="0">
    <w:p w14:paraId="234F261E" w14:textId="77777777" w:rsidR="0043330C" w:rsidRDefault="0043330C" w:rsidP="00F63F94">
      <w:pPr>
        <w:spacing w:after="0" w:line="240" w:lineRule="auto"/>
      </w:pPr>
      <w:r>
        <w:continuationSeparator/>
      </w:r>
    </w:p>
    <w:p w14:paraId="2E760565" w14:textId="77777777" w:rsidR="0043330C" w:rsidRDefault="0043330C"/>
  </w:footnote>
  <w:footnote w:id="1">
    <w:p w14:paraId="77258770" w14:textId="77777777" w:rsidR="004F2757" w:rsidRPr="00316C10" w:rsidRDefault="004F2757" w:rsidP="00F63F94">
      <w:pPr>
        <w:pStyle w:val="FootnoteText"/>
        <w:rPr>
          <w:sz w:val="18"/>
          <w:szCs w:val="18"/>
        </w:rPr>
      </w:pPr>
      <w:r w:rsidRPr="00316C10">
        <w:rPr>
          <w:rStyle w:val="FootnoteReference"/>
          <w:sz w:val="18"/>
          <w:szCs w:val="18"/>
        </w:rPr>
        <w:footnoteRef/>
      </w:r>
      <w:r w:rsidRPr="00316C10">
        <w:rPr>
          <w:sz w:val="18"/>
          <w:szCs w:val="18"/>
        </w:rPr>
        <w:t xml:space="preserve"> World Bank. 2013. Inclusion Matters: The Foundation for Shared Prosperity. Washington, DC: World Bank.</w:t>
      </w:r>
    </w:p>
  </w:footnote>
  <w:footnote w:id="2">
    <w:p w14:paraId="77258771" w14:textId="77777777" w:rsidR="004F2757" w:rsidRPr="00316C10" w:rsidRDefault="004F2757" w:rsidP="00F63F94">
      <w:pPr>
        <w:pStyle w:val="FootnoteText"/>
        <w:jc w:val="both"/>
        <w:rPr>
          <w:sz w:val="18"/>
          <w:szCs w:val="18"/>
        </w:rPr>
      </w:pPr>
      <w:r w:rsidRPr="00316C10">
        <w:rPr>
          <w:rStyle w:val="FootnoteReference"/>
          <w:sz w:val="18"/>
          <w:szCs w:val="18"/>
        </w:rPr>
        <w:footnoteRef/>
      </w:r>
      <w:r w:rsidRPr="00316C10">
        <w:rPr>
          <w:sz w:val="18"/>
          <w:szCs w:val="18"/>
        </w:rPr>
        <w:t xml:space="preserve"> World Bank. 2013. “Inclusion Matters: The Foundation for Shared Prosperity” Washington, DC: World Bank. </w:t>
      </w:r>
    </w:p>
  </w:footnote>
  <w:footnote w:id="3">
    <w:p w14:paraId="77258772" w14:textId="77777777" w:rsidR="004F2757" w:rsidRPr="00316C10" w:rsidRDefault="004F2757" w:rsidP="00F63F94">
      <w:pPr>
        <w:pStyle w:val="FootnoteText"/>
        <w:jc w:val="both"/>
        <w:rPr>
          <w:sz w:val="18"/>
          <w:szCs w:val="18"/>
        </w:rPr>
      </w:pPr>
      <w:r w:rsidRPr="00316C10">
        <w:rPr>
          <w:rStyle w:val="FootnoteReference"/>
          <w:sz w:val="18"/>
          <w:szCs w:val="18"/>
        </w:rPr>
        <w:footnoteRef/>
      </w:r>
      <w:r w:rsidRPr="00316C10">
        <w:rPr>
          <w:sz w:val="18"/>
          <w:szCs w:val="18"/>
        </w:rPr>
        <w:t xml:space="preserve"> Tilcsik, A. 2011 “Pride and Prejudice: Employment Discrimination against Openly Gay Men in the United States” American Journal of Sociology, 117(2): Pages: 586-626.</w:t>
      </w:r>
    </w:p>
  </w:footnote>
  <w:footnote w:id="4">
    <w:p w14:paraId="77258773" w14:textId="77777777" w:rsidR="004F2757" w:rsidRPr="00316C10" w:rsidRDefault="004F2757" w:rsidP="00F63F94">
      <w:pPr>
        <w:pStyle w:val="FootnoteText"/>
        <w:jc w:val="both"/>
        <w:rPr>
          <w:sz w:val="18"/>
          <w:szCs w:val="18"/>
        </w:rPr>
      </w:pPr>
      <w:r w:rsidRPr="00316C10">
        <w:rPr>
          <w:rStyle w:val="FootnoteReference"/>
          <w:sz w:val="18"/>
          <w:szCs w:val="18"/>
        </w:rPr>
        <w:footnoteRef/>
      </w:r>
      <w:r w:rsidRPr="00316C10">
        <w:rPr>
          <w:sz w:val="18"/>
          <w:szCs w:val="18"/>
        </w:rPr>
        <w:t xml:space="preserve"> Model used for assessing the rater reliability: Shrout, P.E and Fleiss, J.L. Intraclass Correlations: Uses in assessing rater reliability, </w:t>
      </w:r>
      <w:r w:rsidRPr="00316C10">
        <w:rPr>
          <w:i/>
          <w:sz w:val="18"/>
          <w:szCs w:val="18"/>
        </w:rPr>
        <w:t>Psychological Bulletin</w:t>
      </w:r>
      <w:r w:rsidRPr="00316C10">
        <w:rPr>
          <w:sz w:val="18"/>
          <w:szCs w:val="18"/>
        </w:rPr>
        <w:t>, 1979, Vol. 86, No. 2, 420-428.</w:t>
      </w:r>
    </w:p>
  </w:footnote>
  <w:footnote w:id="5">
    <w:p w14:paraId="77258774" w14:textId="77777777" w:rsidR="004F2757" w:rsidRPr="00316C10" w:rsidRDefault="004F2757" w:rsidP="00F63F94">
      <w:pPr>
        <w:pStyle w:val="FootnoteText"/>
        <w:jc w:val="both"/>
        <w:rPr>
          <w:sz w:val="18"/>
          <w:szCs w:val="18"/>
        </w:rPr>
      </w:pPr>
      <w:r w:rsidRPr="00316C10">
        <w:rPr>
          <w:rStyle w:val="FootnoteReference"/>
          <w:sz w:val="18"/>
          <w:szCs w:val="18"/>
        </w:rPr>
        <w:footnoteRef/>
      </w:r>
      <w:r w:rsidRPr="00316C10">
        <w:rPr>
          <w:sz w:val="18"/>
          <w:szCs w:val="18"/>
        </w:rPr>
        <w:t xml:space="preserve"> ANOVA results based on which ICC was calculated</w:t>
      </w:r>
    </w:p>
    <w:tbl>
      <w:tblPr>
        <w:tblStyle w:val="TableGrid"/>
        <w:tblW w:w="0" w:type="auto"/>
        <w:tblInd w:w="-15" w:type="dxa"/>
        <w:tblBorders>
          <w:top w:val="single" w:sz="4" w:space="0" w:color="00B1EE"/>
          <w:left w:val="single" w:sz="4" w:space="0" w:color="00B1EE"/>
          <w:bottom w:val="single" w:sz="4" w:space="0" w:color="00B1EE"/>
          <w:right w:val="single" w:sz="4" w:space="0" w:color="00B1EE"/>
          <w:insideH w:val="single" w:sz="4" w:space="0" w:color="00B1EE"/>
          <w:insideV w:val="single" w:sz="4" w:space="0" w:color="00B1EE"/>
        </w:tblBorders>
        <w:tblLook w:val="04A0" w:firstRow="1" w:lastRow="0" w:firstColumn="1" w:lastColumn="0" w:noHBand="0" w:noVBand="1"/>
      </w:tblPr>
      <w:tblGrid>
        <w:gridCol w:w="1800"/>
        <w:gridCol w:w="900"/>
        <w:gridCol w:w="900"/>
      </w:tblGrid>
      <w:tr w:rsidR="004F2757" w:rsidRPr="00316C10" w14:paraId="77258778" w14:textId="77777777" w:rsidTr="000613F3">
        <w:tc>
          <w:tcPr>
            <w:tcW w:w="1800" w:type="dxa"/>
            <w:shd w:val="clear" w:color="auto" w:fill="002F53"/>
          </w:tcPr>
          <w:p w14:paraId="77258775" w14:textId="77777777" w:rsidR="004F2757" w:rsidRPr="000613F3" w:rsidRDefault="004F2757" w:rsidP="00E12469">
            <w:pPr>
              <w:jc w:val="both"/>
              <w:rPr>
                <w:b/>
                <w:sz w:val="18"/>
                <w:szCs w:val="18"/>
              </w:rPr>
            </w:pPr>
            <w:r w:rsidRPr="000613F3">
              <w:rPr>
                <w:b/>
                <w:sz w:val="18"/>
                <w:szCs w:val="18"/>
              </w:rPr>
              <w:t>Sources of variance</w:t>
            </w:r>
          </w:p>
        </w:tc>
        <w:tc>
          <w:tcPr>
            <w:tcW w:w="900" w:type="dxa"/>
            <w:shd w:val="clear" w:color="auto" w:fill="002F53"/>
          </w:tcPr>
          <w:p w14:paraId="77258776" w14:textId="77777777" w:rsidR="004F2757" w:rsidRPr="000613F3" w:rsidRDefault="004F2757" w:rsidP="00E12469">
            <w:pPr>
              <w:jc w:val="both"/>
              <w:rPr>
                <w:b/>
                <w:sz w:val="18"/>
                <w:szCs w:val="18"/>
              </w:rPr>
            </w:pPr>
            <w:r w:rsidRPr="000613F3">
              <w:rPr>
                <w:b/>
                <w:sz w:val="18"/>
                <w:szCs w:val="18"/>
              </w:rPr>
              <w:t>df</w:t>
            </w:r>
          </w:p>
        </w:tc>
        <w:tc>
          <w:tcPr>
            <w:tcW w:w="900" w:type="dxa"/>
            <w:shd w:val="clear" w:color="auto" w:fill="002F53"/>
          </w:tcPr>
          <w:p w14:paraId="77258777" w14:textId="77777777" w:rsidR="004F2757" w:rsidRPr="000613F3" w:rsidRDefault="004F2757" w:rsidP="00E12469">
            <w:pPr>
              <w:jc w:val="both"/>
              <w:rPr>
                <w:b/>
                <w:sz w:val="18"/>
                <w:szCs w:val="18"/>
              </w:rPr>
            </w:pPr>
            <w:r w:rsidRPr="000613F3">
              <w:rPr>
                <w:b/>
                <w:sz w:val="18"/>
                <w:szCs w:val="18"/>
              </w:rPr>
              <w:t>MS</w:t>
            </w:r>
          </w:p>
        </w:tc>
      </w:tr>
      <w:tr w:rsidR="004F2757" w:rsidRPr="00316C10" w14:paraId="7725877C" w14:textId="77777777" w:rsidTr="000613F3">
        <w:tc>
          <w:tcPr>
            <w:tcW w:w="1800" w:type="dxa"/>
          </w:tcPr>
          <w:p w14:paraId="77258779" w14:textId="77777777" w:rsidR="004F2757" w:rsidRPr="00316C10" w:rsidRDefault="004F2757" w:rsidP="00E12469">
            <w:pPr>
              <w:jc w:val="both"/>
              <w:rPr>
                <w:sz w:val="18"/>
                <w:szCs w:val="18"/>
              </w:rPr>
            </w:pPr>
            <w:r w:rsidRPr="00316C10">
              <w:rPr>
                <w:sz w:val="18"/>
                <w:szCs w:val="18"/>
              </w:rPr>
              <w:t>Between raters</w:t>
            </w:r>
          </w:p>
        </w:tc>
        <w:tc>
          <w:tcPr>
            <w:tcW w:w="900" w:type="dxa"/>
          </w:tcPr>
          <w:p w14:paraId="7725877A" w14:textId="77777777" w:rsidR="004F2757" w:rsidRPr="00316C10" w:rsidRDefault="004F2757" w:rsidP="00E12469">
            <w:pPr>
              <w:jc w:val="both"/>
              <w:rPr>
                <w:sz w:val="18"/>
                <w:szCs w:val="18"/>
              </w:rPr>
            </w:pPr>
            <w:r w:rsidRPr="00316C10">
              <w:rPr>
                <w:sz w:val="18"/>
                <w:szCs w:val="18"/>
              </w:rPr>
              <w:t>2</w:t>
            </w:r>
          </w:p>
        </w:tc>
        <w:tc>
          <w:tcPr>
            <w:tcW w:w="900" w:type="dxa"/>
          </w:tcPr>
          <w:p w14:paraId="7725877B" w14:textId="77777777" w:rsidR="004F2757" w:rsidRPr="00316C10" w:rsidRDefault="004F2757" w:rsidP="00E12469">
            <w:pPr>
              <w:jc w:val="both"/>
              <w:rPr>
                <w:sz w:val="18"/>
                <w:szCs w:val="18"/>
              </w:rPr>
            </w:pPr>
            <w:r w:rsidRPr="00316C10">
              <w:rPr>
                <w:sz w:val="18"/>
                <w:szCs w:val="18"/>
              </w:rPr>
              <w:t>0.36</w:t>
            </w:r>
          </w:p>
        </w:tc>
      </w:tr>
      <w:tr w:rsidR="004F2757" w:rsidRPr="00316C10" w14:paraId="77258780" w14:textId="77777777" w:rsidTr="000613F3">
        <w:tc>
          <w:tcPr>
            <w:tcW w:w="1800" w:type="dxa"/>
            <w:shd w:val="clear" w:color="auto" w:fill="D9E1F3"/>
          </w:tcPr>
          <w:p w14:paraId="7725877D" w14:textId="77777777" w:rsidR="004F2757" w:rsidRPr="00316C10" w:rsidRDefault="004F2757" w:rsidP="00E12469">
            <w:pPr>
              <w:jc w:val="both"/>
              <w:rPr>
                <w:sz w:val="18"/>
                <w:szCs w:val="18"/>
              </w:rPr>
            </w:pPr>
            <w:r w:rsidRPr="00316C10">
              <w:rPr>
                <w:sz w:val="18"/>
                <w:szCs w:val="18"/>
              </w:rPr>
              <w:t>Between schools</w:t>
            </w:r>
          </w:p>
        </w:tc>
        <w:tc>
          <w:tcPr>
            <w:tcW w:w="900" w:type="dxa"/>
            <w:shd w:val="clear" w:color="auto" w:fill="D9E1F3"/>
          </w:tcPr>
          <w:p w14:paraId="7725877E" w14:textId="77777777" w:rsidR="004F2757" w:rsidRPr="00316C10" w:rsidRDefault="004F2757" w:rsidP="00E12469">
            <w:pPr>
              <w:jc w:val="both"/>
              <w:rPr>
                <w:sz w:val="18"/>
                <w:szCs w:val="18"/>
              </w:rPr>
            </w:pPr>
            <w:r w:rsidRPr="00316C10">
              <w:rPr>
                <w:sz w:val="18"/>
                <w:szCs w:val="18"/>
              </w:rPr>
              <w:t>183</w:t>
            </w:r>
          </w:p>
        </w:tc>
        <w:tc>
          <w:tcPr>
            <w:tcW w:w="900" w:type="dxa"/>
            <w:shd w:val="clear" w:color="auto" w:fill="D9E1F3"/>
          </w:tcPr>
          <w:p w14:paraId="7725877F" w14:textId="77777777" w:rsidR="004F2757" w:rsidRPr="00316C10" w:rsidRDefault="004F2757" w:rsidP="00E12469">
            <w:pPr>
              <w:jc w:val="both"/>
              <w:rPr>
                <w:sz w:val="18"/>
                <w:szCs w:val="18"/>
              </w:rPr>
            </w:pPr>
            <w:r w:rsidRPr="00316C10">
              <w:rPr>
                <w:sz w:val="18"/>
                <w:szCs w:val="18"/>
              </w:rPr>
              <w:t>2.93</w:t>
            </w:r>
          </w:p>
        </w:tc>
      </w:tr>
      <w:tr w:rsidR="004F2757" w:rsidRPr="00316C10" w14:paraId="77258784" w14:textId="77777777" w:rsidTr="000613F3">
        <w:tc>
          <w:tcPr>
            <w:tcW w:w="1800" w:type="dxa"/>
          </w:tcPr>
          <w:p w14:paraId="77258781" w14:textId="77777777" w:rsidR="004F2757" w:rsidRPr="00316C10" w:rsidRDefault="004F2757" w:rsidP="00E12469">
            <w:pPr>
              <w:jc w:val="both"/>
              <w:rPr>
                <w:sz w:val="18"/>
                <w:szCs w:val="18"/>
              </w:rPr>
            </w:pPr>
            <w:r w:rsidRPr="00316C10">
              <w:rPr>
                <w:sz w:val="18"/>
                <w:szCs w:val="18"/>
              </w:rPr>
              <w:t>Residual+error</w:t>
            </w:r>
          </w:p>
        </w:tc>
        <w:tc>
          <w:tcPr>
            <w:tcW w:w="900" w:type="dxa"/>
          </w:tcPr>
          <w:p w14:paraId="77258782" w14:textId="77777777" w:rsidR="004F2757" w:rsidRPr="00316C10" w:rsidRDefault="004F2757" w:rsidP="00E12469">
            <w:pPr>
              <w:jc w:val="both"/>
              <w:rPr>
                <w:sz w:val="18"/>
                <w:szCs w:val="18"/>
              </w:rPr>
            </w:pPr>
            <w:r w:rsidRPr="00316C10">
              <w:rPr>
                <w:sz w:val="18"/>
                <w:szCs w:val="18"/>
              </w:rPr>
              <w:t>366</w:t>
            </w:r>
          </w:p>
        </w:tc>
        <w:tc>
          <w:tcPr>
            <w:tcW w:w="900" w:type="dxa"/>
          </w:tcPr>
          <w:p w14:paraId="77258783" w14:textId="77777777" w:rsidR="004F2757" w:rsidRPr="00316C10" w:rsidRDefault="004F2757" w:rsidP="00E12469">
            <w:pPr>
              <w:jc w:val="both"/>
              <w:rPr>
                <w:sz w:val="18"/>
                <w:szCs w:val="18"/>
              </w:rPr>
            </w:pPr>
            <w:r w:rsidRPr="00316C10">
              <w:rPr>
                <w:sz w:val="18"/>
                <w:szCs w:val="18"/>
              </w:rPr>
              <w:t>0.11</w:t>
            </w:r>
          </w:p>
        </w:tc>
      </w:tr>
    </w:tbl>
    <w:p w14:paraId="77258785" w14:textId="77777777" w:rsidR="004F2757" w:rsidRPr="00316C10" w:rsidRDefault="004F2757" w:rsidP="00F63F94">
      <w:pPr>
        <w:pStyle w:val="FootnoteText"/>
        <w:jc w:val="both"/>
        <w:rPr>
          <w:sz w:val="18"/>
          <w:szCs w:val="18"/>
        </w:rPr>
      </w:pPr>
    </w:p>
  </w:footnote>
  <w:footnote w:id="6">
    <w:p w14:paraId="77258786" w14:textId="77777777" w:rsidR="004F2757" w:rsidRPr="00316C10" w:rsidRDefault="004F2757" w:rsidP="00F63F94">
      <w:pPr>
        <w:pStyle w:val="FootnoteText"/>
        <w:jc w:val="both"/>
        <w:rPr>
          <w:sz w:val="18"/>
          <w:szCs w:val="18"/>
        </w:rPr>
      </w:pPr>
      <w:r w:rsidRPr="00316C10">
        <w:rPr>
          <w:rStyle w:val="FootnoteReference"/>
          <w:sz w:val="18"/>
          <w:szCs w:val="18"/>
        </w:rPr>
        <w:footnoteRef/>
      </w:r>
      <w:r w:rsidRPr="00316C10">
        <w:rPr>
          <w:sz w:val="18"/>
          <w:szCs w:val="18"/>
        </w:rPr>
        <w:t xml:space="preserve"> Model used for assessing the rater reliability: Shrout, P.E and Fleiss, J.L. Intraclass Correlations: Uses in assessing rater reliability, </w:t>
      </w:r>
      <w:r w:rsidRPr="00316C10">
        <w:rPr>
          <w:i/>
          <w:sz w:val="18"/>
          <w:szCs w:val="18"/>
        </w:rPr>
        <w:t>Psychological Bulletin</w:t>
      </w:r>
      <w:r w:rsidRPr="00316C10">
        <w:rPr>
          <w:sz w:val="18"/>
          <w:szCs w:val="18"/>
        </w:rPr>
        <w:t>, 1979, Vol. 86, No. 2, 420-428.</w:t>
      </w:r>
    </w:p>
  </w:footnote>
  <w:footnote w:id="7">
    <w:p w14:paraId="77258787" w14:textId="77777777" w:rsidR="004F2757" w:rsidRPr="00316C10" w:rsidRDefault="004F2757" w:rsidP="00F63F94">
      <w:pPr>
        <w:pStyle w:val="FootnoteText"/>
        <w:jc w:val="both"/>
        <w:rPr>
          <w:sz w:val="18"/>
          <w:szCs w:val="18"/>
        </w:rPr>
      </w:pPr>
      <w:r w:rsidRPr="00316C10">
        <w:rPr>
          <w:rStyle w:val="FootnoteReference"/>
          <w:sz w:val="18"/>
          <w:szCs w:val="18"/>
        </w:rPr>
        <w:footnoteRef/>
      </w:r>
      <w:r w:rsidRPr="00316C10">
        <w:rPr>
          <w:sz w:val="18"/>
          <w:szCs w:val="18"/>
        </w:rPr>
        <w:t xml:space="preserve"> ANOVA results based on which the ICC was calculated</w:t>
      </w:r>
    </w:p>
    <w:tbl>
      <w:tblPr>
        <w:tblStyle w:val="TableGrid"/>
        <w:tblW w:w="0" w:type="auto"/>
        <w:tblInd w:w="-15" w:type="dxa"/>
        <w:tblBorders>
          <w:top w:val="single" w:sz="4" w:space="0" w:color="00B1EE"/>
          <w:left w:val="single" w:sz="4" w:space="0" w:color="00B1EE"/>
          <w:bottom w:val="single" w:sz="4" w:space="0" w:color="00B1EE"/>
          <w:right w:val="single" w:sz="4" w:space="0" w:color="00B1EE"/>
          <w:insideH w:val="single" w:sz="4" w:space="0" w:color="00B1EE"/>
          <w:insideV w:val="single" w:sz="4" w:space="0" w:color="00B1EE"/>
        </w:tblBorders>
        <w:tblLook w:val="04A0" w:firstRow="1" w:lastRow="0" w:firstColumn="1" w:lastColumn="0" w:noHBand="0" w:noVBand="1"/>
      </w:tblPr>
      <w:tblGrid>
        <w:gridCol w:w="1800"/>
        <w:gridCol w:w="900"/>
        <w:gridCol w:w="900"/>
      </w:tblGrid>
      <w:tr w:rsidR="004F2757" w:rsidRPr="00316C10" w14:paraId="7725878B" w14:textId="77777777" w:rsidTr="00EA648F">
        <w:tc>
          <w:tcPr>
            <w:tcW w:w="1800" w:type="dxa"/>
            <w:shd w:val="clear" w:color="auto" w:fill="002F53"/>
          </w:tcPr>
          <w:p w14:paraId="77258788" w14:textId="77777777" w:rsidR="004F2757" w:rsidRPr="00EA648F" w:rsidRDefault="004F2757" w:rsidP="00EA648F">
            <w:pPr>
              <w:jc w:val="center"/>
              <w:rPr>
                <w:b/>
                <w:color w:val="FFFFFF" w:themeColor="background1"/>
                <w:sz w:val="18"/>
                <w:szCs w:val="18"/>
              </w:rPr>
            </w:pPr>
            <w:r w:rsidRPr="00EA648F">
              <w:rPr>
                <w:b/>
                <w:color w:val="FFFFFF" w:themeColor="background1"/>
                <w:sz w:val="18"/>
                <w:szCs w:val="18"/>
              </w:rPr>
              <w:t>Sources of variance</w:t>
            </w:r>
          </w:p>
        </w:tc>
        <w:tc>
          <w:tcPr>
            <w:tcW w:w="900" w:type="dxa"/>
            <w:shd w:val="clear" w:color="auto" w:fill="002F53"/>
          </w:tcPr>
          <w:p w14:paraId="77258789" w14:textId="77777777" w:rsidR="004F2757" w:rsidRPr="00EA648F" w:rsidRDefault="004F2757" w:rsidP="00EA648F">
            <w:pPr>
              <w:jc w:val="center"/>
              <w:rPr>
                <w:b/>
                <w:color w:val="FFFFFF" w:themeColor="background1"/>
                <w:sz w:val="18"/>
                <w:szCs w:val="18"/>
              </w:rPr>
            </w:pPr>
            <w:r w:rsidRPr="00EA648F">
              <w:rPr>
                <w:b/>
                <w:color w:val="FFFFFF" w:themeColor="background1"/>
                <w:sz w:val="18"/>
                <w:szCs w:val="18"/>
              </w:rPr>
              <w:t>df</w:t>
            </w:r>
          </w:p>
        </w:tc>
        <w:tc>
          <w:tcPr>
            <w:tcW w:w="900" w:type="dxa"/>
            <w:shd w:val="clear" w:color="auto" w:fill="002F53"/>
          </w:tcPr>
          <w:p w14:paraId="7725878A" w14:textId="77777777" w:rsidR="004F2757" w:rsidRPr="00EA648F" w:rsidRDefault="004F2757" w:rsidP="00EA648F">
            <w:pPr>
              <w:jc w:val="center"/>
              <w:rPr>
                <w:b/>
                <w:color w:val="FFFFFF" w:themeColor="background1"/>
                <w:sz w:val="18"/>
                <w:szCs w:val="18"/>
              </w:rPr>
            </w:pPr>
            <w:r w:rsidRPr="00EA648F">
              <w:rPr>
                <w:b/>
                <w:color w:val="FFFFFF" w:themeColor="background1"/>
                <w:sz w:val="18"/>
                <w:szCs w:val="18"/>
              </w:rPr>
              <w:t>MS</w:t>
            </w:r>
          </w:p>
        </w:tc>
      </w:tr>
      <w:tr w:rsidR="004F2757" w:rsidRPr="00316C10" w14:paraId="7725878F" w14:textId="77777777" w:rsidTr="00EA648F">
        <w:tc>
          <w:tcPr>
            <w:tcW w:w="1800" w:type="dxa"/>
          </w:tcPr>
          <w:p w14:paraId="7725878C" w14:textId="77777777" w:rsidR="004F2757" w:rsidRPr="00316C10" w:rsidRDefault="004F2757" w:rsidP="00E12469">
            <w:pPr>
              <w:jc w:val="both"/>
              <w:rPr>
                <w:sz w:val="18"/>
                <w:szCs w:val="18"/>
              </w:rPr>
            </w:pPr>
            <w:r w:rsidRPr="00316C10">
              <w:rPr>
                <w:sz w:val="18"/>
                <w:szCs w:val="18"/>
              </w:rPr>
              <w:t>Between raters</w:t>
            </w:r>
          </w:p>
        </w:tc>
        <w:tc>
          <w:tcPr>
            <w:tcW w:w="900" w:type="dxa"/>
          </w:tcPr>
          <w:p w14:paraId="7725878D" w14:textId="77777777" w:rsidR="004F2757" w:rsidRPr="00316C10" w:rsidRDefault="004F2757" w:rsidP="00EA648F">
            <w:pPr>
              <w:jc w:val="right"/>
              <w:rPr>
                <w:sz w:val="18"/>
                <w:szCs w:val="18"/>
              </w:rPr>
            </w:pPr>
            <w:r w:rsidRPr="00316C10">
              <w:rPr>
                <w:sz w:val="18"/>
                <w:szCs w:val="18"/>
              </w:rPr>
              <w:t>2</w:t>
            </w:r>
          </w:p>
        </w:tc>
        <w:tc>
          <w:tcPr>
            <w:tcW w:w="900" w:type="dxa"/>
          </w:tcPr>
          <w:p w14:paraId="7725878E" w14:textId="77777777" w:rsidR="004F2757" w:rsidRPr="00316C10" w:rsidRDefault="004F2757" w:rsidP="00EA648F">
            <w:pPr>
              <w:jc w:val="right"/>
              <w:rPr>
                <w:sz w:val="18"/>
                <w:szCs w:val="18"/>
              </w:rPr>
            </w:pPr>
            <w:r w:rsidRPr="00316C10">
              <w:rPr>
                <w:sz w:val="18"/>
                <w:szCs w:val="18"/>
              </w:rPr>
              <w:t>0.35</w:t>
            </w:r>
          </w:p>
        </w:tc>
      </w:tr>
      <w:tr w:rsidR="004F2757" w:rsidRPr="00316C10" w14:paraId="77258793" w14:textId="77777777" w:rsidTr="00EA648F">
        <w:tc>
          <w:tcPr>
            <w:tcW w:w="1800" w:type="dxa"/>
            <w:shd w:val="clear" w:color="auto" w:fill="D9E1F3"/>
          </w:tcPr>
          <w:p w14:paraId="77258790" w14:textId="77777777" w:rsidR="004F2757" w:rsidRPr="00316C10" w:rsidRDefault="004F2757" w:rsidP="00E12469">
            <w:pPr>
              <w:jc w:val="both"/>
              <w:rPr>
                <w:sz w:val="18"/>
                <w:szCs w:val="18"/>
              </w:rPr>
            </w:pPr>
            <w:r w:rsidRPr="00316C10">
              <w:rPr>
                <w:sz w:val="18"/>
                <w:szCs w:val="18"/>
              </w:rPr>
              <w:t>Between landlords (observations)</w:t>
            </w:r>
          </w:p>
        </w:tc>
        <w:tc>
          <w:tcPr>
            <w:tcW w:w="900" w:type="dxa"/>
            <w:shd w:val="clear" w:color="auto" w:fill="D9E1F3"/>
          </w:tcPr>
          <w:p w14:paraId="77258791" w14:textId="77777777" w:rsidR="004F2757" w:rsidRPr="00316C10" w:rsidRDefault="004F2757" w:rsidP="00EA648F">
            <w:pPr>
              <w:jc w:val="right"/>
              <w:rPr>
                <w:sz w:val="18"/>
                <w:szCs w:val="18"/>
              </w:rPr>
            </w:pPr>
            <w:r w:rsidRPr="00316C10">
              <w:rPr>
                <w:sz w:val="18"/>
                <w:szCs w:val="18"/>
              </w:rPr>
              <w:t>319</w:t>
            </w:r>
          </w:p>
        </w:tc>
        <w:tc>
          <w:tcPr>
            <w:tcW w:w="900" w:type="dxa"/>
            <w:shd w:val="clear" w:color="auto" w:fill="D9E1F3"/>
          </w:tcPr>
          <w:p w14:paraId="77258792" w14:textId="77777777" w:rsidR="004F2757" w:rsidRPr="00316C10" w:rsidRDefault="004F2757" w:rsidP="00EA648F">
            <w:pPr>
              <w:jc w:val="right"/>
              <w:rPr>
                <w:sz w:val="18"/>
                <w:szCs w:val="18"/>
              </w:rPr>
            </w:pPr>
            <w:r w:rsidRPr="00316C10">
              <w:rPr>
                <w:sz w:val="18"/>
                <w:szCs w:val="18"/>
              </w:rPr>
              <w:t>1.70</w:t>
            </w:r>
          </w:p>
        </w:tc>
      </w:tr>
      <w:tr w:rsidR="004F2757" w:rsidRPr="00316C10" w14:paraId="77258797" w14:textId="77777777" w:rsidTr="00EA648F">
        <w:tc>
          <w:tcPr>
            <w:tcW w:w="1800" w:type="dxa"/>
          </w:tcPr>
          <w:p w14:paraId="77258794" w14:textId="77777777" w:rsidR="004F2757" w:rsidRPr="00316C10" w:rsidRDefault="004F2757" w:rsidP="00E12469">
            <w:pPr>
              <w:jc w:val="both"/>
              <w:rPr>
                <w:sz w:val="18"/>
                <w:szCs w:val="18"/>
              </w:rPr>
            </w:pPr>
            <w:r w:rsidRPr="00316C10">
              <w:rPr>
                <w:sz w:val="18"/>
                <w:szCs w:val="18"/>
              </w:rPr>
              <w:t>Residual+error</w:t>
            </w:r>
          </w:p>
        </w:tc>
        <w:tc>
          <w:tcPr>
            <w:tcW w:w="900" w:type="dxa"/>
          </w:tcPr>
          <w:p w14:paraId="77258795" w14:textId="77777777" w:rsidR="004F2757" w:rsidRPr="00316C10" w:rsidRDefault="004F2757" w:rsidP="00EA648F">
            <w:pPr>
              <w:jc w:val="right"/>
              <w:rPr>
                <w:sz w:val="18"/>
                <w:szCs w:val="18"/>
              </w:rPr>
            </w:pPr>
            <w:r w:rsidRPr="00316C10">
              <w:rPr>
                <w:sz w:val="18"/>
                <w:szCs w:val="18"/>
              </w:rPr>
              <w:t>638</w:t>
            </w:r>
          </w:p>
        </w:tc>
        <w:tc>
          <w:tcPr>
            <w:tcW w:w="900" w:type="dxa"/>
          </w:tcPr>
          <w:p w14:paraId="77258796" w14:textId="77777777" w:rsidR="004F2757" w:rsidRPr="00316C10" w:rsidRDefault="004F2757" w:rsidP="00EA648F">
            <w:pPr>
              <w:jc w:val="right"/>
              <w:rPr>
                <w:sz w:val="18"/>
                <w:szCs w:val="18"/>
              </w:rPr>
            </w:pPr>
            <w:r w:rsidRPr="00316C10">
              <w:rPr>
                <w:sz w:val="18"/>
                <w:szCs w:val="18"/>
              </w:rPr>
              <w:t>0.04</w:t>
            </w:r>
          </w:p>
        </w:tc>
      </w:tr>
    </w:tbl>
    <w:p w14:paraId="77258798" w14:textId="77777777" w:rsidR="004F2757" w:rsidRPr="00316C10" w:rsidRDefault="004F2757" w:rsidP="00F63F94">
      <w:pPr>
        <w:pStyle w:val="FootnoteText"/>
        <w:jc w:val="both"/>
        <w:rPr>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DE945" w14:textId="1C2BC715" w:rsidR="004F2757" w:rsidRPr="00D56470" w:rsidRDefault="004F2757" w:rsidP="00D56470">
    <w:pPr>
      <w:pStyle w:val="Header"/>
      <w:jc w:val="center"/>
      <w:rPr>
        <w:color w:val="5A5B5A"/>
        <w:sz w:val="16"/>
        <w:szCs w:val="16"/>
      </w:rPr>
    </w:pPr>
    <w:r w:rsidRPr="00D56470">
      <w:rPr>
        <w:color w:val="5A5B5A"/>
        <w:sz w:val="16"/>
        <w:szCs w:val="16"/>
      </w:rPr>
      <w:t>DISCRIMINATION AGAINST SEXUAL MINORITIES IN EDUCATION AND HOUSING: EVIDENCE FROM TWO FIELD EXPERIMENTS IN SERBIA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4937"/>
    <w:multiLevelType w:val="hybridMultilevel"/>
    <w:tmpl w:val="F24C1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00EBE"/>
    <w:multiLevelType w:val="hybridMultilevel"/>
    <w:tmpl w:val="767C19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4F5AD3"/>
    <w:multiLevelType w:val="hybridMultilevel"/>
    <w:tmpl w:val="519EB3FC"/>
    <w:lvl w:ilvl="0" w:tplc="6EF4E424">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3336CA"/>
    <w:multiLevelType w:val="multilevel"/>
    <w:tmpl w:val="CBCCF3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CE908C0"/>
    <w:multiLevelType w:val="hybridMultilevel"/>
    <w:tmpl w:val="6DC20B2A"/>
    <w:lvl w:ilvl="0" w:tplc="DF926704">
      <w:start w:val="184"/>
      <w:numFmt w:val="bullet"/>
      <w:lvlText w:val="-"/>
      <w:lvlJc w:val="left"/>
      <w:pPr>
        <w:ind w:left="720" w:hanging="360"/>
      </w:pPr>
      <w:rPr>
        <w:rFonts w:ascii="Calibri" w:eastAsiaTheme="minorHAnsi" w:hAnsi="Calibri" w:cs="Calibri" w:hint="default"/>
        <w:b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6B4FFE"/>
    <w:multiLevelType w:val="hybridMultilevel"/>
    <w:tmpl w:val="0890B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3064D9"/>
    <w:multiLevelType w:val="hybridMultilevel"/>
    <w:tmpl w:val="16D67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B905DC"/>
    <w:multiLevelType w:val="multilevel"/>
    <w:tmpl w:val="FBE8A1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C6D12D7"/>
    <w:multiLevelType w:val="multilevel"/>
    <w:tmpl w:val="F83002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E1E7448"/>
    <w:multiLevelType w:val="hybridMultilevel"/>
    <w:tmpl w:val="00481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CC7589"/>
    <w:multiLevelType w:val="hybridMultilevel"/>
    <w:tmpl w:val="94BEB9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4F84605"/>
    <w:multiLevelType w:val="hybridMultilevel"/>
    <w:tmpl w:val="D774FE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8E2842"/>
    <w:multiLevelType w:val="hybridMultilevel"/>
    <w:tmpl w:val="0798B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D23A78"/>
    <w:multiLevelType w:val="multilevel"/>
    <w:tmpl w:val="1F7416F6"/>
    <w:lvl w:ilvl="0">
      <w:start w:val="1"/>
      <w:numFmt w:val="decimal"/>
      <w:lvlText w:val="%1."/>
      <w:lvlJc w:val="left"/>
      <w:pPr>
        <w:ind w:left="1260" w:hanging="360"/>
      </w:pPr>
      <w:rPr>
        <w:rFonts w:hint="default"/>
      </w:rPr>
    </w:lvl>
    <w:lvl w:ilvl="1">
      <w:start w:val="3"/>
      <w:numFmt w:val="decimal"/>
      <w:isLgl/>
      <w:lvlText w:val="%1.%2"/>
      <w:lvlJc w:val="left"/>
      <w:pPr>
        <w:ind w:left="1620" w:hanging="720"/>
      </w:pPr>
      <w:rPr>
        <w:rFonts w:hint="default"/>
      </w:rPr>
    </w:lvl>
    <w:lvl w:ilvl="2">
      <w:start w:val="1"/>
      <w:numFmt w:val="decimal"/>
      <w:isLgl/>
      <w:lvlText w:val="%1.%2.%3"/>
      <w:lvlJc w:val="left"/>
      <w:pPr>
        <w:ind w:left="1980" w:hanging="1080"/>
      </w:pPr>
      <w:rPr>
        <w:rFonts w:hint="default"/>
      </w:rPr>
    </w:lvl>
    <w:lvl w:ilvl="3">
      <w:start w:val="1"/>
      <w:numFmt w:val="decimal"/>
      <w:isLgl/>
      <w:lvlText w:val="%1.%2.%3.%4"/>
      <w:lvlJc w:val="left"/>
      <w:pPr>
        <w:ind w:left="2700" w:hanging="1800"/>
      </w:pPr>
      <w:rPr>
        <w:rFonts w:hint="default"/>
      </w:rPr>
    </w:lvl>
    <w:lvl w:ilvl="4">
      <w:start w:val="1"/>
      <w:numFmt w:val="decimal"/>
      <w:isLgl/>
      <w:lvlText w:val="%1.%2.%3.%4.%5"/>
      <w:lvlJc w:val="left"/>
      <w:pPr>
        <w:ind w:left="3060" w:hanging="2160"/>
      </w:pPr>
      <w:rPr>
        <w:rFonts w:hint="default"/>
      </w:rPr>
    </w:lvl>
    <w:lvl w:ilvl="5">
      <w:start w:val="1"/>
      <w:numFmt w:val="decimal"/>
      <w:isLgl/>
      <w:lvlText w:val="%1.%2.%3.%4.%5.%6"/>
      <w:lvlJc w:val="left"/>
      <w:pPr>
        <w:ind w:left="3420" w:hanging="2520"/>
      </w:pPr>
      <w:rPr>
        <w:rFonts w:hint="default"/>
      </w:rPr>
    </w:lvl>
    <w:lvl w:ilvl="6">
      <w:start w:val="1"/>
      <w:numFmt w:val="decimal"/>
      <w:isLgl/>
      <w:lvlText w:val="%1.%2.%3.%4.%5.%6.%7"/>
      <w:lvlJc w:val="left"/>
      <w:pPr>
        <w:ind w:left="3780" w:hanging="2880"/>
      </w:pPr>
      <w:rPr>
        <w:rFonts w:hint="default"/>
      </w:rPr>
    </w:lvl>
    <w:lvl w:ilvl="7">
      <w:start w:val="1"/>
      <w:numFmt w:val="decimal"/>
      <w:isLgl/>
      <w:lvlText w:val="%1.%2.%3.%4.%5.%6.%7.%8"/>
      <w:lvlJc w:val="left"/>
      <w:pPr>
        <w:ind w:left="4140" w:hanging="3240"/>
      </w:pPr>
      <w:rPr>
        <w:rFonts w:hint="default"/>
      </w:rPr>
    </w:lvl>
    <w:lvl w:ilvl="8">
      <w:start w:val="1"/>
      <w:numFmt w:val="decimal"/>
      <w:isLgl/>
      <w:lvlText w:val="%1.%2.%3.%4.%5.%6.%7.%8.%9"/>
      <w:lvlJc w:val="left"/>
      <w:pPr>
        <w:ind w:left="4500" w:hanging="3600"/>
      </w:pPr>
      <w:rPr>
        <w:rFonts w:hint="default"/>
      </w:rPr>
    </w:lvl>
  </w:abstractNum>
  <w:abstractNum w:abstractNumId="14" w15:restartNumberingAfterBreak="0">
    <w:nsid w:val="46561BCC"/>
    <w:multiLevelType w:val="multilevel"/>
    <w:tmpl w:val="1F7416F6"/>
    <w:lvl w:ilvl="0">
      <w:start w:val="1"/>
      <w:numFmt w:val="decimal"/>
      <w:lvlText w:val="%1."/>
      <w:lvlJc w:val="left"/>
      <w:pPr>
        <w:ind w:left="1260" w:hanging="360"/>
      </w:pPr>
      <w:rPr>
        <w:rFonts w:hint="default"/>
      </w:rPr>
    </w:lvl>
    <w:lvl w:ilvl="1">
      <w:start w:val="3"/>
      <w:numFmt w:val="decimal"/>
      <w:isLgl/>
      <w:lvlText w:val="%1.%2"/>
      <w:lvlJc w:val="left"/>
      <w:pPr>
        <w:ind w:left="1620" w:hanging="720"/>
      </w:pPr>
      <w:rPr>
        <w:rFonts w:hint="default"/>
      </w:rPr>
    </w:lvl>
    <w:lvl w:ilvl="2">
      <w:start w:val="1"/>
      <w:numFmt w:val="decimal"/>
      <w:isLgl/>
      <w:lvlText w:val="%1.%2.%3"/>
      <w:lvlJc w:val="left"/>
      <w:pPr>
        <w:ind w:left="1980" w:hanging="1080"/>
      </w:pPr>
      <w:rPr>
        <w:rFonts w:hint="default"/>
      </w:rPr>
    </w:lvl>
    <w:lvl w:ilvl="3">
      <w:start w:val="1"/>
      <w:numFmt w:val="decimal"/>
      <w:isLgl/>
      <w:lvlText w:val="%1.%2.%3.%4"/>
      <w:lvlJc w:val="left"/>
      <w:pPr>
        <w:ind w:left="2700" w:hanging="1800"/>
      </w:pPr>
      <w:rPr>
        <w:rFonts w:hint="default"/>
      </w:rPr>
    </w:lvl>
    <w:lvl w:ilvl="4">
      <w:start w:val="1"/>
      <w:numFmt w:val="decimal"/>
      <w:isLgl/>
      <w:lvlText w:val="%1.%2.%3.%4.%5"/>
      <w:lvlJc w:val="left"/>
      <w:pPr>
        <w:ind w:left="3060" w:hanging="2160"/>
      </w:pPr>
      <w:rPr>
        <w:rFonts w:hint="default"/>
      </w:rPr>
    </w:lvl>
    <w:lvl w:ilvl="5">
      <w:start w:val="1"/>
      <w:numFmt w:val="decimal"/>
      <w:isLgl/>
      <w:lvlText w:val="%1.%2.%3.%4.%5.%6"/>
      <w:lvlJc w:val="left"/>
      <w:pPr>
        <w:ind w:left="3420" w:hanging="2520"/>
      </w:pPr>
      <w:rPr>
        <w:rFonts w:hint="default"/>
      </w:rPr>
    </w:lvl>
    <w:lvl w:ilvl="6">
      <w:start w:val="1"/>
      <w:numFmt w:val="decimal"/>
      <w:isLgl/>
      <w:lvlText w:val="%1.%2.%3.%4.%5.%6.%7"/>
      <w:lvlJc w:val="left"/>
      <w:pPr>
        <w:ind w:left="3780" w:hanging="2880"/>
      </w:pPr>
      <w:rPr>
        <w:rFonts w:hint="default"/>
      </w:rPr>
    </w:lvl>
    <w:lvl w:ilvl="7">
      <w:start w:val="1"/>
      <w:numFmt w:val="decimal"/>
      <w:isLgl/>
      <w:lvlText w:val="%1.%2.%3.%4.%5.%6.%7.%8"/>
      <w:lvlJc w:val="left"/>
      <w:pPr>
        <w:ind w:left="4140" w:hanging="3240"/>
      </w:pPr>
      <w:rPr>
        <w:rFonts w:hint="default"/>
      </w:rPr>
    </w:lvl>
    <w:lvl w:ilvl="8">
      <w:start w:val="1"/>
      <w:numFmt w:val="decimal"/>
      <w:isLgl/>
      <w:lvlText w:val="%1.%2.%3.%4.%5.%6.%7.%8.%9"/>
      <w:lvlJc w:val="left"/>
      <w:pPr>
        <w:ind w:left="4500" w:hanging="3600"/>
      </w:pPr>
      <w:rPr>
        <w:rFonts w:hint="default"/>
      </w:rPr>
    </w:lvl>
  </w:abstractNum>
  <w:abstractNum w:abstractNumId="15" w15:restartNumberingAfterBreak="0">
    <w:nsid w:val="53A10665"/>
    <w:multiLevelType w:val="hybridMultilevel"/>
    <w:tmpl w:val="F53ED074"/>
    <w:lvl w:ilvl="0" w:tplc="6EF4E424">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3A0160"/>
    <w:multiLevelType w:val="multilevel"/>
    <w:tmpl w:val="670CB0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17" w15:restartNumberingAfterBreak="0">
    <w:nsid w:val="60C37050"/>
    <w:multiLevelType w:val="hybridMultilevel"/>
    <w:tmpl w:val="395E2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3"/>
  </w:num>
  <w:num w:numId="4">
    <w:abstractNumId w:val="11"/>
  </w:num>
  <w:num w:numId="5">
    <w:abstractNumId w:val="14"/>
  </w:num>
  <w:num w:numId="6">
    <w:abstractNumId w:val="13"/>
  </w:num>
  <w:num w:numId="7">
    <w:abstractNumId w:val="12"/>
  </w:num>
  <w:num w:numId="8">
    <w:abstractNumId w:val="4"/>
  </w:num>
  <w:num w:numId="9">
    <w:abstractNumId w:val="15"/>
  </w:num>
  <w:num w:numId="10">
    <w:abstractNumId w:val="0"/>
  </w:num>
  <w:num w:numId="11">
    <w:abstractNumId w:val="2"/>
  </w:num>
  <w:num w:numId="12">
    <w:abstractNumId w:val="5"/>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7"/>
  </w:num>
  <w:num w:numId="16">
    <w:abstractNumId w:val="17"/>
  </w:num>
  <w:num w:numId="17">
    <w:abstractNumId w:val="6"/>
  </w:num>
  <w:num w:numId="18">
    <w:abstractNumId w:val="9"/>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7C0MDKwNDI1sTQ3MTVU0lEKTi0uzszPAykwqgUAxVBWbCwAAAA="/>
  </w:docVars>
  <w:rsids>
    <w:rsidRoot w:val="00F63F94"/>
    <w:rsid w:val="000613F3"/>
    <w:rsid w:val="000C09DD"/>
    <w:rsid w:val="000F7722"/>
    <w:rsid w:val="00132321"/>
    <w:rsid w:val="001448B0"/>
    <w:rsid w:val="001D49B2"/>
    <w:rsid w:val="001D7B51"/>
    <w:rsid w:val="001F139A"/>
    <w:rsid w:val="00251537"/>
    <w:rsid w:val="002A5731"/>
    <w:rsid w:val="002C72E1"/>
    <w:rsid w:val="00316C10"/>
    <w:rsid w:val="003B0456"/>
    <w:rsid w:val="003D24F2"/>
    <w:rsid w:val="003F27A0"/>
    <w:rsid w:val="0043330C"/>
    <w:rsid w:val="0047099D"/>
    <w:rsid w:val="00474D47"/>
    <w:rsid w:val="004A0E67"/>
    <w:rsid w:val="004F2757"/>
    <w:rsid w:val="00505F17"/>
    <w:rsid w:val="005842ED"/>
    <w:rsid w:val="0060225A"/>
    <w:rsid w:val="0061304D"/>
    <w:rsid w:val="006431F4"/>
    <w:rsid w:val="00643FEA"/>
    <w:rsid w:val="00655282"/>
    <w:rsid w:val="0066156D"/>
    <w:rsid w:val="0066198F"/>
    <w:rsid w:val="00713EC6"/>
    <w:rsid w:val="007153E1"/>
    <w:rsid w:val="00751E33"/>
    <w:rsid w:val="007561A5"/>
    <w:rsid w:val="00800139"/>
    <w:rsid w:val="00803B7C"/>
    <w:rsid w:val="00861E69"/>
    <w:rsid w:val="008640F1"/>
    <w:rsid w:val="00872663"/>
    <w:rsid w:val="00900032"/>
    <w:rsid w:val="00946C20"/>
    <w:rsid w:val="009A0931"/>
    <w:rsid w:val="009A5091"/>
    <w:rsid w:val="009B1E28"/>
    <w:rsid w:val="009C4674"/>
    <w:rsid w:val="00A00669"/>
    <w:rsid w:val="00A230AE"/>
    <w:rsid w:val="00A56D85"/>
    <w:rsid w:val="00A614E1"/>
    <w:rsid w:val="00A903A0"/>
    <w:rsid w:val="00AC7973"/>
    <w:rsid w:val="00AE6824"/>
    <w:rsid w:val="00AF63B6"/>
    <w:rsid w:val="00B01428"/>
    <w:rsid w:val="00BD6299"/>
    <w:rsid w:val="00C2735A"/>
    <w:rsid w:val="00C7726F"/>
    <w:rsid w:val="00C92598"/>
    <w:rsid w:val="00C92BA8"/>
    <w:rsid w:val="00CB256D"/>
    <w:rsid w:val="00CC6B6A"/>
    <w:rsid w:val="00CE5398"/>
    <w:rsid w:val="00D25520"/>
    <w:rsid w:val="00D42C6A"/>
    <w:rsid w:val="00D52F9C"/>
    <w:rsid w:val="00D56470"/>
    <w:rsid w:val="00D77C94"/>
    <w:rsid w:val="00DD715B"/>
    <w:rsid w:val="00DF5470"/>
    <w:rsid w:val="00E04BD5"/>
    <w:rsid w:val="00E123C4"/>
    <w:rsid w:val="00E12469"/>
    <w:rsid w:val="00E27815"/>
    <w:rsid w:val="00E5028F"/>
    <w:rsid w:val="00E82CD9"/>
    <w:rsid w:val="00EA648F"/>
    <w:rsid w:val="00EE2C48"/>
    <w:rsid w:val="00F63F94"/>
    <w:rsid w:val="00F72D20"/>
    <w:rsid w:val="00F77D08"/>
    <w:rsid w:val="00FE2652"/>
    <w:rsid w:val="00FE7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585A3"/>
  <w15:chartTrackingRefBased/>
  <w15:docId w15:val="{87140FEA-E528-407F-912F-1475AAB1B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3F94"/>
  </w:style>
  <w:style w:type="paragraph" w:styleId="Heading1">
    <w:name w:val="heading 1"/>
    <w:basedOn w:val="Title"/>
    <w:next w:val="Normal"/>
    <w:link w:val="Heading1Char"/>
    <w:uiPriority w:val="9"/>
    <w:qFormat/>
    <w:rsid w:val="00F63F94"/>
    <w:pPr>
      <w:keepNext/>
      <w:keepLines/>
      <w:spacing w:before="240"/>
      <w:outlineLvl w:val="0"/>
    </w:pPr>
    <w:rPr>
      <w:rFonts w:asciiTheme="minorHAnsi" w:hAnsiTheme="minorHAnsi"/>
      <w:b/>
      <w:color w:val="002060"/>
      <w:sz w:val="32"/>
      <w:szCs w:val="32"/>
      <w:lang w:val="en-GB"/>
    </w:rPr>
  </w:style>
  <w:style w:type="paragraph" w:styleId="Heading2">
    <w:name w:val="heading 2"/>
    <w:basedOn w:val="Title"/>
    <w:next w:val="Title"/>
    <w:link w:val="Heading2Char"/>
    <w:uiPriority w:val="9"/>
    <w:unhideWhenUsed/>
    <w:qFormat/>
    <w:rsid w:val="00F63F94"/>
    <w:pPr>
      <w:keepNext/>
      <w:keepLines/>
      <w:spacing w:before="40"/>
      <w:jc w:val="center"/>
      <w:outlineLvl w:val="1"/>
    </w:pPr>
    <w:rPr>
      <w:rFonts w:asciiTheme="minorHAnsi" w:hAnsiTheme="minorHAnsi"/>
      <w:b/>
      <w:color w:val="002060"/>
      <w:sz w:val="28"/>
      <w:szCs w:val="26"/>
    </w:rPr>
  </w:style>
  <w:style w:type="paragraph" w:styleId="Heading3">
    <w:name w:val="heading 3"/>
    <w:basedOn w:val="Normal"/>
    <w:next w:val="Normal"/>
    <w:link w:val="Heading3Char"/>
    <w:uiPriority w:val="9"/>
    <w:unhideWhenUsed/>
    <w:qFormat/>
    <w:rsid w:val="009C4674"/>
    <w:pPr>
      <w:keepNext/>
      <w:keepLines/>
      <w:spacing w:after="0" w:line="240" w:lineRule="auto"/>
      <w:jc w:val="both"/>
      <w:outlineLvl w:val="2"/>
    </w:pPr>
    <w:rPr>
      <w:rFonts w:eastAsiaTheme="majorEastAsia" w:cs="Arial"/>
      <w:b/>
      <w:color w:val="2E5496"/>
      <w:sz w:val="24"/>
      <w:szCs w:val="24"/>
    </w:rPr>
  </w:style>
  <w:style w:type="paragraph" w:styleId="Heading4">
    <w:name w:val="heading 4"/>
    <w:basedOn w:val="Normal"/>
    <w:next w:val="Normal"/>
    <w:link w:val="Heading4Char"/>
    <w:uiPriority w:val="9"/>
    <w:unhideWhenUsed/>
    <w:qFormat/>
    <w:rsid w:val="00F63F94"/>
    <w:pPr>
      <w:spacing w:line="240" w:lineRule="auto"/>
      <w:outlineLvl w:val="3"/>
    </w:pPr>
    <w:rPr>
      <w:b/>
      <w:i/>
      <w:color w:val="0070C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3F94"/>
    <w:rPr>
      <w:rFonts w:eastAsiaTheme="majorEastAsia" w:cstheme="majorBidi"/>
      <w:b/>
      <w:color w:val="002060"/>
      <w:spacing w:val="-10"/>
      <w:kern w:val="28"/>
      <w:sz w:val="32"/>
      <w:szCs w:val="32"/>
      <w:lang w:val="en-GB"/>
    </w:rPr>
  </w:style>
  <w:style w:type="character" w:customStyle="1" w:styleId="Heading2Char">
    <w:name w:val="Heading 2 Char"/>
    <w:basedOn w:val="DefaultParagraphFont"/>
    <w:link w:val="Heading2"/>
    <w:uiPriority w:val="9"/>
    <w:rsid w:val="00F63F94"/>
    <w:rPr>
      <w:rFonts w:eastAsiaTheme="majorEastAsia" w:cstheme="majorBidi"/>
      <w:b/>
      <w:color w:val="002060"/>
      <w:spacing w:val="-10"/>
      <w:kern w:val="28"/>
      <w:sz w:val="28"/>
      <w:szCs w:val="26"/>
    </w:rPr>
  </w:style>
  <w:style w:type="character" w:customStyle="1" w:styleId="Heading3Char">
    <w:name w:val="Heading 3 Char"/>
    <w:basedOn w:val="DefaultParagraphFont"/>
    <w:link w:val="Heading3"/>
    <w:uiPriority w:val="9"/>
    <w:rsid w:val="009C4674"/>
    <w:rPr>
      <w:rFonts w:eastAsiaTheme="majorEastAsia" w:cs="Arial"/>
      <w:b/>
      <w:color w:val="2E5496"/>
      <w:sz w:val="24"/>
      <w:szCs w:val="24"/>
    </w:rPr>
  </w:style>
  <w:style w:type="character" w:customStyle="1" w:styleId="Heading4Char">
    <w:name w:val="Heading 4 Char"/>
    <w:basedOn w:val="DefaultParagraphFont"/>
    <w:link w:val="Heading4"/>
    <w:uiPriority w:val="9"/>
    <w:rsid w:val="00F63F94"/>
    <w:rPr>
      <w:b/>
      <w:i/>
      <w:color w:val="0070C0"/>
      <w:sz w:val="24"/>
      <w:szCs w:val="24"/>
    </w:rPr>
  </w:style>
  <w:style w:type="paragraph" w:styleId="ListParagraph">
    <w:name w:val="List Paragraph"/>
    <w:basedOn w:val="Normal"/>
    <w:uiPriority w:val="34"/>
    <w:qFormat/>
    <w:rsid w:val="00F63F94"/>
    <w:pPr>
      <w:ind w:left="720"/>
      <w:contextualSpacing/>
    </w:pPr>
  </w:style>
  <w:style w:type="paragraph" w:styleId="FootnoteText">
    <w:name w:val="footnote text"/>
    <w:basedOn w:val="Normal"/>
    <w:link w:val="FootnoteTextChar"/>
    <w:uiPriority w:val="99"/>
    <w:unhideWhenUsed/>
    <w:rsid w:val="00F63F94"/>
    <w:pPr>
      <w:spacing w:after="0" w:line="240" w:lineRule="auto"/>
    </w:pPr>
    <w:rPr>
      <w:sz w:val="20"/>
      <w:szCs w:val="20"/>
    </w:rPr>
  </w:style>
  <w:style w:type="character" w:customStyle="1" w:styleId="FootnoteTextChar">
    <w:name w:val="Footnote Text Char"/>
    <w:basedOn w:val="DefaultParagraphFont"/>
    <w:link w:val="FootnoteText"/>
    <w:uiPriority w:val="99"/>
    <w:rsid w:val="00F63F94"/>
    <w:rPr>
      <w:sz w:val="20"/>
      <w:szCs w:val="20"/>
    </w:rPr>
  </w:style>
  <w:style w:type="character" w:styleId="FootnoteReference">
    <w:name w:val="footnote reference"/>
    <w:basedOn w:val="DefaultParagraphFont"/>
    <w:uiPriority w:val="99"/>
    <w:unhideWhenUsed/>
    <w:rsid w:val="00F63F94"/>
    <w:rPr>
      <w:vertAlign w:val="superscript"/>
    </w:rPr>
  </w:style>
  <w:style w:type="table" w:styleId="TableGrid">
    <w:name w:val="Table Grid"/>
    <w:basedOn w:val="TableNormal"/>
    <w:uiPriority w:val="39"/>
    <w:rsid w:val="00F63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63F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3F94"/>
  </w:style>
  <w:style w:type="paragraph" w:styleId="Footer">
    <w:name w:val="footer"/>
    <w:basedOn w:val="Normal"/>
    <w:link w:val="FooterChar"/>
    <w:uiPriority w:val="99"/>
    <w:unhideWhenUsed/>
    <w:rsid w:val="00F63F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3F94"/>
  </w:style>
  <w:style w:type="paragraph" w:styleId="BalloonText">
    <w:name w:val="Balloon Text"/>
    <w:basedOn w:val="Normal"/>
    <w:link w:val="BalloonTextChar"/>
    <w:uiPriority w:val="99"/>
    <w:semiHidden/>
    <w:unhideWhenUsed/>
    <w:rsid w:val="00F63F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F94"/>
    <w:rPr>
      <w:rFonts w:ascii="Segoe UI" w:hAnsi="Segoe UI" w:cs="Segoe UI"/>
      <w:sz w:val="18"/>
      <w:szCs w:val="18"/>
    </w:rPr>
  </w:style>
  <w:style w:type="paragraph" w:customStyle="1" w:styleId="Default">
    <w:name w:val="Default"/>
    <w:rsid w:val="00F63F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1">
    <w:name w:val="Style1"/>
    <w:basedOn w:val="Normal"/>
    <w:link w:val="Style1Char"/>
    <w:qFormat/>
    <w:rsid w:val="00F63F94"/>
    <w:pPr>
      <w:jc w:val="center"/>
    </w:pPr>
    <w:rPr>
      <w:b/>
      <w:sz w:val="32"/>
      <w:szCs w:val="32"/>
    </w:rPr>
  </w:style>
  <w:style w:type="character" w:customStyle="1" w:styleId="Style1Char">
    <w:name w:val="Style1 Char"/>
    <w:basedOn w:val="DefaultParagraphFont"/>
    <w:link w:val="Style1"/>
    <w:rsid w:val="00F63F94"/>
    <w:rPr>
      <w:b/>
      <w:sz w:val="32"/>
      <w:szCs w:val="32"/>
    </w:rPr>
  </w:style>
  <w:style w:type="paragraph" w:styleId="Title">
    <w:name w:val="Title"/>
    <w:basedOn w:val="Normal"/>
    <w:next w:val="Normal"/>
    <w:link w:val="TitleChar"/>
    <w:uiPriority w:val="10"/>
    <w:qFormat/>
    <w:rsid w:val="00F63F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3F94"/>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F63F94"/>
    <w:rPr>
      <w:sz w:val="16"/>
      <w:szCs w:val="16"/>
    </w:rPr>
  </w:style>
  <w:style w:type="paragraph" w:styleId="CommentText">
    <w:name w:val="annotation text"/>
    <w:basedOn w:val="Normal"/>
    <w:link w:val="CommentTextChar"/>
    <w:uiPriority w:val="99"/>
    <w:unhideWhenUsed/>
    <w:rsid w:val="00F63F94"/>
    <w:pPr>
      <w:spacing w:line="240" w:lineRule="auto"/>
    </w:pPr>
    <w:rPr>
      <w:sz w:val="20"/>
      <w:szCs w:val="20"/>
    </w:rPr>
  </w:style>
  <w:style w:type="character" w:customStyle="1" w:styleId="CommentTextChar">
    <w:name w:val="Comment Text Char"/>
    <w:basedOn w:val="DefaultParagraphFont"/>
    <w:link w:val="CommentText"/>
    <w:uiPriority w:val="99"/>
    <w:rsid w:val="00F63F94"/>
    <w:rPr>
      <w:sz w:val="20"/>
      <w:szCs w:val="20"/>
    </w:rPr>
  </w:style>
  <w:style w:type="paragraph" w:styleId="CommentSubject">
    <w:name w:val="annotation subject"/>
    <w:basedOn w:val="CommentText"/>
    <w:next w:val="CommentText"/>
    <w:link w:val="CommentSubjectChar"/>
    <w:uiPriority w:val="99"/>
    <w:semiHidden/>
    <w:unhideWhenUsed/>
    <w:rsid w:val="00F63F94"/>
    <w:rPr>
      <w:b/>
      <w:bCs/>
    </w:rPr>
  </w:style>
  <w:style w:type="character" w:customStyle="1" w:styleId="CommentSubjectChar">
    <w:name w:val="Comment Subject Char"/>
    <w:basedOn w:val="CommentTextChar"/>
    <w:link w:val="CommentSubject"/>
    <w:uiPriority w:val="99"/>
    <w:semiHidden/>
    <w:rsid w:val="00F63F94"/>
    <w:rPr>
      <w:b/>
      <w:bCs/>
      <w:sz w:val="20"/>
      <w:szCs w:val="20"/>
    </w:rPr>
  </w:style>
  <w:style w:type="paragraph" w:styleId="Revision">
    <w:name w:val="Revision"/>
    <w:hidden/>
    <w:uiPriority w:val="99"/>
    <w:semiHidden/>
    <w:rsid w:val="00F63F94"/>
    <w:pPr>
      <w:spacing w:after="0" w:line="240" w:lineRule="auto"/>
    </w:pPr>
  </w:style>
  <w:style w:type="paragraph" w:styleId="TOC1">
    <w:name w:val="toc 1"/>
    <w:basedOn w:val="Normal"/>
    <w:next w:val="Normal"/>
    <w:autoRedefine/>
    <w:uiPriority w:val="39"/>
    <w:unhideWhenUsed/>
    <w:rsid w:val="00F63F94"/>
    <w:pPr>
      <w:tabs>
        <w:tab w:val="right" w:leader="dot" w:pos="9350"/>
      </w:tabs>
      <w:spacing w:after="100"/>
    </w:pPr>
  </w:style>
  <w:style w:type="paragraph" w:styleId="TOC2">
    <w:name w:val="toc 2"/>
    <w:basedOn w:val="Normal"/>
    <w:next w:val="Normal"/>
    <w:autoRedefine/>
    <w:uiPriority w:val="39"/>
    <w:unhideWhenUsed/>
    <w:rsid w:val="00F63F94"/>
    <w:pPr>
      <w:spacing w:after="100"/>
      <w:ind w:left="220"/>
    </w:pPr>
  </w:style>
  <w:style w:type="paragraph" w:styleId="TOC3">
    <w:name w:val="toc 3"/>
    <w:basedOn w:val="Normal"/>
    <w:next w:val="Normal"/>
    <w:autoRedefine/>
    <w:uiPriority w:val="39"/>
    <w:unhideWhenUsed/>
    <w:rsid w:val="00F63F94"/>
    <w:pPr>
      <w:tabs>
        <w:tab w:val="right" w:leader="dot" w:pos="9350"/>
      </w:tabs>
      <w:spacing w:after="100"/>
      <w:ind w:left="440"/>
    </w:pPr>
  </w:style>
  <w:style w:type="paragraph" w:styleId="TOC4">
    <w:name w:val="toc 4"/>
    <w:basedOn w:val="Normal"/>
    <w:next w:val="Normal"/>
    <w:autoRedefine/>
    <w:uiPriority w:val="39"/>
    <w:unhideWhenUsed/>
    <w:rsid w:val="00F63F94"/>
    <w:pPr>
      <w:spacing w:after="100"/>
      <w:ind w:left="660"/>
    </w:pPr>
  </w:style>
  <w:style w:type="character" w:styleId="Hyperlink">
    <w:name w:val="Hyperlink"/>
    <w:basedOn w:val="DefaultParagraphFont"/>
    <w:uiPriority w:val="99"/>
    <w:unhideWhenUsed/>
    <w:rsid w:val="00F63F94"/>
    <w:rPr>
      <w:color w:val="0563C1" w:themeColor="hyperlink"/>
      <w:u w:val="single"/>
    </w:rPr>
  </w:style>
  <w:style w:type="character" w:styleId="FollowedHyperlink">
    <w:name w:val="FollowedHyperlink"/>
    <w:basedOn w:val="DefaultParagraphFont"/>
    <w:uiPriority w:val="99"/>
    <w:semiHidden/>
    <w:unhideWhenUsed/>
    <w:rsid w:val="00F63F94"/>
    <w:rPr>
      <w:color w:val="954F72" w:themeColor="followedHyperlink"/>
      <w:u w:val="single"/>
    </w:rPr>
  </w:style>
  <w:style w:type="paragraph" w:styleId="NormalWeb">
    <w:name w:val="Normal (Web)"/>
    <w:basedOn w:val="Normal"/>
    <w:uiPriority w:val="99"/>
    <w:semiHidden/>
    <w:unhideWhenUsed/>
    <w:rsid w:val="00F63F94"/>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F63F94"/>
  </w:style>
  <w:style w:type="character" w:styleId="Mention">
    <w:name w:val="Mention"/>
    <w:basedOn w:val="DefaultParagraphFont"/>
    <w:uiPriority w:val="99"/>
    <w:semiHidden/>
    <w:unhideWhenUsed/>
    <w:rsid w:val="00F63F94"/>
    <w:rPr>
      <w:color w:val="2B579A"/>
      <w:shd w:val="clear" w:color="auto" w:fill="E6E6E6"/>
    </w:rPr>
  </w:style>
  <w:style w:type="paragraph" w:styleId="EndnoteText">
    <w:name w:val="endnote text"/>
    <w:basedOn w:val="Normal"/>
    <w:link w:val="EndnoteTextChar"/>
    <w:uiPriority w:val="99"/>
    <w:unhideWhenUsed/>
    <w:rsid w:val="00F63F94"/>
    <w:pPr>
      <w:spacing w:after="0" w:line="240" w:lineRule="auto"/>
    </w:pPr>
    <w:rPr>
      <w:sz w:val="20"/>
      <w:szCs w:val="20"/>
    </w:rPr>
  </w:style>
  <w:style w:type="character" w:customStyle="1" w:styleId="EndnoteTextChar">
    <w:name w:val="Endnote Text Char"/>
    <w:basedOn w:val="DefaultParagraphFont"/>
    <w:link w:val="EndnoteText"/>
    <w:uiPriority w:val="99"/>
    <w:rsid w:val="00F63F94"/>
    <w:rPr>
      <w:sz w:val="20"/>
      <w:szCs w:val="20"/>
    </w:rPr>
  </w:style>
  <w:style w:type="character" w:styleId="EndnoteReference">
    <w:name w:val="endnote reference"/>
    <w:basedOn w:val="DefaultParagraphFont"/>
    <w:uiPriority w:val="99"/>
    <w:unhideWhenUsed/>
    <w:rsid w:val="00F63F94"/>
    <w:rPr>
      <w:vertAlign w:val="superscript"/>
    </w:rPr>
  </w:style>
  <w:style w:type="paragraph" w:styleId="Subtitle">
    <w:name w:val="Subtitle"/>
    <w:basedOn w:val="Normal"/>
    <w:next w:val="Normal"/>
    <w:link w:val="SubtitleChar"/>
    <w:uiPriority w:val="11"/>
    <w:qFormat/>
    <w:rsid w:val="00316C10"/>
    <w:pPr>
      <w:numPr>
        <w:ilvl w:val="1"/>
      </w:numPr>
      <w:spacing w:line="240" w:lineRule="auto"/>
      <w:jc w:val="both"/>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16C10"/>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kohler@worldbank.org" TargetMode="Externa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ettings" Target="settings.xml"/><Relationship Id="rId21" Type="http://schemas.openxmlformats.org/officeDocument/2006/relationships/chart" Target="charts/chart11.xml"/><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chart" Target="charts/chart14.xm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header" Target="header1.xml"/><Relationship Id="rId10" Type="http://schemas.openxmlformats.org/officeDocument/2006/relationships/footer" Target="footer2.xml"/><Relationship Id="rId19" Type="http://schemas.openxmlformats.org/officeDocument/2006/relationships/chart" Target="charts/chart9.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ec.europa.eu/neighbourhood-enlargement/sites/near/files/pdf/key_documents/2016/20161109_report_serbia.pdf" TargetMode="External"/><Relationship Id="rId13" Type="http://schemas.openxmlformats.org/officeDocument/2006/relationships/hyperlink" Target="http://www.agreestat.com/book4/" TargetMode="External"/><Relationship Id="rId3" Type="http://schemas.openxmlformats.org/officeDocument/2006/relationships/hyperlink" Target="https://www.aeaweb.org/articles?id=10.1257/pol.3.4.148" TargetMode="External"/><Relationship Id="rId7" Type="http://schemas.openxmlformats.org/officeDocument/2006/relationships/hyperlink" Target="http://www.eurasia.undp.org/content/dam/rbec/docs/undp-rbec-blee-SERBIA%20.pdf" TargetMode="External"/><Relationship Id="rId12" Type="http://schemas.openxmlformats.org/officeDocument/2006/relationships/hyperlink" Target="http://unesdoc.unesco.org/images/0022/002275/227518e.pdf" TargetMode="External"/><Relationship Id="rId2" Type="http://schemas.openxmlformats.org/officeDocument/2006/relationships/hyperlink" Target="http://fra.europa.eu/sites/default/files/eu-lgbt-survey-technical-report_en.pdf" TargetMode="External"/><Relationship Id="rId1" Type="http://schemas.openxmlformats.org/officeDocument/2006/relationships/hyperlink" Target="https://williamsinstitute.law.ucla.edu/wp-content/uploads/LGB-Poverty-Update-Jun-2013.pdf" TargetMode="External"/><Relationship Id="rId6" Type="http://schemas.openxmlformats.org/officeDocument/2006/relationships/hyperlink" Target="https://www.ncbi.nlm.nih.gov/pubmed/22268247" TargetMode="External"/><Relationship Id="rId11" Type="http://schemas.openxmlformats.org/officeDocument/2006/relationships/hyperlink" Target="http://unesdoc.unesco.org/images/0023/002354/235414e.pdf" TargetMode="External"/><Relationship Id="rId5" Type="http://schemas.openxmlformats.org/officeDocument/2006/relationships/hyperlink" Target="http://www.annualreviews.org/doi/abs/10.1146/annurev.soc.33.040406.131740" TargetMode="External"/><Relationship Id="rId10" Type="http://schemas.openxmlformats.org/officeDocument/2006/relationships/hyperlink" Target="https://www.ndi.org/LGBTI_Balkans_poll" TargetMode="External"/><Relationship Id="rId4" Type="http://schemas.openxmlformats.org/officeDocument/2006/relationships/hyperlink" Target="https://www.sciencedirect.com/science/article/pii/S1051137717300037" TargetMode="External"/><Relationship Id="rId9" Type="http://schemas.openxmlformats.org/officeDocument/2006/relationships/hyperlink" Target="http://www.mvmgroup.rs/wp-content/uploads/2011/04/Importance-of-mistery-shopping.pdf" TargetMode="External"/><Relationship Id="rId14" Type="http://schemas.openxmlformats.org/officeDocument/2006/relationships/hyperlink" Target="https://rm.coe.int/16801e8db9"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r">
              <a:defRPr sz="1100" b="0" i="0" u="none" strike="noStrike" kern="1200" spc="0" baseline="0">
                <a:solidFill>
                  <a:srgbClr val="5B5A5A"/>
                </a:solidFill>
                <a:latin typeface="+mn-lt"/>
                <a:ea typeface="+mn-ea"/>
                <a:cs typeface="+mn-cs"/>
              </a:defRPr>
            </a:pPr>
            <a:r>
              <a:rPr lang="en-US" sz="1100" b="1">
                <a:solidFill>
                  <a:srgbClr val="5B5A5A"/>
                </a:solidFill>
              </a:rPr>
              <a:t>FEMININE BOYS</a:t>
            </a:r>
          </a:p>
        </c:rich>
      </c:tx>
      <c:layout>
        <c:manualLayout>
          <c:xMode val="edge"/>
          <c:yMode val="edge"/>
          <c:x val="0.31233707886158402"/>
          <c:y val="2.4968962213056702E-2"/>
        </c:manualLayout>
      </c:layout>
      <c:overlay val="0"/>
      <c:spPr>
        <a:noFill/>
        <a:ln>
          <a:noFill/>
        </a:ln>
        <a:effectLst/>
      </c:spPr>
    </c:title>
    <c:autoTitleDeleted val="0"/>
    <c:plotArea>
      <c:layout>
        <c:manualLayout>
          <c:layoutTarget val="inner"/>
          <c:xMode val="edge"/>
          <c:yMode val="edge"/>
          <c:x val="0.196540290114981"/>
          <c:y val="0.195079100176489"/>
          <c:w val="0.64744659586590836"/>
          <c:h val="0.611058531476669"/>
        </c:manualLayout>
      </c:layout>
      <c:pieChart>
        <c:varyColors val="1"/>
        <c:ser>
          <c:idx val="0"/>
          <c:order val="0"/>
          <c:tx>
            <c:strRef>
              <c:f>Sheet1!$B$1</c:f>
              <c:strCache>
                <c:ptCount val="1"/>
                <c:pt idx="0">
                  <c:v>Column1</c:v>
                </c:pt>
              </c:strCache>
            </c:strRef>
          </c:tx>
          <c:spPr>
            <a:ln w="12700">
              <a:solidFill>
                <a:sysClr val="window" lastClr="FFFFFF"/>
              </a:solidFill>
            </a:ln>
          </c:spPr>
          <c:dPt>
            <c:idx val="0"/>
            <c:bubble3D val="0"/>
            <c:spPr>
              <a:solidFill>
                <a:schemeClr val="accent1"/>
              </a:solidFill>
              <a:ln w="12700">
                <a:solidFill>
                  <a:sysClr val="window" lastClr="FFFFFF"/>
                </a:solidFill>
              </a:ln>
              <a:effectLst/>
            </c:spPr>
            <c:extLst>
              <c:ext xmlns:c16="http://schemas.microsoft.com/office/drawing/2014/chart" uri="{C3380CC4-5D6E-409C-BE32-E72D297353CC}">
                <c16:uniqueId val="{00000001-4FA3-CC47-AF47-F8E46E5759BB}"/>
              </c:ext>
            </c:extLst>
          </c:dPt>
          <c:dPt>
            <c:idx val="1"/>
            <c:bubble3D val="0"/>
            <c:spPr>
              <a:solidFill>
                <a:srgbClr val="00B1EE"/>
              </a:solidFill>
              <a:ln w="12700">
                <a:solidFill>
                  <a:sysClr val="window" lastClr="FFFFFF"/>
                </a:solidFill>
              </a:ln>
              <a:effectLst/>
            </c:spPr>
            <c:extLst>
              <c:ext xmlns:c16="http://schemas.microsoft.com/office/drawing/2014/chart" uri="{C3380CC4-5D6E-409C-BE32-E72D297353CC}">
                <c16:uniqueId val="{00000003-4FA3-CC47-AF47-F8E46E5759BB}"/>
              </c:ext>
            </c:extLst>
          </c:dPt>
          <c:dPt>
            <c:idx val="2"/>
            <c:bubble3D val="0"/>
            <c:spPr>
              <a:solidFill>
                <a:srgbClr val="002F53"/>
              </a:solidFill>
              <a:ln w="12700">
                <a:solidFill>
                  <a:sysClr val="window" lastClr="FFFFFF"/>
                </a:solidFill>
              </a:ln>
            </c:spPr>
            <c:extLst>
              <c:ext xmlns:c16="http://schemas.microsoft.com/office/drawing/2014/chart" uri="{C3380CC4-5D6E-409C-BE32-E72D297353CC}">
                <c16:uniqueId val="{00000005-4FA3-CC47-AF47-F8E46E5759BB}"/>
              </c:ext>
            </c:extLst>
          </c:dPt>
          <c:dPt>
            <c:idx val="3"/>
            <c:bubble3D val="0"/>
            <c:spPr>
              <a:solidFill>
                <a:sysClr val="window" lastClr="FFFFFF">
                  <a:lumMod val="75000"/>
                </a:sysClr>
              </a:solidFill>
              <a:ln w="12700">
                <a:solidFill>
                  <a:sysClr val="window" lastClr="FFFFFF"/>
                </a:solidFill>
              </a:ln>
            </c:spPr>
            <c:extLst>
              <c:ext xmlns:c16="http://schemas.microsoft.com/office/drawing/2014/chart" uri="{C3380CC4-5D6E-409C-BE32-E72D297353CC}">
                <c16:uniqueId val="{00000007-4FA3-CC47-AF47-F8E46E5759BB}"/>
              </c:ext>
            </c:extLst>
          </c:dPt>
          <c:dPt>
            <c:idx val="4"/>
            <c:bubble3D val="0"/>
            <c:spPr>
              <a:solidFill>
                <a:srgbClr val="FFC000"/>
              </a:solidFill>
              <a:ln w="12700">
                <a:solidFill>
                  <a:sysClr val="window" lastClr="FFFFFF"/>
                </a:solidFill>
              </a:ln>
            </c:spPr>
            <c:extLst>
              <c:ext xmlns:c16="http://schemas.microsoft.com/office/drawing/2014/chart" uri="{C3380CC4-5D6E-409C-BE32-E72D297353CC}">
                <c16:uniqueId val="{00000009-4FA3-CC47-AF47-F8E46E5759BB}"/>
              </c:ext>
            </c:extLst>
          </c:dPt>
          <c:dPt>
            <c:idx val="5"/>
            <c:bubble3D val="0"/>
            <c:spPr>
              <a:solidFill>
                <a:srgbClr val="ED7D31"/>
              </a:solidFill>
              <a:ln w="12700">
                <a:solidFill>
                  <a:sysClr val="window" lastClr="FFFFFF"/>
                </a:solidFill>
              </a:ln>
            </c:spPr>
            <c:extLst>
              <c:ext xmlns:c16="http://schemas.microsoft.com/office/drawing/2014/chart" uri="{C3380CC4-5D6E-409C-BE32-E72D297353CC}">
                <c16:uniqueId val="{0000000B-4FA3-CC47-AF47-F8E46E5759BB}"/>
              </c:ext>
            </c:extLst>
          </c:dPt>
          <c:dLbls>
            <c:dLbl>
              <c:idx val="0"/>
              <c:delete val="1"/>
              <c:extLst>
                <c:ext xmlns:c15="http://schemas.microsoft.com/office/drawing/2012/chart" uri="{CE6537A1-D6FC-4f65-9D91-7224C49458BB}"/>
                <c:ext xmlns:c16="http://schemas.microsoft.com/office/drawing/2014/chart" uri="{C3380CC4-5D6E-409C-BE32-E72D297353CC}">
                  <c16:uniqueId val="{00000001-4FA3-CC47-AF47-F8E46E5759BB}"/>
                </c:ext>
              </c:extLst>
            </c:dLbl>
            <c:dLbl>
              <c:idx val="1"/>
              <c:layout>
                <c:manualLayout>
                  <c:x val="-0.1333650909294701"/>
                  <c:y val="-0.2065751737586024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FA3-CC47-AF47-F8E46E5759BB}"/>
                </c:ext>
              </c:extLst>
            </c:dLbl>
            <c:dLbl>
              <c:idx val="2"/>
              <c:layout>
                <c:manualLayout>
                  <c:x val="0.10015075517695519"/>
                  <c:y val="0.1580544738207506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FA3-CC47-AF47-F8E46E5759BB}"/>
                </c:ext>
              </c:extLst>
            </c:dLbl>
            <c:spPr>
              <a:noFill/>
              <a:ln>
                <a:noFill/>
              </a:ln>
              <a:effectLst/>
            </c:spPr>
            <c:txPr>
              <a:bodyPr wrap="square" lIns="38100" tIns="19050" rIns="38100" bIns="19050" anchor="ctr">
                <a:spAutoFit/>
              </a:bodyPr>
              <a:lstStyle/>
              <a:p>
                <a:pPr>
                  <a:defRPr sz="1100" b="1">
                    <a:solidFill>
                      <a:schemeClr val="bg1"/>
                    </a:solidFill>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 </c:v>
                </c:pt>
                <c:pt idx="1">
                  <c:v>Accepted</c:v>
                </c:pt>
                <c:pt idx="2">
                  <c:v>Refused</c:v>
                </c:pt>
              </c:strCache>
            </c:strRef>
          </c:cat>
          <c:val>
            <c:numRef>
              <c:f>Sheet1!$B$2:$B$4</c:f>
              <c:numCache>
                <c:formatCode>0.00%</c:formatCode>
                <c:ptCount val="3"/>
                <c:pt idx="0" formatCode="General">
                  <c:v>0</c:v>
                </c:pt>
                <c:pt idx="1">
                  <c:v>0.85</c:v>
                </c:pt>
                <c:pt idx="2">
                  <c:v>0.15</c:v>
                </c:pt>
              </c:numCache>
            </c:numRef>
          </c:val>
          <c:extLst>
            <c:ext xmlns:c16="http://schemas.microsoft.com/office/drawing/2014/chart" uri="{C3380CC4-5D6E-409C-BE32-E72D297353CC}">
              <c16:uniqueId val="{0000000C-4FA3-CC47-AF47-F8E46E5759B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0"/>
        <c:delete val="1"/>
      </c:legendEntry>
      <c:layout>
        <c:manualLayout>
          <c:xMode val="edge"/>
          <c:yMode val="edge"/>
          <c:x val="0"/>
          <c:y val="0.82410055326156317"/>
          <c:w val="0.99881413399837504"/>
          <c:h val="0.15481863722648201"/>
        </c:manualLayout>
      </c:layout>
      <c:overlay val="0"/>
      <c:txPr>
        <a:bodyPr/>
        <a:lstStyle/>
        <a:p>
          <a:pPr>
            <a:defRPr sz="900"/>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rgbClr val="5B5A5A"/>
                </a:solidFill>
                <a:latin typeface="+mn-lt"/>
                <a:ea typeface="+mn-ea"/>
                <a:cs typeface="+mn-cs"/>
              </a:defRPr>
            </a:pPr>
            <a:r>
              <a:rPr lang="en-US" sz="1100" b="1">
                <a:solidFill>
                  <a:srgbClr val="5B5A5A"/>
                </a:solidFill>
              </a:rPr>
              <a:t>NON-FEMININE BOYS</a:t>
            </a:r>
          </a:p>
        </c:rich>
      </c:tx>
      <c:layout>
        <c:manualLayout>
          <c:xMode val="edge"/>
          <c:yMode val="edge"/>
          <c:x val="0.29029024321704899"/>
          <c:y val="3.4218616154697699E-2"/>
        </c:manualLayout>
      </c:layout>
      <c:overlay val="0"/>
      <c:spPr>
        <a:noFill/>
        <a:ln>
          <a:noFill/>
        </a:ln>
        <a:effectLst/>
      </c:spPr>
    </c:title>
    <c:autoTitleDeleted val="0"/>
    <c:plotArea>
      <c:layout>
        <c:manualLayout>
          <c:layoutTarget val="inner"/>
          <c:xMode val="edge"/>
          <c:yMode val="edge"/>
          <c:x val="0.207653413316052"/>
          <c:y val="0.150669177880143"/>
          <c:w val="0.58702383615012499"/>
          <c:h val="0.55674676055776195"/>
        </c:manualLayout>
      </c:layout>
      <c:pieChart>
        <c:varyColors val="1"/>
        <c:ser>
          <c:idx val="0"/>
          <c:order val="0"/>
          <c:tx>
            <c:strRef>
              <c:f>Sheet1!$B$1</c:f>
              <c:strCache>
                <c:ptCount val="1"/>
                <c:pt idx="0">
                  <c:v>Non-feminine</c:v>
                </c:pt>
              </c:strCache>
            </c:strRef>
          </c:tx>
          <c:spPr>
            <a:solidFill>
              <a:srgbClr val="ED7D31"/>
            </a:solidFill>
            <a:ln w="12700">
              <a:solidFill>
                <a:sysClr val="window" lastClr="FFFFFF"/>
              </a:solidFill>
            </a:ln>
          </c:spPr>
          <c:dPt>
            <c:idx val="0"/>
            <c:bubble3D val="0"/>
            <c:spPr>
              <a:solidFill>
                <a:srgbClr val="00B1EE"/>
              </a:solidFill>
              <a:ln w="12700">
                <a:solidFill>
                  <a:sysClr val="window" lastClr="FFFFFF"/>
                </a:solidFill>
              </a:ln>
              <a:effectLst/>
            </c:spPr>
            <c:extLst>
              <c:ext xmlns:c16="http://schemas.microsoft.com/office/drawing/2014/chart" uri="{C3380CC4-5D6E-409C-BE32-E72D297353CC}">
                <c16:uniqueId val="{00000001-B36A-AC48-840E-0D65AC3F9FD9}"/>
              </c:ext>
            </c:extLst>
          </c:dPt>
          <c:dPt>
            <c:idx val="1"/>
            <c:bubble3D val="0"/>
            <c:spPr>
              <a:solidFill>
                <a:srgbClr val="002F53"/>
              </a:solidFill>
              <a:ln w="12700">
                <a:solidFill>
                  <a:sysClr val="window" lastClr="FFFFFF"/>
                </a:solidFill>
              </a:ln>
              <a:effectLst/>
            </c:spPr>
            <c:extLst>
              <c:ext xmlns:c16="http://schemas.microsoft.com/office/drawing/2014/chart" uri="{C3380CC4-5D6E-409C-BE32-E72D297353CC}">
                <c16:uniqueId val="{00000003-B36A-AC48-840E-0D65AC3F9FD9}"/>
              </c:ext>
            </c:extLst>
          </c:dPt>
          <c:dPt>
            <c:idx val="4"/>
            <c:bubble3D val="0"/>
            <c:extLst>
              <c:ext xmlns:c16="http://schemas.microsoft.com/office/drawing/2014/chart" uri="{C3380CC4-5D6E-409C-BE32-E72D297353CC}">
                <c16:uniqueId val="{00000004-B36A-AC48-840E-0D65AC3F9FD9}"/>
              </c:ext>
            </c:extLst>
          </c:dPt>
          <c:dLbls>
            <c:dLbl>
              <c:idx val="0"/>
              <c:layout>
                <c:manualLayout>
                  <c:x val="-0.19377225275279045"/>
                  <c:y val="-0.1258364822359672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36A-AC48-840E-0D65AC3F9FD9}"/>
                </c:ext>
              </c:extLst>
            </c:dLbl>
            <c:dLbl>
              <c:idx val="1"/>
              <c:layout>
                <c:manualLayout>
                  <c:x val="0.14722778572855261"/>
                  <c:y val="0.1160875180634104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36A-AC48-840E-0D65AC3F9FD9}"/>
                </c:ext>
              </c:extLst>
            </c:dLbl>
            <c:dLbl>
              <c:idx val="3"/>
              <c:delete val="1"/>
              <c:extLst>
                <c:ext xmlns:c15="http://schemas.microsoft.com/office/drawing/2012/chart" uri="{CE6537A1-D6FC-4f65-9D91-7224C49458BB}"/>
                <c:ext xmlns:c16="http://schemas.microsoft.com/office/drawing/2014/chart" uri="{C3380CC4-5D6E-409C-BE32-E72D297353CC}">
                  <c16:uniqueId val="{00000005-B36A-AC48-840E-0D65AC3F9FD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Accepted without hesitation</c:v>
                </c:pt>
                <c:pt idx="1">
                  <c:v>Accepted with hesitation</c:v>
                </c:pt>
              </c:strCache>
            </c:strRef>
          </c:cat>
          <c:val>
            <c:numRef>
              <c:f>Sheet1!$B$2:$B$3</c:f>
              <c:numCache>
                <c:formatCode>0.00%</c:formatCode>
                <c:ptCount val="2"/>
                <c:pt idx="0">
                  <c:v>0.72</c:v>
                </c:pt>
                <c:pt idx="1">
                  <c:v>0.28000000000000003</c:v>
                </c:pt>
              </c:numCache>
            </c:numRef>
          </c:val>
          <c:extLst>
            <c:ext xmlns:c16="http://schemas.microsoft.com/office/drawing/2014/chart" uri="{C3380CC4-5D6E-409C-BE32-E72D297353CC}">
              <c16:uniqueId val="{00000006-B36A-AC48-840E-0D65AC3F9FD9}"/>
            </c:ext>
          </c:extLst>
        </c:ser>
        <c:dLbls>
          <c:dLblPos val="ctr"/>
          <c:showLegendKey val="0"/>
          <c:showVal val="0"/>
          <c:showCatName val="0"/>
          <c:showSerName val="0"/>
          <c:showPercent val="1"/>
          <c:showBubbleSize val="0"/>
          <c:showLeaderLines val="1"/>
        </c:dLbls>
        <c:firstSliceAng val="0"/>
      </c:pieChart>
      <c:spPr>
        <a:noFill/>
        <a:ln w="25400">
          <a:noFill/>
        </a:ln>
        <a:effectLst/>
      </c:spPr>
    </c:plotArea>
    <c:legend>
      <c:legendPos val="b"/>
      <c:layout>
        <c:manualLayout>
          <c:xMode val="edge"/>
          <c:yMode val="edge"/>
          <c:x val="0"/>
          <c:y val="0.81519495049713964"/>
          <c:w val="1"/>
          <c:h val="0.1604326390714687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solidFill>
                  <a:srgbClr val="5B5A5A"/>
                </a:solidFill>
              </a:defRPr>
            </a:pPr>
            <a:r>
              <a:rPr lang="en-US" b="1">
                <a:solidFill>
                  <a:srgbClr val="5B5A5A"/>
                </a:solidFill>
              </a:rPr>
              <a:t>SAME-SEX COUPLES</a:t>
            </a:r>
          </a:p>
        </c:rich>
      </c:tx>
      <c:overlay val="0"/>
    </c:title>
    <c:autoTitleDeleted val="0"/>
    <c:plotArea>
      <c:layout>
        <c:manualLayout>
          <c:layoutTarget val="inner"/>
          <c:xMode val="edge"/>
          <c:yMode val="edge"/>
          <c:x val="0.14909070529884799"/>
          <c:y val="0.158500954426151"/>
          <c:w val="0.66968177020577102"/>
          <c:h val="0.53460391314722"/>
        </c:manualLayout>
      </c:layout>
      <c:pieChart>
        <c:varyColors val="1"/>
        <c:ser>
          <c:idx val="0"/>
          <c:order val="0"/>
          <c:tx>
            <c:strRef>
              <c:f>Sheet1!$B$1</c:f>
              <c:strCache>
                <c:ptCount val="1"/>
                <c:pt idx="0">
                  <c:v>Same-sex couples</c:v>
                </c:pt>
              </c:strCache>
            </c:strRef>
          </c:tx>
          <c:spPr>
            <a:ln w="12700">
              <a:solidFill>
                <a:sysClr val="window" lastClr="FFFFFF"/>
              </a:solidFill>
            </a:ln>
          </c:spPr>
          <c:dPt>
            <c:idx val="0"/>
            <c:bubble3D val="0"/>
            <c:spPr>
              <a:solidFill>
                <a:srgbClr val="00B1EE"/>
              </a:solidFill>
              <a:ln w="12700">
                <a:solidFill>
                  <a:sysClr val="window" lastClr="FFFFFF"/>
                </a:solidFill>
              </a:ln>
              <a:effectLst/>
            </c:spPr>
            <c:extLst>
              <c:ext xmlns:c16="http://schemas.microsoft.com/office/drawing/2014/chart" uri="{C3380CC4-5D6E-409C-BE32-E72D297353CC}">
                <c16:uniqueId val="{00000001-2D09-0649-A5B7-C64F36EA3125}"/>
              </c:ext>
            </c:extLst>
          </c:dPt>
          <c:dPt>
            <c:idx val="1"/>
            <c:bubble3D val="0"/>
            <c:spPr>
              <a:solidFill>
                <a:srgbClr val="002F53"/>
              </a:solidFill>
              <a:ln w="12700">
                <a:solidFill>
                  <a:sysClr val="window" lastClr="FFFFFF"/>
                </a:solidFill>
              </a:ln>
              <a:effectLst/>
            </c:spPr>
            <c:extLst>
              <c:ext xmlns:c16="http://schemas.microsoft.com/office/drawing/2014/chart" uri="{C3380CC4-5D6E-409C-BE32-E72D297353CC}">
                <c16:uniqueId val="{00000003-2D09-0649-A5B7-C64F36EA3125}"/>
              </c:ext>
            </c:extLst>
          </c:dPt>
          <c:dPt>
            <c:idx val="2"/>
            <c:bubble3D val="0"/>
            <c:spPr>
              <a:solidFill>
                <a:srgbClr val="D9E1F3"/>
              </a:solidFill>
              <a:ln w="12700">
                <a:solidFill>
                  <a:sysClr val="window" lastClr="FFFFFF"/>
                </a:solidFill>
              </a:ln>
            </c:spPr>
            <c:extLst>
              <c:ext xmlns:c16="http://schemas.microsoft.com/office/drawing/2014/chart" uri="{C3380CC4-5D6E-409C-BE32-E72D297353CC}">
                <c16:uniqueId val="{00000005-2D09-0649-A5B7-C64F36EA3125}"/>
              </c:ext>
            </c:extLst>
          </c:dPt>
          <c:dPt>
            <c:idx val="3"/>
            <c:bubble3D val="0"/>
            <c:spPr>
              <a:solidFill>
                <a:srgbClr val="5A5B5A"/>
              </a:solidFill>
              <a:ln w="12700">
                <a:solidFill>
                  <a:sysClr val="window" lastClr="FFFFFF"/>
                </a:solidFill>
              </a:ln>
            </c:spPr>
            <c:extLst>
              <c:ext xmlns:c16="http://schemas.microsoft.com/office/drawing/2014/chart" uri="{C3380CC4-5D6E-409C-BE32-E72D297353CC}">
                <c16:uniqueId val="{00000007-2D09-0649-A5B7-C64F36EA3125}"/>
              </c:ext>
            </c:extLst>
          </c:dPt>
          <c:dPt>
            <c:idx val="4"/>
            <c:bubble3D val="0"/>
            <c:spPr>
              <a:solidFill>
                <a:srgbClr val="FFC000"/>
              </a:solidFill>
              <a:ln w="12700">
                <a:solidFill>
                  <a:sysClr val="window" lastClr="FFFFFF"/>
                </a:solidFill>
              </a:ln>
            </c:spPr>
            <c:extLst>
              <c:ext xmlns:c16="http://schemas.microsoft.com/office/drawing/2014/chart" uri="{C3380CC4-5D6E-409C-BE32-E72D297353CC}">
                <c16:uniqueId val="{00000009-2D09-0649-A5B7-C64F36EA3125}"/>
              </c:ext>
            </c:extLst>
          </c:dPt>
          <c:dPt>
            <c:idx val="5"/>
            <c:bubble3D val="0"/>
            <c:spPr>
              <a:solidFill>
                <a:srgbClr val="ED7D31"/>
              </a:solidFill>
              <a:ln w="12700">
                <a:solidFill>
                  <a:sysClr val="window" lastClr="FFFFFF"/>
                </a:solidFill>
              </a:ln>
            </c:spPr>
            <c:extLst>
              <c:ext xmlns:c16="http://schemas.microsoft.com/office/drawing/2014/chart" uri="{C3380CC4-5D6E-409C-BE32-E72D297353CC}">
                <c16:uniqueId val="{0000000B-2D09-0649-A5B7-C64F36EA3125}"/>
              </c:ext>
            </c:extLst>
          </c:dPt>
          <c:dLbls>
            <c:dLbl>
              <c:idx val="0"/>
              <c:layout>
                <c:manualLayout>
                  <c:x val="-0.22245374132503909"/>
                  <c:y val="-0.1387979892343966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09-0649-A5B7-C64F36EA3125}"/>
                </c:ext>
              </c:extLst>
            </c:dLbl>
            <c:dLbl>
              <c:idx val="2"/>
              <c:numFmt formatCode="0%" sourceLinked="0"/>
              <c:spPr>
                <a:noFill/>
                <a:ln>
                  <a:noFill/>
                </a:ln>
                <a:effectLst/>
              </c:spPr>
              <c:txPr>
                <a:bodyPr wrap="square" lIns="38100" tIns="19050" rIns="38100" bIns="19050" anchor="ctr">
                  <a:spAutoFit/>
                </a:bodyPr>
                <a:lstStyle/>
                <a:p>
                  <a:pPr>
                    <a:defRPr sz="1100" b="1">
                      <a:solidFill>
                        <a:schemeClr val="tx1"/>
                      </a:solidFill>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5-2D09-0649-A5B7-C64F36EA3125}"/>
                </c:ext>
              </c:extLst>
            </c:dLbl>
            <c:numFmt formatCode="0%" sourceLinked="0"/>
            <c:spPr>
              <a:noFill/>
              <a:ln>
                <a:noFill/>
              </a:ln>
              <a:effectLst/>
            </c:spPr>
            <c:txPr>
              <a:bodyPr wrap="square" lIns="38100" tIns="19050" rIns="38100" bIns="19050" anchor="ctr">
                <a:spAutoFit/>
              </a:bodyPr>
              <a:lstStyle/>
              <a:p>
                <a:pPr>
                  <a:defRPr sz="1100" b="1">
                    <a:solidFill>
                      <a:schemeClr val="bg1"/>
                    </a:solidFill>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Accepted without hesitation </c:v>
                </c:pt>
                <c:pt idx="1">
                  <c:v>Accepted with hesitation </c:v>
                </c:pt>
                <c:pt idx="2">
                  <c:v>Refused with hesitation </c:v>
                </c:pt>
                <c:pt idx="3">
                  <c:v>Refused without hesitation </c:v>
                </c:pt>
              </c:strCache>
            </c:strRef>
          </c:cat>
          <c:val>
            <c:numRef>
              <c:f>Sheet1!$B$2:$B$5</c:f>
              <c:numCache>
                <c:formatCode>0.00%</c:formatCode>
                <c:ptCount val="4"/>
                <c:pt idx="0">
                  <c:v>0.74399999999999999</c:v>
                </c:pt>
                <c:pt idx="1">
                  <c:v>7.4999999999999997E-2</c:v>
                </c:pt>
                <c:pt idx="2">
                  <c:v>6.9000000000000006E-2</c:v>
                </c:pt>
                <c:pt idx="3">
                  <c:v>0.113</c:v>
                </c:pt>
              </c:numCache>
            </c:numRef>
          </c:val>
          <c:extLst>
            <c:ext xmlns:c16="http://schemas.microsoft.com/office/drawing/2014/chart" uri="{C3380CC4-5D6E-409C-BE32-E72D297353CC}">
              <c16:uniqueId val="{0000000C-2D09-0649-A5B7-C64F36EA312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
          <c:y val="0.80146803683437873"/>
          <c:w val="1"/>
          <c:h val="0.19853196316562124"/>
        </c:manualLayout>
      </c:layout>
      <c:overlay val="0"/>
      <c:txPr>
        <a:bodyPr/>
        <a:lstStyle/>
        <a:p>
          <a:pPr>
            <a:defRPr sz="900">
              <a:solidFill>
                <a:schemeClr val="tx1">
                  <a:lumMod val="95000"/>
                  <a:lumOff val="5000"/>
                </a:schemeClr>
              </a:solidFill>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solidFill>
                  <a:srgbClr val="5B5A5A"/>
                </a:solidFill>
              </a:defRPr>
            </a:pPr>
            <a:r>
              <a:rPr lang="en-US" b="1">
                <a:solidFill>
                  <a:srgbClr val="5B5A5A"/>
                </a:solidFill>
              </a:rPr>
              <a:t>HETEROSEXUAL COUPLES </a:t>
            </a:r>
          </a:p>
        </c:rich>
      </c:tx>
      <c:overlay val="0"/>
    </c:title>
    <c:autoTitleDeleted val="0"/>
    <c:plotArea>
      <c:layout>
        <c:manualLayout>
          <c:layoutTarget val="inner"/>
          <c:xMode val="edge"/>
          <c:yMode val="edge"/>
          <c:x val="0.14924772271113201"/>
          <c:y val="0.150669177880143"/>
          <c:w val="0.701504940558901"/>
          <c:h val="0.53900944585316701"/>
        </c:manualLayout>
      </c:layout>
      <c:pieChart>
        <c:varyColors val="1"/>
        <c:ser>
          <c:idx val="0"/>
          <c:order val="0"/>
          <c:tx>
            <c:strRef>
              <c:f>Sheet1!$B$1</c:f>
              <c:strCache>
                <c:ptCount val="1"/>
                <c:pt idx="0">
                  <c:v>Heterosexual couples </c:v>
                </c:pt>
              </c:strCache>
            </c:strRef>
          </c:tx>
          <c:spPr>
            <a:ln w="12700">
              <a:solidFill>
                <a:sysClr val="window" lastClr="FFFFFF"/>
              </a:solidFill>
            </a:ln>
          </c:spPr>
          <c:dPt>
            <c:idx val="0"/>
            <c:bubble3D val="0"/>
            <c:spPr>
              <a:solidFill>
                <a:srgbClr val="00B1EE"/>
              </a:solidFill>
              <a:ln w="12700">
                <a:solidFill>
                  <a:sysClr val="window" lastClr="FFFFFF"/>
                </a:solidFill>
              </a:ln>
              <a:effectLst/>
            </c:spPr>
            <c:extLst>
              <c:ext xmlns:c16="http://schemas.microsoft.com/office/drawing/2014/chart" uri="{C3380CC4-5D6E-409C-BE32-E72D297353CC}">
                <c16:uniqueId val="{00000001-7CD3-B841-A91A-1DCC7CC3FA39}"/>
              </c:ext>
            </c:extLst>
          </c:dPt>
          <c:dPt>
            <c:idx val="1"/>
            <c:bubble3D val="0"/>
            <c:spPr>
              <a:solidFill>
                <a:srgbClr val="002F53"/>
              </a:solidFill>
              <a:ln w="12700">
                <a:solidFill>
                  <a:sysClr val="window" lastClr="FFFFFF"/>
                </a:solidFill>
              </a:ln>
              <a:effectLst/>
            </c:spPr>
            <c:extLst>
              <c:ext xmlns:c16="http://schemas.microsoft.com/office/drawing/2014/chart" uri="{C3380CC4-5D6E-409C-BE32-E72D297353CC}">
                <c16:uniqueId val="{00000003-7CD3-B841-A91A-1DCC7CC3FA39}"/>
              </c:ext>
            </c:extLst>
          </c:dPt>
          <c:dPt>
            <c:idx val="2"/>
            <c:bubble3D val="0"/>
            <c:spPr>
              <a:solidFill>
                <a:srgbClr val="D9E1F3"/>
              </a:solidFill>
              <a:ln w="12700">
                <a:solidFill>
                  <a:sysClr val="window" lastClr="FFFFFF"/>
                </a:solidFill>
              </a:ln>
            </c:spPr>
            <c:extLst>
              <c:ext xmlns:c16="http://schemas.microsoft.com/office/drawing/2014/chart" uri="{C3380CC4-5D6E-409C-BE32-E72D297353CC}">
                <c16:uniqueId val="{00000005-7CD3-B841-A91A-1DCC7CC3FA39}"/>
              </c:ext>
            </c:extLst>
          </c:dPt>
          <c:dPt>
            <c:idx val="3"/>
            <c:bubble3D val="0"/>
            <c:spPr>
              <a:solidFill>
                <a:srgbClr val="5A5B5A"/>
              </a:solidFill>
              <a:ln w="12700">
                <a:solidFill>
                  <a:sysClr val="window" lastClr="FFFFFF"/>
                </a:solidFill>
              </a:ln>
            </c:spPr>
            <c:extLst>
              <c:ext xmlns:c16="http://schemas.microsoft.com/office/drawing/2014/chart" uri="{C3380CC4-5D6E-409C-BE32-E72D297353CC}">
                <c16:uniqueId val="{00000007-7CD3-B841-A91A-1DCC7CC3FA39}"/>
              </c:ext>
            </c:extLst>
          </c:dPt>
          <c:dPt>
            <c:idx val="4"/>
            <c:bubble3D val="0"/>
            <c:spPr>
              <a:solidFill>
                <a:srgbClr val="ED7D31"/>
              </a:solidFill>
              <a:ln w="12700">
                <a:solidFill>
                  <a:sysClr val="window" lastClr="FFFFFF"/>
                </a:solidFill>
              </a:ln>
            </c:spPr>
            <c:extLst>
              <c:ext xmlns:c16="http://schemas.microsoft.com/office/drawing/2014/chart" uri="{C3380CC4-5D6E-409C-BE32-E72D297353CC}">
                <c16:uniqueId val="{00000009-7CD3-B841-A91A-1DCC7CC3FA39}"/>
              </c:ext>
            </c:extLst>
          </c:dPt>
          <c:dLbls>
            <c:dLbl>
              <c:idx val="0"/>
              <c:layout>
                <c:manualLayout>
                  <c:x val="-1.0606762389995368E-2"/>
                  <c:y val="-0.19938846627222451"/>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D3-B841-A91A-1DCC7CC3FA39}"/>
                </c:ext>
              </c:extLst>
            </c:dLbl>
            <c:dLbl>
              <c:idx val="1"/>
              <c:layout>
                <c:manualLayout>
                  <c:x val="6.1838042303535602E-3"/>
                  <c:y val="7.4341978439135597E-3"/>
                </c:manualLayout>
              </c:layout>
              <c:numFmt formatCode="0%" sourceLinked="0"/>
              <c:spPr>
                <a:noFill/>
                <a:ln>
                  <a:noFill/>
                </a:ln>
                <a:effectLst/>
              </c:spPr>
              <c:txPr>
                <a:bodyPr wrap="square" lIns="38100" tIns="19050" rIns="38100" bIns="19050" anchor="ctr">
                  <a:spAutoFit/>
                </a:bodyPr>
                <a:lstStyle/>
                <a:p>
                  <a:pPr>
                    <a:defRPr sz="1100" b="1">
                      <a:solidFill>
                        <a:sysClr val="windowText" lastClr="000000"/>
                      </a:solidFill>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D3-B841-A91A-1DCC7CC3FA39}"/>
                </c:ext>
              </c:extLst>
            </c:dLbl>
            <c:dLbl>
              <c:idx val="2"/>
              <c:delete val="1"/>
              <c:extLst>
                <c:ext xmlns:c15="http://schemas.microsoft.com/office/drawing/2012/chart" uri="{CE6537A1-D6FC-4f65-9D91-7224C49458BB}"/>
                <c:ext xmlns:c16="http://schemas.microsoft.com/office/drawing/2014/chart" uri="{C3380CC4-5D6E-409C-BE32-E72D297353CC}">
                  <c16:uniqueId val="{00000005-7CD3-B841-A91A-1DCC7CC3FA39}"/>
                </c:ext>
              </c:extLst>
            </c:dLbl>
            <c:dLbl>
              <c:idx val="3"/>
              <c:delete val="1"/>
              <c:extLst>
                <c:ext xmlns:c15="http://schemas.microsoft.com/office/drawing/2012/chart" uri="{CE6537A1-D6FC-4f65-9D91-7224C49458BB}"/>
                <c:ext xmlns:c16="http://schemas.microsoft.com/office/drawing/2014/chart" uri="{C3380CC4-5D6E-409C-BE32-E72D297353CC}">
                  <c16:uniqueId val="{00000007-7CD3-B841-A91A-1DCC7CC3FA39}"/>
                </c:ext>
              </c:extLst>
            </c:dLbl>
            <c:numFmt formatCode="0%" sourceLinked="0"/>
            <c:spPr>
              <a:noFill/>
              <a:ln>
                <a:noFill/>
              </a:ln>
              <a:effectLst/>
            </c:spPr>
            <c:txPr>
              <a:bodyPr wrap="square" lIns="38100" tIns="19050" rIns="38100" bIns="19050" anchor="ctr">
                <a:spAutoFit/>
              </a:bodyPr>
              <a:lstStyle/>
              <a:p>
                <a:pPr>
                  <a:defRPr sz="1100" b="1">
                    <a:solidFill>
                      <a:schemeClr val="bg1"/>
                    </a:solidFill>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Accepted without hesitation </c:v>
                </c:pt>
                <c:pt idx="1">
                  <c:v>Accepted with hesitation </c:v>
                </c:pt>
                <c:pt idx="2">
                  <c:v>Refused with hesitation </c:v>
                </c:pt>
                <c:pt idx="3">
                  <c:v>Refused without hesitation </c:v>
                </c:pt>
              </c:strCache>
            </c:strRef>
          </c:cat>
          <c:val>
            <c:numRef>
              <c:f>Sheet1!$B$2:$B$5</c:f>
              <c:numCache>
                <c:formatCode>0.00%</c:formatCode>
                <c:ptCount val="4"/>
                <c:pt idx="0">
                  <c:v>0.98799999999999999</c:v>
                </c:pt>
                <c:pt idx="1">
                  <c:v>1.2999999999999999E-2</c:v>
                </c:pt>
              </c:numCache>
            </c:numRef>
          </c:val>
          <c:extLst>
            <c:ext xmlns:c16="http://schemas.microsoft.com/office/drawing/2014/chart" uri="{C3380CC4-5D6E-409C-BE32-E72D297353CC}">
              <c16:uniqueId val="{0000000A-7CD3-B841-A91A-1DCC7CC3FA39}"/>
            </c:ext>
          </c:extLst>
        </c:ser>
        <c:dLbls>
          <c:dLblPos val="bestFit"/>
          <c:showLegendKey val="0"/>
          <c:showVal val="1"/>
          <c:showCatName val="0"/>
          <c:showSerName val="0"/>
          <c:showPercent val="0"/>
          <c:showBubbleSize val="0"/>
          <c:showLeaderLines val="1"/>
        </c:dLbls>
        <c:firstSliceAng val="0"/>
      </c:pieChart>
      <c:spPr>
        <a:noFill/>
        <a:ln w="25400">
          <a:noFill/>
        </a:ln>
        <a:effectLst/>
      </c:spPr>
    </c:plotArea>
    <c:legend>
      <c:legendPos val="b"/>
      <c:layout>
        <c:manualLayout>
          <c:xMode val="edge"/>
          <c:yMode val="edge"/>
          <c:x val="0"/>
          <c:y val="0.80083930186692764"/>
          <c:w val="1"/>
          <c:h val="0.199160698133072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solidFill>
                  <a:srgbClr val="5B5A5A"/>
                </a:solidFill>
              </a:defRPr>
            </a:pPr>
            <a:r>
              <a:rPr lang="en-US" b="1">
                <a:solidFill>
                  <a:srgbClr val="5B5A5A"/>
                </a:solidFill>
              </a:rPr>
              <a:t>LESBIAN COUPLE</a:t>
            </a:r>
          </a:p>
        </c:rich>
      </c:tx>
      <c:overlay val="0"/>
    </c:title>
    <c:autoTitleDeleted val="0"/>
    <c:plotArea>
      <c:layout>
        <c:manualLayout>
          <c:layoutTarget val="inner"/>
          <c:xMode val="edge"/>
          <c:yMode val="edge"/>
          <c:x val="0.30567433519208675"/>
          <c:y val="0.23193899113435409"/>
          <c:w val="0.445160422562838"/>
          <c:h val="0.56262404230955387"/>
        </c:manualLayout>
      </c:layout>
      <c:pieChart>
        <c:varyColors val="1"/>
        <c:ser>
          <c:idx val="0"/>
          <c:order val="0"/>
          <c:tx>
            <c:strRef>
              <c:f>Sheet1!$B$1</c:f>
              <c:strCache>
                <c:ptCount val="1"/>
                <c:pt idx="0">
                  <c:v>Lesbian couple</c:v>
                </c:pt>
              </c:strCache>
            </c:strRef>
          </c:tx>
          <c:spPr>
            <a:ln w="12700">
              <a:solidFill>
                <a:sysClr val="window" lastClr="FFFFFF"/>
              </a:solidFill>
            </a:ln>
          </c:spPr>
          <c:dPt>
            <c:idx val="0"/>
            <c:bubble3D val="0"/>
            <c:spPr>
              <a:solidFill>
                <a:srgbClr val="00B1EE"/>
              </a:solidFill>
              <a:ln w="12700">
                <a:solidFill>
                  <a:sysClr val="window" lastClr="FFFFFF"/>
                </a:solidFill>
              </a:ln>
              <a:effectLst/>
            </c:spPr>
            <c:extLst>
              <c:ext xmlns:c16="http://schemas.microsoft.com/office/drawing/2014/chart" uri="{C3380CC4-5D6E-409C-BE32-E72D297353CC}">
                <c16:uniqueId val="{00000001-84BF-3C47-A0A9-3715955D4E8C}"/>
              </c:ext>
            </c:extLst>
          </c:dPt>
          <c:dPt>
            <c:idx val="1"/>
            <c:bubble3D val="0"/>
            <c:spPr>
              <a:solidFill>
                <a:srgbClr val="002F53"/>
              </a:solidFill>
              <a:ln w="12700">
                <a:solidFill>
                  <a:sysClr val="window" lastClr="FFFFFF"/>
                </a:solidFill>
              </a:ln>
              <a:effectLst/>
            </c:spPr>
            <c:extLst>
              <c:ext xmlns:c16="http://schemas.microsoft.com/office/drawing/2014/chart" uri="{C3380CC4-5D6E-409C-BE32-E72D297353CC}">
                <c16:uniqueId val="{00000003-84BF-3C47-A0A9-3715955D4E8C}"/>
              </c:ext>
            </c:extLst>
          </c:dPt>
          <c:dPt>
            <c:idx val="2"/>
            <c:bubble3D val="0"/>
            <c:spPr>
              <a:solidFill>
                <a:srgbClr val="ED7D31">
                  <a:lumMod val="60000"/>
                  <a:lumOff val="40000"/>
                </a:srgbClr>
              </a:solidFill>
              <a:ln w="12700">
                <a:solidFill>
                  <a:sysClr val="window" lastClr="FFFFFF"/>
                </a:solidFill>
              </a:ln>
            </c:spPr>
            <c:extLst>
              <c:ext xmlns:c16="http://schemas.microsoft.com/office/drawing/2014/chart" uri="{C3380CC4-5D6E-409C-BE32-E72D297353CC}">
                <c16:uniqueId val="{00000005-84BF-3C47-A0A9-3715955D4E8C}"/>
              </c:ext>
            </c:extLst>
          </c:dPt>
          <c:dPt>
            <c:idx val="3"/>
            <c:bubble3D val="0"/>
            <c:spPr>
              <a:solidFill>
                <a:srgbClr val="ED7D31"/>
              </a:solidFill>
              <a:ln w="12700">
                <a:solidFill>
                  <a:sysClr val="window" lastClr="FFFFFF"/>
                </a:solidFill>
              </a:ln>
            </c:spPr>
            <c:extLst>
              <c:ext xmlns:c16="http://schemas.microsoft.com/office/drawing/2014/chart" uri="{C3380CC4-5D6E-409C-BE32-E72D297353CC}">
                <c16:uniqueId val="{00000007-84BF-3C47-A0A9-3715955D4E8C}"/>
              </c:ext>
            </c:extLst>
          </c:dPt>
          <c:dPt>
            <c:idx val="4"/>
            <c:bubble3D val="0"/>
            <c:spPr>
              <a:solidFill>
                <a:srgbClr val="FFC000"/>
              </a:solidFill>
              <a:ln w="12700">
                <a:solidFill>
                  <a:sysClr val="window" lastClr="FFFFFF"/>
                </a:solidFill>
              </a:ln>
            </c:spPr>
            <c:extLst>
              <c:ext xmlns:c16="http://schemas.microsoft.com/office/drawing/2014/chart" uri="{C3380CC4-5D6E-409C-BE32-E72D297353CC}">
                <c16:uniqueId val="{00000009-84BF-3C47-A0A9-3715955D4E8C}"/>
              </c:ext>
            </c:extLst>
          </c:dPt>
          <c:dPt>
            <c:idx val="5"/>
            <c:bubble3D val="0"/>
            <c:spPr>
              <a:solidFill>
                <a:srgbClr val="ED7D31"/>
              </a:solidFill>
              <a:ln w="12700">
                <a:solidFill>
                  <a:sysClr val="window" lastClr="FFFFFF"/>
                </a:solidFill>
              </a:ln>
            </c:spPr>
            <c:extLst>
              <c:ext xmlns:c16="http://schemas.microsoft.com/office/drawing/2014/chart" uri="{C3380CC4-5D6E-409C-BE32-E72D297353CC}">
                <c16:uniqueId val="{0000000B-84BF-3C47-A0A9-3715955D4E8C}"/>
              </c:ext>
            </c:extLst>
          </c:dPt>
          <c:dLbls>
            <c:dLbl>
              <c:idx val="0"/>
              <c:layout>
                <c:manualLayout>
                  <c:x val="-8.7203370041378361E-2"/>
                  <c:y val="-0.1908604163858084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BF-3C47-A0A9-3715955D4E8C}"/>
                </c:ext>
              </c:extLst>
            </c:dLbl>
            <c:numFmt formatCode="0%" sourceLinked="0"/>
            <c:spPr>
              <a:noFill/>
              <a:ln>
                <a:noFill/>
              </a:ln>
              <a:effectLst/>
            </c:spPr>
            <c:txPr>
              <a:bodyPr wrap="square" lIns="38100" tIns="19050" rIns="38100" bIns="19050" anchor="ctr">
                <a:spAutoFit/>
              </a:bodyPr>
              <a:lstStyle/>
              <a:p>
                <a:pPr>
                  <a:defRPr sz="1100" b="1">
                    <a:solidFill>
                      <a:schemeClr val="bg1"/>
                    </a:solidFill>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Accepted </c:v>
                </c:pt>
                <c:pt idx="1">
                  <c:v>Refused</c:v>
                </c:pt>
              </c:strCache>
            </c:strRef>
          </c:cat>
          <c:val>
            <c:numRef>
              <c:f>Sheet1!$B$2:$B$3</c:f>
              <c:numCache>
                <c:formatCode>0.00%</c:formatCode>
                <c:ptCount val="2"/>
                <c:pt idx="0">
                  <c:v>0.92</c:v>
                </c:pt>
                <c:pt idx="1">
                  <c:v>0.08</c:v>
                </c:pt>
              </c:numCache>
            </c:numRef>
          </c:val>
          <c:extLst>
            <c:ext xmlns:c16="http://schemas.microsoft.com/office/drawing/2014/chart" uri="{C3380CC4-5D6E-409C-BE32-E72D297353CC}">
              <c16:uniqueId val="{0000000C-84BF-3C47-A0A9-3715955D4E8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
          <c:y val="0.87125393409527041"/>
          <c:w val="1"/>
          <c:h val="0.12874606590472956"/>
        </c:manualLayout>
      </c:layout>
      <c:overlay val="0"/>
      <c:txPr>
        <a:bodyPr/>
        <a:lstStyle/>
        <a:p>
          <a:pPr>
            <a:defRPr sz="900">
              <a:solidFill>
                <a:schemeClr val="tx1">
                  <a:lumMod val="95000"/>
                  <a:lumOff val="5000"/>
                </a:schemeClr>
              </a:solidFill>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solidFill>
                  <a:srgbClr val="5B5A5A"/>
                </a:solidFill>
              </a:defRPr>
            </a:pPr>
            <a:r>
              <a:rPr lang="en-US" b="1">
                <a:solidFill>
                  <a:srgbClr val="5B5A5A"/>
                </a:solidFill>
              </a:rPr>
              <a:t>GAY COUPLE</a:t>
            </a:r>
          </a:p>
        </c:rich>
      </c:tx>
      <c:overlay val="0"/>
    </c:title>
    <c:autoTitleDeleted val="0"/>
    <c:plotArea>
      <c:layout>
        <c:manualLayout>
          <c:layoutTarget val="inner"/>
          <c:xMode val="edge"/>
          <c:yMode val="edge"/>
          <c:x val="0.23449552261849627"/>
          <c:y val="0.17379861081814821"/>
          <c:w val="0.4796479851783233"/>
          <c:h val="0.61675505185236656"/>
        </c:manualLayout>
      </c:layout>
      <c:pieChart>
        <c:varyColors val="1"/>
        <c:ser>
          <c:idx val="0"/>
          <c:order val="0"/>
          <c:tx>
            <c:strRef>
              <c:f>Sheet1!$B$1</c:f>
              <c:strCache>
                <c:ptCount val="1"/>
                <c:pt idx="0">
                  <c:v>Gay couple</c:v>
                </c:pt>
              </c:strCache>
            </c:strRef>
          </c:tx>
          <c:spPr>
            <a:ln w="12700">
              <a:solidFill>
                <a:sysClr val="window" lastClr="FFFFFF"/>
              </a:solidFill>
            </a:ln>
          </c:spPr>
          <c:dPt>
            <c:idx val="0"/>
            <c:bubble3D val="0"/>
            <c:spPr>
              <a:solidFill>
                <a:srgbClr val="00B1EE"/>
              </a:solidFill>
              <a:ln w="12700">
                <a:solidFill>
                  <a:sysClr val="window" lastClr="FFFFFF"/>
                </a:solidFill>
              </a:ln>
              <a:effectLst/>
            </c:spPr>
            <c:extLst>
              <c:ext xmlns:c16="http://schemas.microsoft.com/office/drawing/2014/chart" uri="{C3380CC4-5D6E-409C-BE32-E72D297353CC}">
                <c16:uniqueId val="{00000001-330F-504C-ABF9-8C279553AC52}"/>
              </c:ext>
            </c:extLst>
          </c:dPt>
          <c:dPt>
            <c:idx val="1"/>
            <c:bubble3D val="0"/>
            <c:spPr>
              <a:solidFill>
                <a:srgbClr val="002F53"/>
              </a:solidFill>
              <a:ln w="12700">
                <a:solidFill>
                  <a:sysClr val="window" lastClr="FFFFFF"/>
                </a:solidFill>
              </a:ln>
              <a:effectLst/>
            </c:spPr>
            <c:extLst>
              <c:ext xmlns:c16="http://schemas.microsoft.com/office/drawing/2014/chart" uri="{C3380CC4-5D6E-409C-BE32-E72D297353CC}">
                <c16:uniqueId val="{00000003-330F-504C-ABF9-8C279553AC52}"/>
              </c:ext>
            </c:extLst>
          </c:dPt>
          <c:dPt>
            <c:idx val="2"/>
            <c:bubble3D val="0"/>
            <c:spPr>
              <a:solidFill>
                <a:srgbClr val="ED7D31">
                  <a:lumMod val="60000"/>
                  <a:lumOff val="40000"/>
                </a:srgbClr>
              </a:solidFill>
              <a:ln w="12700">
                <a:solidFill>
                  <a:sysClr val="window" lastClr="FFFFFF"/>
                </a:solidFill>
              </a:ln>
            </c:spPr>
            <c:extLst>
              <c:ext xmlns:c16="http://schemas.microsoft.com/office/drawing/2014/chart" uri="{C3380CC4-5D6E-409C-BE32-E72D297353CC}">
                <c16:uniqueId val="{00000005-330F-504C-ABF9-8C279553AC52}"/>
              </c:ext>
            </c:extLst>
          </c:dPt>
          <c:dPt>
            <c:idx val="3"/>
            <c:bubble3D val="0"/>
            <c:spPr>
              <a:solidFill>
                <a:srgbClr val="ED7D31"/>
              </a:solidFill>
              <a:ln w="12700">
                <a:solidFill>
                  <a:sysClr val="window" lastClr="FFFFFF"/>
                </a:solidFill>
              </a:ln>
            </c:spPr>
            <c:extLst>
              <c:ext xmlns:c16="http://schemas.microsoft.com/office/drawing/2014/chart" uri="{C3380CC4-5D6E-409C-BE32-E72D297353CC}">
                <c16:uniqueId val="{00000007-330F-504C-ABF9-8C279553AC52}"/>
              </c:ext>
            </c:extLst>
          </c:dPt>
          <c:dPt>
            <c:idx val="4"/>
            <c:bubble3D val="0"/>
            <c:spPr>
              <a:solidFill>
                <a:srgbClr val="ED7D31"/>
              </a:solidFill>
              <a:ln w="12700">
                <a:solidFill>
                  <a:sysClr val="window" lastClr="FFFFFF"/>
                </a:solidFill>
              </a:ln>
            </c:spPr>
            <c:extLst>
              <c:ext xmlns:c16="http://schemas.microsoft.com/office/drawing/2014/chart" uri="{C3380CC4-5D6E-409C-BE32-E72D297353CC}">
                <c16:uniqueId val="{00000009-330F-504C-ABF9-8C279553AC52}"/>
              </c:ext>
            </c:extLst>
          </c:dPt>
          <c:dLbls>
            <c:dLbl>
              <c:idx val="0"/>
              <c:layout>
                <c:manualLayout>
                  <c:x val="-0.27227690288713913"/>
                  <c:y val="-0.1061698699766276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0F-504C-ABF9-8C279553AC52}"/>
                </c:ext>
              </c:extLst>
            </c:dLbl>
            <c:dLbl>
              <c:idx val="1"/>
              <c:layout>
                <c:manualLayout>
                  <c:x val="0.17913675312644742"/>
                  <c:y val="9.236983262261802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0F-504C-ABF9-8C279553AC52}"/>
                </c:ext>
              </c:extLst>
            </c:dLbl>
            <c:numFmt formatCode="0%" sourceLinked="0"/>
            <c:spPr>
              <a:noFill/>
              <a:ln>
                <a:noFill/>
              </a:ln>
              <a:effectLst/>
            </c:spPr>
            <c:txPr>
              <a:bodyPr wrap="square" lIns="38100" tIns="19050" rIns="38100" bIns="19050" anchor="ctr">
                <a:spAutoFit/>
              </a:bodyPr>
              <a:lstStyle/>
              <a:p>
                <a:pPr>
                  <a:defRPr sz="1100" b="1">
                    <a:solidFill>
                      <a:schemeClr val="bg1"/>
                    </a:solidFill>
                  </a:defRPr>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Accepted </c:v>
                </c:pt>
                <c:pt idx="1">
                  <c:v>Refused</c:v>
                </c:pt>
              </c:strCache>
            </c:strRef>
          </c:cat>
          <c:val>
            <c:numRef>
              <c:f>Sheet1!$B$2:$B$3</c:f>
              <c:numCache>
                <c:formatCode>0.00%</c:formatCode>
                <c:ptCount val="2"/>
                <c:pt idx="0">
                  <c:v>0.71</c:v>
                </c:pt>
                <c:pt idx="1">
                  <c:v>0.28999999999999998</c:v>
                </c:pt>
              </c:numCache>
            </c:numRef>
          </c:val>
          <c:extLst>
            <c:ext xmlns:c16="http://schemas.microsoft.com/office/drawing/2014/chart" uri="{C3380CC4-5D6E-409C-BE32-E72D297353CC}">
              <c16:uniqueId val="{0000000A-330F-504C-ABF9-8C279553AC52}"/>
            </c:ext>
          </c:extLst>
        </c:ser>
        <c:dLbls>
          <c:dLblPos val="bestFit"/>
          <c:showLegendKey val="0"/>
          <c:showVal val="1"/>
          <c:showCatName val="0"/>
          <c:showSerName val="0"/>
          <c:showPercent val="0"/>
          <c:showBubbleSize val="0"/>
          <c:showLeaderLines val="1"/>
        </c:dLbls>
        <c:firstSliceAng val="0"/>
      </c:pieChart>
      <c:spPr>
        <a:noFill/>
        <a:ln w="25400">
          <a:noFill/>
        </a:ln>
        <a:effectLst/>
      </c:spPr>
    </c:plotArea>
    <c:legend>
      <c:legendPos val="b"/>
      <c:layout>
        <c:manualLayout>
          <c:xMode val="edge"/>
          <c:yMode val="edge"/>
          <c:x val="0"/>
          <c:y val="0.85165221671609381"/>
          <c:w val="1"/>
          <c:h val="0.148347783283906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solidFill>
                  <a:srgbClr val="5B5A5A"/>
                </a:solidFill>
              </a:defRPr>
            </a:pPr>
            <a:r>
              <a:rPr lang="en-US" b="1">
                <a:solidFill>
                  <a:srgbClr val="5B5A5A"/>
                </a:solidFill>
              </a:rPr>
              <a:t>GAY COUPLE</a:t>
            </a:r>
          </a:p>
        </c:rich>
      </c:tx>
      <c:overlay val="0"/>
    </c:title>
    <c:autoTitleDeleted val="0"/>
    <c:plotArea>
      <c:layout>
        <c:manualLayout>
          <c:layoutTarget val="inner"/>
          <c:xMode val="edge"/>
          <c:yMode val="edge"/>
          <c:x val="0.23329720723111855"/>
          <c:y val="0.1976758953517907"/>
          <c:w val="0.50713306201893316"/>
          <c:h val="0.48532088730844136"/>
        </c:manualLayout>
      </c:layout>
      <c:pieChart>
        <c:varyColors val="1"/>
        <c:ser>
          <c:idx val="0"/>
          <c:order val="0"/>
          <c:tx>
            <c:strRef>
              <c:f>Sheet1!$B$1</c:f>
              <c:strCache>
                <c:ptCount val="1"/>
                <c:pt idx="0">
                  <c:v>Gay couple</c:v>
                </c:pt>
              </c:strCache>
            </c:strRef>
          </c:tx>
          <c:spPr>
            <a:ln w="12700">
              <a:solidFill>
                <a:sysClr val="window" lastClr="FFFFFF"/>
              </a:solidFill>
            </a:ln>
          </c:spPr>
          <c:dPt>
            <c:idx val="0"/>
            <c:bubble3D val="0"/>
            <c:spPr>
              <a:solidFill>
                <a:srgbClr val="00B1EE"/>
              </a:solidFill>
              <a:ln w="12700">
                <a:solidFill>
                  <a:sysClr val="window" lastClr="FFFFFF"/>
                </a:solidFill>
              </a:ln>
              <a:effectLst/>
            </c:spPr>
            <c:extLst>
              <c:ext xmlns:c16="http://schemas.microsoft.com/office/drawing/2014/chart" uri="{C3380CC4-5D6E-409C-BE32-E72D297353CC}">
                <c16:uniqueId val="{00000001-8B4A-4B42-A1A3-1A37F67DE349}"/>
              </c:ext>
            </c:extLst>
          </c:dPt>
          <c:dPt>
            <c:idx val="1"/>
            <c:bubble3D val="0"/>
            <c:spPr>
              <a:solidFill>
                <a:srgbClr val="002F53"/>
              </a:solidFill>
              <a:ln w="12700">
                <a:solidFill>
                  <a:sysClr val="window" lastClr="FFFFFF"/>
                </a:solidFill>
              </a:ln>
              <a:effectLst/>
            </c:spPr>
            <c:extLst>
              <c:ext xmlns:c16="http://schemas.microsoft.com/office/drawing/2014/chart" uri="{C3380CC4-5D6E-409C-BE32-E72D297353CC}">
                <c16:uniqueId val="{00000003-8B4A-4B42-A1A3-1A37F67DE349}"/>
              </c:ext>
            </c:extLst>
          </c:dPt>
          <c:dPt>
            <c:idx val="2"/>
            <c:bubble3D val="0"/>
            <c:spPr>
              <a:solidFill>
                <a:srgbClr val="ED7D31">
                  <a:lumMod val="60000"/>
                  <a:lumOff val="40000"/>
                </a:srgbClr>
              </a:solidFill>
              <a:ln w="12700">
                <a:solidFill>
                  <a:sysClr val="window" lastClr="FFFFFF"/>
                </a:solidFill>
              </a:ln>
            </c:spPr>
            <c:extLst>
              <c:ext xmlns:c16="http://schemas.microsoft.com/office/drawing/2014/chart" uri="{C3380CC4-5D6E-409C-BE32-E72D297353CC}">
                <c16:uniqueId val="{00000005-8B4A-4B42-A1A3-1A37F67DE349}"/>
              </c:ext>
            </c:extLst>
          </c:dPt>
          <c:dPt>
            <c:idx val="3"/>
            <c:bubble3D val="0"/>
            <c:spPr>
              <a:solidFill>
                <a:srgbClr val="ED7D31"/>
              </a:solidFill>
              <a:ln w="12700">
                <a:solidFill>
                  <a:sysClr val="window" lastClr="FFFFFF"/>
                </a:solidFill>
              </a:ln>
            </c:spPr>
            <c:extLst>
              <c:ext xmlns:c16="http://schemas.microsoft.com/office/drawing/2014/chart" uri="{C3380CC4-5D6E-409C-BE32-E72D297353CC}">
                <c16:uniqueId val="{00000007-8B4A-4B42-A1A3-1A37F67DE349}"/>
              </c:ext>
            </c:extLst>
          </c:dPt>
          <c:dPt>
            <c:idx val="4"/>
            <c:bubble3D val="0"/>
            <c:spPr>
              <a:solidFill>
                <a:srgbClr val="FFC000"/>
              </a:solidFill>
              <a:ln w="12700">
                <a:solidFill>
                  <a:sysClr val="window" lastClr="FFFFFF"/>
                </a:solidFill>
              </a:ln>
            </c:spPr>
            <c:extLst>
              <c:ext xmlns:c16="http://schemas.microsoft.com/office/drawing/2014/chart" uri="{C3380CC4-5D6E-409C-BE32-E72D297353CC}">
                <c16:uniqueId val="{00000009-8B4A-4B42-A1A3-1A37F67DE349}"/>
              </c:ext>
            </c:extLst>
          </c:dPt>
          <c:dPt>
            <c:idx val="5"/>
            <c:bubble3D val="0"/>
            <c:spPr>
              <a:solidFill>
                <a:srgbClr val="ED7D31"/>
              </a:solidFill>
              <a:ln w="12700">
                <a:solidFill>
                  <a:sysClr val="window" lastClr="FFFFFF"/>
                </a:solidFill>
              </a:ln>
            </c:spPr>
            <c:extLst>
              <c:ext xmlns:c16="http://schemas.microsoft.com/office/drawing/2014/chart" uri="{C3380CC4-5D6E-409C-BE32-E72D297353CC}">
                <c16:uniqueId val="{0000000B-8B4A-4B42-A1A3-1A37F67DE349}"/>
              </c:ext>
            </c:extLst>
          </c:dPt>
          <c:dLbls>
            <c:dLbl>
              <c:idx val="0"/>
              <c:layout>
                <c:manualLayout>
                  <c:x val="-0.10642270488660828"/>
                  <c:y val="-0.148405732779939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4A-4B42-A1A3-1A37F67DE349}"/>
                </c:ext>
              </c:extLst>
            </c:dLbl>
            <c:numFmt formatCode="0%" sourceLinked="0"/>
            <c:spPr>
              <a:noFill/>
              <a:ln>
                <a:noFill/>
              </a:ln>
              <a:effectLst/>
            </c:spPr>
            <c:txPr>
              <a:bodyPr wrap="square" lIns="38100" tIns="19050" rIns="38100" bIns="19050" anchor="ctr">
                <a:spAutoFit/>
              </a:bodyPr>
              <a:lstStyle/>
              <a:p>
                <a:pPr>
                  <a:defRPr sz="1100" b="1">
                    <a:solidFill>
                      <a:schemeClr val="bg1"/>
                    </a:solidFill>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Accepted without hesitation </c:v>
                </c:pt>
                <c:pt idx="1">
                  <c:v>Accepted with hesitation </c:v>
                </c:pt>
              </c:strCache>
            </c:strRef>
          </c:cat>
          <c:val>
            <c:numRef>
              <c:f>Sheet1!$B$2:$B$3</c:f>
              <c:numCache>
                <c:formatCode>0.00%</c:formatCode>
                <c:ptCount val="2"/>
                <c:pt idx="0">
                  <c:v>0.88</c:v>
                </c:pt>
                <c:pt idx="1">
                  <c:v>0.12</c:v>
                </c:pt>
              </c:numCache>
            </c:numRef>
          </c:val>
          <c:extLst>
            <c:ext xmlns:c16="http://schemas.microsoft.com/office/drawing/2014/chart" uri="{C3380CC4-5D6E-409C-BE32-E72D297353CC}">
              <c16:uniqueId val="{0000000C-8B4A-4B42-A1A3-1A37F67DE34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
          <c:y val="0.85035630626816805"/>
          <c:w val="1"/>
          <c:h val="0.11380139982502187"/>
        </c:manualLayout>
      </c:layout>
      <c:overlay val="0"/>
      <c:txPr>
        <a:bodyPr/>
        <a:lstStyle/>
        <a:p>
          <a:pPr>
            <a:defRPr sz="900" b="0">
              <a:solidFill>
                <a:schemeClr val="tx1">
                  <a:lumMod val="95000"/>
                  <a:lumOff val="5000"/>
                </a:schemeClr>
              </a:solidFill>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solidFill>
                  <a:srgbClr val="5B5A5A"/>
                </a:solidFill>
              </a:defRPr>
            </a:pPr>
            <a:r>
              <a:rPr lang="en-US" b="1">
                <a:solidFill>
                  <a:srgbClr val="5B5A5A"/>
                </a:solidFill>
              </a:rPr>
              <a:t>HETEROSEXUAL COUPLES (CONTACT MALE) </a:t>
            </a:r>
          </a:p>
        </c:rich>
      </c:tx>
      <c:overlay val="0"/>
    </c:title>
    <c:autoTitleDeleted val="0"/>
    <c:plotArea>
      <c:layout>
        <c:manualLayout>
          <c:layoutTarget val="inner"/>
          <c:xMode val="edge"/>
          <c:yMode val="edge"/>
          <c:x val="0.25158708231646482"/>
          <c:y val="0.25194815220289979"/>
          <c:w val="0.5111233902779696"/>
          <c:h val="0.46739090768734121"/>
        </c:manualLayout>
      </c:layout>
      <c:pieChart>
        <c:varyColors val="1"/>
        <c:ser>
          <c:idx val="0"/>
          <c:order val="0"/>
          <c:tx>
            <c:strRef>
              <c:f>Sheet1!$B$1</c:f>
              <c:strCache>
                <c:ptCount val="1"/>
                <c:pt idx="0">
                  <c:v>Heterosexual couples (contact male) </c:v>
                </c:pt>
              </c:strCache>
            </c:strRef>
          </c:tx>
          <c:spPr>
            <a:ln w="12700">
              <a:solidFill>
                <a:sysClr val="window" lastClr="FFFFFF"/>
              </a:solidFill>
            </a:ln>
          </c:spPr>
          <c:dPt>
            <c:idx val="0"/>
            <c:bubble3D val="0"/>
            <c:spPr>
              <a:solidFill>
                <a:srgbClr val="00B1EE"/>
              </a:solidFill>
              <a:ln w="12700">
                <a:solidFill>
                  <a:sysClr val="window" lastClr="FFFFFF"/>
                </a:solidFill>
              </a:ln>
              <a:effectLst/>
            </c:spPr>
            <c:extLst>
              <c:ext xmlns:c16="http://schemas.microsoft.com/office/drawing/2014/chart" uri="{C3380CC4-5D6E-409C-BE32-E72D297353CC}">
                <c16:uniqueId val="{00000001-847D-7F4B-ADF2-3E077F094830}"/>
              </c:ext>
            </c:extLst>
          </c:dPt>
          <c:dPt>
            <c:idx val="1"/>
            <c:bubble3D val="0"/>
            <c:spPr>
              <a:solidFill>
                <a:srgbClr val="002F53"/>
              </a:solidFill>
              <a:ln w="12700">
                <a:solidFill>
                  <a:sysClr val="window" lastClr="FFFFFF"/>
                </a:solidFill>
              </a:ln>
              <a:effectLst/>
            </c:spPr>
            <c:extLst>
              <c:ext xmlns:c16="http://schemas.microsoft.com/office/drawing/2014/chart" uri="{C3380CC4-5D6E-409C-BE32-E72D297353CC}">
                <c16:uniqueId val="{00000003-847D-7F4B-ADF2-3E077F094830}"/>
              </c:ext>
            </c:extLst>
          </c:dPt>
          <c:dPt>
            <c:idx val="2"/>
            <c:bubble3D val="0"/>
            <c:spPr>
              <a:solidFill>
                <a:srgbClr val="ED7D31">
                  <a:lumMod val="60000"/>
                  <a:lumOff val="40000"/>
                </a:srgbClr>
              </a:solidFill>
              <a:ln w="12700">
                <a:solidFill>
                  <a:sysClr val="window" lastClr="FFFFFF"/>
                </a:solidFill>
              </a:ln>
            </c:spPr>
            <c:extLst>
              <c:ext xmlns:c16="http://schemas.microsoft.com/office/drawing/2014/chart" uri="{C3380CC4-5D6E-409C-BE32-E72D297353CC}">
                <c16:uniqueId val="{00000005-847D-7F4B-ADF2-3E077F094830}"/>
              </c:ext>
            </c:extLst>
          </c:dPt>
          <c:dPt>
            <c:idx val="3"/>
            <c:bubble3D val="0"/>
            <c:spPr>
              <a:solidFill>
                <a:srgbClr val="ED7D31"/>
              </a:solidFill>
              <a:ln w="12700">
                <a:solidFill>
                  <a:sysClr val="window" lastClr="FFFFFF"/>
                </a:solidFill>
              </a:ln>
            </c:spPr>
            <c:extLst>
              <c:ext xmlns:c16="http://schemas.microsoft.com/office/drawing/2014/chart" uri="{C3380CC4-5D6E-409C-BE32-E72D297353CC}">
                <c16:uniqueId val="{00000007-847D-7F4B-ADF2-3E077F094830}"/>
              </c:ext>
            </c:extLst>
          </c:dPt>
          <c:dPt>
            <c:idx val="4"/>
            <c:bubble3D val="0"/>
            <c:spPr>
              <a:solidFill>
                <a:srgbClr val="ED7D31"/>
              </a:solidFill>
              <a:ln w="12700">
                <a:solidFill>
                  <a:sysClr val="window" lastClr="FFFFFF"/>
                </a:solidFill>
              </a:ln>
            </c:spPr>
            <c:extLst>
              <c:ext xmlns:c16="http://schemas.microsoft.com/office/drawing/2014/chart" uri="{C3380CC4-5D6E-409C-BE32-E72D297353CC}">
                <c16:uniqueId val="{00000009-847D-7F4B-ADF2-3E077F094830}"/>
              </c:ext>
            </c:extLst>
          </c:dPt>
          <c:dLbls>
            <c:dLbl>
              <c:idx val="0"/>
              <c:layout>
                <c:manualLayout>
                  <c:x val="-5.3122745621710463E-3"/>
                  <c:y val="-0.14828157364839029"/>
                </c:manualLayout>
              </c:layout>
              <c:numFmt formatCode="0%" sourceLinked="0"/>
              <c:spPr>
                <a:noFill/>
                <a:ln>
                  <a:noFill/>
                </a:ln>
                <a:effectLst/>
              </c:spPr>
              <c:txPr>
                <a:bodyPr wrap="square" lIns="38100" tIns="19050" rIns="38100" bIns="19050" anchor="ctr">
                  <a:spAutoFit/>
                </a:bodyPr>
                <a:lstStyle/>
                <a:p>
                  <a:pPr>
                    <a:defRPr sz="1100" b="1">
                      <a:solidFill>
                        <a:schemeClr val="bg1"/>
                      </a:solidFill>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7D-7F4B-ADF2-3E077F094830}"/>
                </c:ext>
              </c:extLst>
            </c:dLbl>
            <c:dLbl>
              <c:idx val="1"/>
              <c:layout>
                <c:manualLayout>
                  <c:x val="-3.6201173382738902E-3"/>
                  <c:y val="1.1200676186663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7D-7F4B-ADF2-3E077F094830}"/>
                </c:ext>
              </c:extLst>
            </c:dLbl>
            <c:dLbl>
              <c:idx val="2"/>
              <c:delete val="1"/>
              <c:extLst>
                <c:ext xmlns:c15="http://schemas.microsoft.com/office/drawing/2012/chart" uri="{CE6537A1-D6FC-4f65-9D91-7224C49458BB}"/>
                <c:ext xmlns:c16="http://schemas.microsoft.com/office/drawing/2014/chart" uri="{C3380CC4-5D6E-409C-BE32-E72D297353CC}">
                  <c16:uniqueId val="{00000005-847D-7F4B-ADF2-3E077F094830}"/>
                </c:ext>
              </c:extLst>
            </c:dLbl>
            <c:dLbl>
              <c:idx val="3"/>
              <c:delete val="1"/>
              <c:extLst>
                <c:ext xmlns:c15="http://schemas.microsoft.com/office/drawing/2012/chart" uri="{CE6537A1-D6FC-4f65-9D91-7224C49458BB}"/>
                <c:ext xmlns:c16="http://schemas.microsoft.com/office/drawing/2014/chart" uri="{C3380CC4-5D6E-409C-BE32-E72D297353CC}">
                  <c16:uniqueId val="{00000007-847D-7F4B-ADF2-3E077F094830}"/>
                </c:ext>
              </c:extLst>
            </c:dLbl>
            <c:numFmt formatCode="0%" sourceLinked="0"/>
            <c:spPr>
              <a:noFill/>
              <a:ln>
                <a:noFill/>
              </a:ln>
              <a:effectLst/>
            </c:spPr>
            <c:txPr>
              <a:bodyPr wrap="square" lIns="38100" tIns="19050" rIns="38100" bIns="19050" anchor="ctr">
                <a:spAutoFit/>
              </a:bodyPr>
              <a:lstStyle/>
              <a:p>
                <a:pPr>
                  <a:defRPr sz="1100" b="1"/>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Accepted without hesitation </c:v>
                </c:pt>
                <c:pt idx="1">
                  <c:v>Accepted with hesitation </c:v>
                </c:pt>
              </c:strCache>
            </c:strRef>
          </c:cat>
          <c:val>
            <c:numRef>
              <c:f>Sheet1!$B$2:$B$3</c:f>
              <c:numCache>
                <c:formatCode>0.00%</c:formatCode>
                <c:ptCount val="2"/>
                <c:pt idx="0">
                  <c:v>0.98799999999999999</c:v>
                </c:pt>
                <c:pt idx="1">
                  <c:v>1.2999999999999999E-2</c:v>
                </c:pt>
              </c:numCache>
            </c:numRef>
          </c:val>
          <c:extLst>
            <c:ext xmlns:c16="http://schemas.microsoft.com/office/drawing/2014/chart" uri="{C3380CC4-5D6E-409C-BE32-E72D297353CC}">
              <c16:uniqueId val="{0000000A-847D-7F4B-ADF2-3E077F094830}"/>
            </c:ext>
          </c:extLst>
        </c:ser>
        <c:dLbls>
          <c:dLblPos val="bestFit"/>
          <c:showLegendKey val="0"/>
          <c:showVal val="1"/>
          <c:showCatName val="0"/>
          <c:showSerName val="0"/>
          <c:showPercent val="0"/>
          <c:showBubbleSize val="0"/>
          <c:showLeaderLines val="1"/>
        </c:dLbls>
        <c:firstSliceAng val="0"/>
      </c:pieChart>
      <c:spPr>
        <a:noFill/>
        <a:ln w="25400">
          <a:noFill/>
        </a:ln>
        <a:effectLst/>
      </c:spPr>
    </c:plotArea>
    <c:legend>
      <c:legendPos val="b"/>
      <c:layout>
        <c:manualLayout>
          <c:xMode val="edge"/>
          <c:yMode val="edge"/>
          <c:x val="0"/>
          <c:y val="0.84031187278060826"/>
          <c:w val="1"/>
          <c:h val="0.110668519376254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Accepted (male landlord)</c:v>
                </c:pt>
              </c:strCache>
            </c:strRef>
          </c:tx>
          <c:spPr>
            <a:solidFill>
              <a:srgbClr val="00B1E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Gay couples</c:v>
                </c:pt>
                <c:pt idx="1">
                  <c:v>Lesbian couples</c:v>
                </c:pt>
              </c:strCache>
            </c:strRef>
          </c:cat>
          <c:val>
            <c:numRef>
              <c:f>Sheet1!$B$2:$B$3</c:f>
              <c:numCache>
                <c:formatCode>0%</c:formatCode>
                <c:ptCount val="2"/>
                <c:pt idx="0">
                  <c:v>0.64</c:v>
                </c:pt>
                <c:pt idx="1">
                  <c:v>0.93</c:v>
                </c:pt>
              </c:numCache>
            </c:numRef>
          </c:val>
          <c:extLst>
            <c:ext xmlns:c16="http://schemas.microsoft.com/office/drawing/2014/chart" uri="{C3380CC4-5D6E-409C-BE32-E72D297353CC}">
              <c16:uniqueId val="{00000000-C899-5947-A877-F8EA57AC881C}"/>
            </c:ext>
          </c:extLst>
        </c:ser>
        <c:ser>
          <c:idx val="1"/>
          <c:order val="1"/>
          <c:tx>
            <c:strRef>
              <c:f>Sheet1!$C$1</c:f>
              <c:strCache>
                <c:ptCount val="1"/>
                <c:pt idx="0">
                  <c:v>Refused (male landlord)</c:v>
                </c:pt>
              </c:strCache>
            </c:strRef>
          </c:tx>
          <c:spPr>
            <a:solidFill>
              <a:srgbClr val="002F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Gay couples</c:v>
                </c:pt>
                <c:pt idx="1">
                  <c:v>Lesbian couples</c:v>
                </c:pt>
              </c:strCache>
            </c:strRef>
          </c:cat>
          <c:val>
            <c:numRef>
              <c:f>Sheet1!$C$2:$C$3</c:f>
              <c:numCache>
                <c:formatCode>0%</c:formatCode>
                <c:ptCount val="2"/>
                <c:pt idx="0">
                  <c:v>0.36</c:v>
                </c:pt>
                <c:pt idx="1">
                  <c:v>7.0000000000000007E-2</c:v>
                </c:pt>
              </c:numCache>
            </c:numRef>
          </c:val>
          <c:extLst>
            <c:ext xmlns:c16="http://schemas.microsoft.com/office/drawing/2014/chart" uri="{C3380CC4-5D6E-409C-BE32-E72D297353CC}">
              <c16:uniqueId val="{00000001-C899-5947-A877-F8EA57AC881C}"/>
            </c:ext>
          </c:extLst>
        </c:ser>
        <c:ser>
          <c:idx val="2"/>
          <c:order val="2"/>
          <c:tx>
            <c:strRef>
              <c:f>Sheet1!$D$1</c:f>
              <c:strCache>
                <c:ptCount val="1"/>
                <c:pt idx="0">
                  <c:v>Accepted (female landlord)</c:v>
                </c:pt>
              </c:strCache>
            </c:strRef>
          </c:tx>
          <c:spPr>
            <a:solidFill>
              <a:srgbClr val="D9E1F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Gay couples</c:v>
                </c:pt>
                <c:pt idx="1">
                  <c:v>Lesbian couples</c:v>
                </c:pt>
              </c:strCache>
            </c:strRef>
          </c:cat>
          <c:val>
            <c:numRef>
              <c:f>Sheet1!$D$2:$D$3</c:f>
              <c:numCache>
                <c:formatCode>0%</c:formatCode>
                <c:ptCount val="2"/>
                <c:pt idx="0">
                  <c:v>0.79</c:v>
                </c:pt>
                <c:pt idx="1">
                  <c:v>0.92</c:v>
                </c:pt>
              </c:numCache>
            </c:numRef>
          </c:val>
          <c:extLst>
            <c:ext xmlns:c16="http://schemas.microsoft.com/office/drawing/2014/chart" uri="{C3380CC4-5D6E-409C-BE32-E72D297353CC}">
              <c16:uniqueId val="{00000002-C899-5947-A877-F8EA57AC881C}"/>
            </c:ext>
          </c:extLst>
        </c:ser>
        <c:ser>
          <c:idx val="3"/>
          <c:order val="3"/>
          <c:tx>
            <c:strRef>
              <c:f>Sheet1!$E$1</c:f>
              <c:strCache>
                <c:ptCount val="1"/>
                <c:pt idx="0">
                  <c:v>Refused (female landlord)</c:v>
                </c:pt>
              </c:strCache>
            </c:strRef>
          </c:tx>
          <c:spPr>
            <a:solidFill>
              <a:srgbClr val="2F559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Gay couples</c:v>
                </c:pt>
                <c:pt idx="1">
                  <c:v>Lesbian couples</c:v>
                </c:pt>
              </c:strCache>
            </c:strRef>
          </c:cat>
          <c:val>
            <c:numRef>
              <c:f>Sheet1!$E$2:$E$3</c:f>
              <c:numCache>
                <c:formatCode>0%</c:formatCode>
                <c:ptCount val="2"/>
                <c:pt idx="0">
                  <c:v>0.21</c:v>
                </c:pt>
                <c:pt idx="1">
                  <c:v>0.08</c:v>
                </c:pt>
              </c:numCache>
            </c:numRef>
          </c:val>
          <c:extLst>
            <c:ext xmlns:c16="http://schemas.microsoft.com/office/drawing/2014/chart" uri="{C3380CC4-5D6E-409C-BE32-E72D297353CC}">
              <c16:uniqueId val="{00000003-C899-5947-A877-F8EA57AC881C}"/>
            </c:ext>
          </c:extLst>
        </c:ser>
        <c:dLbls>
          <c:showLegendKey val="0"/>
          <c:showVal val="1"/>
          <c:showCatName val="0"/>
          <c:showSerName val="0"/>
          <c:showPercent val="0"/>
          <c:showBubbleSize val="0"/>
        </c:dLbls>
        <c:gapWidth val="219"/>
        <c:overlap val="-27"/>
        <c:axId val="1150982816"/>
        <c:axId val="1150984512"/>
      </c:barChart>
      <c:catAx>
        <c:axId val="115098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0984512"/>
        <c:crosses val="autoZero"/>
        <c:auto val="1"/>
        <c:lblAlgn val="ctr"/>
        <c:lblOffset val="100"/>
        <c:noMultiLvlLbl val="0"/>
      </c:catAx>
      <c:valAx>
        <c:axId val="1150984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0982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rgbClr val="5B5A5A"/>
                </a:solidFill>
                <a:latin typeface="+mn-lt"/>
                <a:ea typeface="+mn-ea"/>
                <a:cs typeface="+mn-cs"/>
              </a:defRPr>
            </a:pPr>
            <a:r>
              <a:rPr lang="en-US" sz="1100" b="1">
                <a:solidFill>
                  <a:srgbClr val="5B5A5A"/>
                </a:solidFill>
              </a:rPr>
              <a:t>NON-FEMININE BOYS</a:t>
            </a:r>
          </a:p>
        </c:rich>
      </c:tx>
      <c:layout>
        <c:manualLayout>
          <c:xMode val="edge"/>
          <c:yMode val="edge"/>
          <c:x val="0.25574455766558601"/>
          <c:y val="3.4218853484435902E-2"/>
        </c:manualLayout>
      </c:layout>
      <c:overlay val="0"/>
      <c:spPr>
        <a:noFill/>
        <a:ln>
          <a:noFill/>
        </a:ln>
        <a:effectLst/>
      </c:spPr>
    </c:title>
    <c:autoTitleDeleted val="0"/>
    <c:plotArea>
      <c:layout>
        <c:manualLayout>
          <c:layoutTarget val="inner"/>
          <c:xMode val="edge"/>
          <c:yMode val="edge"/>
          <c:x val="0.10054925119654162"/>
          <c:y val="0.20269645324291699"/>
          <c:w val="0.68338389686583301"/>
          <c:h val="0.60626360061156748"/>
        </c:manualLayout>
      </c:layout>
      <c:pieChart>
        <c:varyColors val="1"/>
        <c:ser>
          <c:idx val="0"/>
          <c:order val="0"/>
          <c:tx>
            <c:strRef>
              <c:f>Sheet1!$B$1</c:f>
              <c:strCache>
                <c:ptCount val="1"/>
                <c:pt idx="0">
                  <c:v>Non-feminine</c:v>
                </c:pt>
              </c:strCache>
            </c:strRef>
          </c:tx>
          <c:spPr>
            <a:solidFill>
              <a:srgbClr val="ED7D31"/>
            </a:solidFill>
            <a:ln w="12700">
              <a:solidFill>
                <a:sysClr val="window" lastClr="FFFFFF"/>
              </a:solidFill>
            </a:ln>
          </c:spPr>
          <c:dPt>
            <c:idx val="0"/>
            <c:bubble3D val="0"/>
            <c:spPr>
              <a:solidFill>
                <a:srgbClr val="00B1EE"/>
              </a:solidFill>
              <a:ln w="12700">
                <a:solidFill>
                  <a:sysClr val="window" lastClr="FFFFFF"/>
                </a:solidFill>
              </a:ln>
              <a:effectLst/>
            </c:spPr>
            <c:extLst>
              <c:ext xmlns:c16="http://schemas.microsoft.com/office/drawing/2014/chart" uri="{C3380CC4-5D6E-409C-BE32-E72D297353CC}">
                <c16:uniqueId val="{00000001-B82C-634F-85C2-6E25B92E4EDB}"/>
              </c:ext>
            </c:extLst>
          </c:dPt>
          <c:dPt>
            <c:idx val="1"/>
            <c:bubble3D val="0"/>
            <c:spPr>
              <a:solidFill>
                <a:srgbClr val="002F53"/>
              </a:solidFill>
              <a:ln w="12700">
                <a:solidFill>
                  <a:sysClr val="window" lastClr="FFFFFF"/>
                </a:solidFill>
              </a:ln>
              <a:effectLst/>
            </c:spPr>
            <c:extLst>
              <c:ext xmlns:c16="http://schemas.microsoft.com/office/drawing/2014/chart" uri="{C3380CC4-5D6E-409C-BE32-E72D297353CC}">
                <c16:uniqueId val="{00000003-B82C-634F-85C2-6E25B92E4EDB}"/>
              </c:ext>
            </c:extLst>
          </c:dPt>
          <c:dPt>
            <c:idx val="4"/>
            <c:bubble3D val="0"/>
            <c:extLst>
              <c:ext xmlns:c16="http://schemas.microsoft.com/office/drawing/2014/chart" uri="{C3380CC4-5D6E-409C-BE32-E72D297353CC}">
                <c16:uniqueId val="{00000004-B82C-634F-85C2-6E25B92E4EDB}"/>
              </c:ext>
            </c:extLst>
          </c:dPt>
          <c:dLbls>
            <c:dLbl>
              <c:idx val="0"/>
              <c:layout>
                <c:manualLayout>
                  <c:x val="-4.9537594565385208E-2"/>
                  <c:y val="-0.229253960442444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82C-634F-85C2-6E25B92E4EDB}"/>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03-B82C-634F-85C2-6E25B92E4EDB}"/>
                </c:ext>
              </c:extLst>
            </c:dLbl>
            <c:dLbl>
              <c:idx val="3"/>
              <c:delete val="1"/>
              <c:extLst>
                <c:ext xmlns:c15="http://schemas.microsoft.com/office/drawing/2012/chart" uri="{CE6537A1-D6FC-4f65-9D91-7224C49458BB}"/>
                <c:ext xmlns:c16="http://schemas.microsoft.com/office/drawing/2014/chart" uri="{C3380CC4-5D6E-409C-BE32-E72D297353CC}">
                  <c16:uniqueId val="{00000005-B82C-634F-85C2-6E25B92E4EDB}"/>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Accepted </c:v>
                </c:pt>
                <c:pt idx="1">
                  <c:v>Refused</c:v>
                </c:pt>
              </c:strCache>
            </c:strRef>
          </c:cat>
          <c:val>
            <c:numRef>
              <c:f>Sheet1!$B$2:$B$3</c:f>
              <c:numCache>
                <c:formatCode>0.00%</c:formatCode>
                <c:ptCount val="2"/>
                <c:pt idx="0">
                  <c:v>0.95</c:v>
                </c:pt>
                <c:pt idx="1">
                  <c:v>0.05</c:v>
                </c:pt>
              </c:numCache>
            </c:numRef>
          </c:val>
          <c:extLst>
            <c:ext xmlns:c16="http://schemas.microsoft.com/office/drawing/2014/chart" uri="{C3380CC4-5D6E-409C-BE32-E72D297353CC}">
              <c16:uniqueId val="{00000006-B82C-634F-85C2-6E25B92E4EDB}"/>
            </c:ext>
          </c:extLst>
        </c:ser>
        <c:dLbls>
          <c:dLblPos val="ctr"/>
          <c:showLegendKey val="0"/>
          <c:showVal val="0"/>
          <c:showCatName val="0"/>
          <c:showSerName val="0"/>
          <c:showPercent val="1"/>
          <c:showBubbleSize val="0"/>
          <c:showLeaderLines val="1"/>
        </c:dLbls>
        <c:firstSliceAng val="0"/>
      </c:pieChart>
      <c:spPr>
        <a:noFill/>
        <a:ln w="25400">
          <a:noFill/>
        </a:ln>
        <a:effectLst/>
      </c:spPr>
    </c:plotArea>
    <c:legend>
      <c:legendPos val="b"/>
      <c:layout>
        <c:manualLayout>
          <c:xMode val="edge"/>
          <c:yMode val="edge"/>
          <c:x val="1.2563300910915549E-2"/>
          <c:y val="0.83600988232635287"/>
          <c:w val="0.97977497298131899"/>
          <c:h val="0.1561268614269170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solidFill>
                  <a:srgbClr val="5B5A5A"/>
                </a:solidFill>
              </a:defRPr>
            </a:pPr>
            <a:r>
              <a:rPr lang="en-US" b="1">
                <a:solidFill>
                  <a:srgbClr val="5B5A5A"/>
                </a:solidFill>
              </a:rPr>
              <a:t>SAME-SEX COUPLES</a:t>
            </a:r>
          </a:p>
        </c:rich>
      </c:tx>
      <c:overlay val="0"/>
    </c:title>
    <c:autoTitleDeleted val="0"/>
    <c:plotArea>
      <c:layout>
        <c:manualLayout>
          <c:layoutTarget val="inner"/>
          <c:xMode val="edge"/>
          <c:yMode val="edge"/>
          <c:x val="0.14909070529884799"/>
          <c:y val="0.158500954426151"/>
          <c:w val="0.75943478269404818"/>
          <c:h val="0.57365214941352671"/>
        </c:manualLayout>
      </c:layout>
      <c:pieChart>
        <c:varyColors val="1"/>
        <c:ser>
          <c:idx val="0"/>
          <c:order val="0"/>
          <c:tx>
            <c:strRef>
              <c:f>Sheet1!$B$1</c:f>
              <c:strCache>
                <c:ptCount val="1"/>
                <c:pt idx="0">
                  <c:v>Same-sex couples</c:v>
                </c:pt>
              </c:strCache>
            </c:strRef>
          </c:tx>
          <c:spPr>
            <a:ln w="12700">
              <a:solidFill>
                <a:sysClr val="window" lastClr="FFFFFF"/>
              </a:solidFill>
            </a:ln>
          </c:spPr>
          <c:dPt>
            <c:idx val="0"/>
            <c:bubble3D val="0"/>
            <c:spPr>
              <a:solidFill>
                <a:srgbClr val="00B1EE"/>
              </a:solidFill>
              <a:ln w="12700">
                <a:solidFill>
                  <a:sysClr val="window" lastClr="FFFFFF"/>
                </a:solidFill>
              </a:ln>
              <a:effectLst/>
            </c:spPr>
            <c:extLst>
              <c:ext xmlns:c16="http://schemas.microsoft.com/office/drawing/2014/chart" uri="{C3380CC4-5D6E-409C-BE32-E72D297353CC}">
                <c16:uniqueId val="{00000001-BFBC-864F-B529-56C4B03CECAC}"/>
              </c:ext>
            </c:extLst>
          </c:dPt>
          <c:dPt>
            <c:idx val="1"/>
            <c:bubble3D val="0"/>
            <c:spPr>
              <a:solidFill>
                <a:srgbClr val="002F53"/>
              </a:solidFill>
              <a:ln w="12700">
                <a:solidFill>
                  <a:sysClr val="window" lastClr="FFFFFF"/>
                </a:solidFill>
              </a:ln>
              <a:effectLst/>
            </c:spPr>
            <c:extLst>
              <c:ext xmlns:c16="http://schemas.microsoft.com/office/drawing/2014/chart" uri="{C3380CC4-5D6E-409C-BE32-E72D297353CC}">
                <c16:uniqueId val="{00000003-BFBC-864F-B529-56C4B03CECAC}"/>
              </c:ext>
            </c:extLst>
          </c:dPt>
          <c:dPt>
            <c:idx val="2"/>
            <c:bubble3D val="0"/>
            <c:spPr>
              <a:solidFill>
                <a:srgbClr val="D9E1F3"/>
              </a:solidFill>
              <a:ln w="12700">
                <a:solidFill>
                  <a:sysClr val="window" lastClr="FFFFFF"/>
                </a:solidFill>
              </a:ln>
            </c:spPr>
            <c:extLst>
              <c:ext xmlns:c16="http://schemas.microsoft.com/office/drawing/2014/chart" uri="{C3380CC4-5D6E-409C-BE32-E72D297353CC}">
                <c16:uniqueId val="{00000005-BFBC-864F-B529-56C4B03CECAC}"/>
              </c:ext>
            </c:extLst>
          </c:dPt>
          <c:dPt>
            <c:idx val="3"/>
            <c:bubble3D val="0"/>
            <c:spPr>
              <a:solidFill>
                <a:srgbClr val="5A5B5A"/>
              </a:solidFill>
              <a:ln w="12700">
                <a:solidFill>
                  <a:sysClr val="window" lastClr="FFFFFF"/>
                </a:solidFill>
              </a:ln>
            </c:spPr>
            <c:extLst>
              <c:ext xmlns:c16="http://schemas.microsoft.com/office/drawing/2014/chart" uri="{C3380CC4-5D6E-409C-BE32-E72D297353CC}">
                <c16:uniqueId val="{00000007-BFBC-864F-B529-56C4B03CECAC}"/>
              </c:ext>
            </c:extLst>
          </c:dPt>
          <c:dPt>
            <c:idx val="4"/>
            <c:bubble3D val="0"/>
            <c:spPr>
              <a:solidFill>
                <a:srgbClr val="FFC000"/>
              </a:solidFill>
              <a:ln w="12700">
                <a:solidFill>
                  <a:sysClr val="window" lastClr="FFFFFF"/>
                </a:solidFill>
              </a:ln>
            </c:spPr>
            <c:extLst>
              <c:ext xmlns:c16="http://schemas.microsoft.com/office/drawing/2014/chart" uri="{C3380CC4-5D6E-409C-BE32-E72D297353CC}">
                <c16:uniqueId val="{00000009-BFBC-864F-B529-56C4B03CECAC}"/>
              </c:ext>
            </c:extLst>
          </c:dPt>
          <c:dPt>
            <c:idx val="5"/>
            <c:bubble3D val="0"/>
            <c:spPr>
              <a:solidFill>
                <a:srgbClr val="ED7D31"/>
              </a:solidFill>
              <a:ln w="12700">
                <a:solidFill>
                  <a:sysClr val="window" lastClr="FFFFFF"/>
                </a:solidFill>
              </a:ln>
            </c:spPr>
            <c:extLst>
              <c:ext xmlns:c16="http://schemas.microsoft.com/office/drawing/2014/chart" uri="{C3380CC4-5D6E-409C-BE32-E72D297353CC}">
                <c16:uniqueId val="{0000000B-BFBC-864F-B529-56C4B03CECAC}"/>
              </c:ext>
            </c:extLst>
          </c:dPt>
          <c:dLbls>
            <c:dLbl>
              <c:idx val="0"/>
              <c:layout>
                <c:manualLayout>
                  <c:x val="-0.22245374132503909"/>
                  <c:y val="-0.1387979892343966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BC-864F-B529-56C4B03CECAC}"/>
                </c:ext>
              </c:extLst>
            </c:dLbl>
            <c:dLbl>
              <c:idx val="2"/>
              <c:numFmt formatCode="0%" sourceLinked="0"/>
              <c:spPr>
                <a:noFill/>
                <a:ln>
                  <a:noFill/>
                </a:ln>
                <a:effectLst/>
              </c:spPr>
              <c:txPr>
                <a:bodyPr wrap="square" lIns="38100" tIns="19050" rIns="38100" bIns="19050" anchor="ctr">
                  <a:spAutoFit/>
                </a:bodyPr>
                <a:lstStyle/>
                <a:p>
                  <a:pPr>
                    <a:defRPr sz="700" b="1">
                      <a:solidFill>
                        <a:schemeClr val="tx1"/>
                      </a:solidFill>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5-BFBC-864F-B529-56C4B03CECAC}"/>
                </c:ext>
              </c:extLst>
            </c:dLbl>
            <c:numFmt formatCode="0%" sourceLinked="0"/>
            <c:spPr>
              <a:noFill/>
              <a:ln>
                <a:noFill/>
              </a:ln>
              <a:effectLst/>
            </c:spPr>
            <c:txPr>
              <a:bodyPr wrap="square" lIns="38100" tIns="19050" rIns="38100" bIns="19050" anchor="ctr">
                <a:spAutoFit/>
              </a:bodyPr>
              <a:lstStyle/>
              <a:p>
                <a:pPr>
                  <a:defRPr sz="700" b="1">
                    <a:solidFill>
                      <a:schemeClr val="bg1"/>
                    </a:solidFill>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Accepted without hesitation </c:v>
                </c:pt>
                <c:pt idx="1">
                  <c:v>Accepted with hesitation </c:v>
                </c:pt>
                <c:pt idx="2">
                  <c:v>Refused with hesitation </c:v>
                </c:pt>
                <c:pt idx="3">
                  <c:v>Refused without hesitation </c:v>
                </c:pt>
              </c:strCache>
            </c:strRef>
          </c:cat>
          <c:val>
            <c:numRef>
              <c:f>Sheet1!$B$2:$B$5</c:f>
              <c:numCache>
                <c:formatCode>0.00%</c:formatCode>
                <c:ptCount val="4"/>
                <c:pt idx="0">
                  <c:v>0.74399999999999999</c:v>
                </c:pt>
                <c:pt idx="1">
                  <c:v>7.4999999999999997E-2</c:v>
                </c:pt>
                <c:pt idx="2">
                  <c:v>6.9000000000000006E-2</c:v>
                </c:pt>
                <c:pt idx="3">
                  <c:v>0.113</c:v>
                </c:pt>
              </c:numCache>
            </c:numRef>
          </c:val>
          <c:extLst>
            <c:ext xmlns:c16="http://schemas.microsoft.com/office/drawing/2014/chart" uri="{C3380CC4-5D6E-409C-BE32-E72D297353CC}">
              <c16:uniqueId val="{0000000C-BFBC-864F-B529-56C4B03CECA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
          <c:y val="0.80146803683437873"/>
          <c:w val="1"/>
          <c:h val="0.16257000754433051"/>
        </c:manualLayout>
      </c:layout>
      <c:overlay val="0"/>
      <c:txPr>
        <a:bodyPr/>
        <a:lstStyle/>
        <a:p>
          <a:pPr>
            <a:defRPr sz="800">
              <a:solidFill>
                <a:schemeClr val="tx1">
                  <a:lumMod val="95000"/>
                  <a:lumOff val="5000"/>
                </a:schemeClr>
              </a:solidFill>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solidFill>
                  <a:srgbClr val="5B5A5A"/>
                </a:solidFill>
              </a:defRPr>
            </a:pPr>
            <a:r>
              <a:rPr lang="en-US" b="1">
                <a:solidFill>
                  <a:srgbClr val="5B5A5A"/>
                </a:solidFill>
              </a:rPr>
              <a:t>HETEROSEXUAL COUPLES </a:t>
            </a:r>
          </a:p>
        </c:rich>
      </c:tx>
      <c:overlay val="0"/>
    </c:title>
    <c:autoTitleDeleted val="0"/>
    <c:plotArea>
      <c:layout>
        <c:manualLayout>
          <c:layoutTarget val="inner"/>
          <c:xMode val="edge"/>
          <c:yMode val="edge"/>
          <c:x val="0.14924772271113201"/>
          <c:y val="0.150669177880143"/>
          <c:w val="0.8166201634705571"/>
          <c:h val="0.61454127556089377"/>
        </c:manualLayout>
      </c:layout>
      <c:pieChart>
        <c:varyColors val="1"/>
        <c:ser>
          <c:idx val="0"/>
          <c:order val="0"/>
          <c:tx>
            <c:strRef>
              <c:f>Sheet1!$B$1</c:f>
              <c:strCache>
                <c:ptCount val="1"/>
                <c:pt idx="0">
                  <c:v>Heterosexual couples </c:v>
                </c:pt>
              </c:strCache>
            </c:strRef>
          </c:tx>
          <c:spPr>
            <a:ln w="12700">
              <a:solidFill>
                <a:sysClr val="window" lastClr="FFFFFF"/>
              </a:solidFill>
            </a:ln>
          </c:spPr>
          <c:dPt>
            <c:idx val="0"/>
            <c:bubble3D val="0"/>
            <c:spPr>
              <a:solidFill>
                <a:srgbClr val="00B1EE"/>
              </a:solidFill>
              <a:ln w="12700">
                <a:solidFill>
                  <a:sysClr val="window" lastClr="FFFFFF"/>
                </a:solidFill>
              </a:ln>
              <a:effectLst/>
            </c:spPr>
            <c:extLst>
              <c:ext xmlns:c16="http://schemas.microsoft.com/office/drawing/2014/chart" uri="{C3380CC4-5D6E-409C-BE32-E72D297353CC}">
                <c16:uniqueId val="{00000001-6730-494B-9A6C-93FC9253CF15}"/>
              </c:ext>
            </c:extLst>
          </c:dPt>
          <c:dPt>
            <c:idx val="1"/>
            <c:bubble3D val="0"/>
            <c:spPr>
              <a:solidFill>
                <a:srgbClr val="002F53"/>
              </a:solidFill>
              <a:ln w="12700">
                <a:solidFill>
                  <a:sysClr val="window" lastClr="FFFFFF"/>
                </a:solidFill>
              </a:ln>
              <a:effectLst/>
            </c:spPr>
            <c:extLst>
              <c:ext xmlns:c16="http://schemas.microsoft.com/office/drawing/2014/chart" uri="{C3380CC4-5D6E-409C-BE32-E72D297353CC}">
                <c16:uniqueId val="{00000003-6730-494B-9A6C-93FC9253CF15}"/>
              </c:ext>
            </c:extLst>
          </c:dPt>
          <c:dPt>
            <c:idx val="2"/>
            <c:bubble3D val="0"/>
            <c:spPr>
              <a:solidFill>
                <a:srgbClr val="D9E1F3"/>
              </a:solidFill>
              <a:ln w="12700">
                <a:solidFill>
                  <a:sysClr val="window" lastClr="FFFFFF"/>
                </a:solidFill>
              </a:ln>
            </c:spPr>
            <c:extLst>
              <c:ext xmlns:c16="http://schemas.microsoft.com/office/drawing/2014/chart" uri="{C3380CC4-5D6E-409C-BE32-E72D297353CC}">
                <c16:uniqueId val="{00000005-6730-494B-9A6C-93FC9253CF15}"/>
              </c:ext>
            </c:extLst>
          </c:dPt>
          <c:dPt>
            <c:idx val="3"/>
            <c:bubble3D val="0"/>
            <c:spPr>
              <a:solidFill>
                <a:srgbClr val="5A5B5A"/>
              </a:solidFill>
              <a:ln w="12700">
                <a:solidFill>
                  <a:sysClr val="window" lastClr="FFFFFF"/>
                </a:solidFill>
              </a:ln>
            </c:spPr>
            <c:extLst>
              <c:ext xmlns:c16="http://schemas.microsoft.com/office/drawing/2014/chart" uri="{C3380CC4-5D6E-409C-BE32-E72D297353CC}">
                <c16:uniqueId val="{00000007-6730-494B-9A6C-93FC9253CF15}"/>
              </c:ext>
            </c:extLst>
          </c:dPt>
          <c:dPt>
            <c:idx val="4"/>
            <c:bubble3D val="0"/>
            <c:spPr>
              <a:solidFill>
                <a:srgbClr val="ED7D31"/>
              </a:solidFill>
              <a:ln w="12700">
                <a:solidFill>
                  <a:sysClr val="window" lastClr="FFFFFF"/>
                </a:solidFill>
              </a:ln>
            </c:spPr>
            <c:extLst>
              <c:ext xmlns:c16="http://schemas.microsoft.com/office/drawing/2014/chart" uri="{C3380CC4-5D6E-409C-BE32-E72D297353CC}">
                <c16:uniqueId val="{00000009-6730-494B-9A6C-93FC9253CF15}"/>
              </c:ext>
            </c:extLst>
          </c:dPt>
          <c:dLbls>
            <c:dLbl>
              <c:idx val="0"/>
              <c:layout>
                <c:manualLayout>
                  <c:x val="-1.0606762389995368E-2"/>
                  <c:y val="-0.19938846627222451"/>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30-494B-9A6C-93FC9253CF15}"/>
                </c:ext>
              </c:extLst>
            </c:dLbl>
            <c:dLbl>
              <c:idx val="1"/>
              <c:layout>
                <c:manualLayout>
                  <c:x val="1.1188747802921031E-2"/>
                  <c:y val="0.33530300826943221"/>
                </c:manualLayout>
              </c:layout>
              <c:numFmt formatCode="0%" sourceLinked="0"/>
              <c:spPr>
                <a:noFill/>
                <a:ln>
                  <a:noFill/>
                </a:ln>
                <a:effectLst/>
              </c:spPr>
              <c:txPr>
                <a:bodyPr wrap="square" lIns="38100" tIns="19050" rIns="38100" bIns="19050" anchor="ctr">
                  <a:spAutoFit/>
                </a:bodyPr>
                <a:lstStyle/>
                <a:p>
                  <a:pPr>
                    <a:defRPr sz="700" b="1">
                      <a:solidFill>
                        <a:sysClr val="windowText" lastClr="000000"/>
                      </a:solidFill>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30-494B-9A6C-93FC9253CF15}"/>
                </c:ext>
              </c:extLst>
            </c:dLbl>
            <c:dLbl>
              <c:idx val="2"/>
              <c:delete val="1"/>
              <c:extLst>
                <c:ext xmlns:c15="http://schemas.microsoft.com/office/drawing/2012/chart" uri="{CE6537A1-D6FC-4f65-9D91-7224C49458BB}"/>
                <c:ext xmlns:c16="http://schemas.microsoft.com/office/drawing/2014/chart" uri="{C3380CC4-5D6E-409C-BE32-E72D297353CC}">
                  <c16:uniqueId val="{00000005-6730-494B-9A6C-93FC9253CF15}"/>
                </c:ext>
              </c:extLst>
            </c:dLbl>
            <c:dLbl>
              <c:idx val="3"/>
              <c:delete val="1"/>
              <c:extLst>
                <c:ext xmlns:c15="http://schemas.microsoft.com/office/drawing/2012/chart" uri="{CE6537A1-D6FC-4f65-9D91-7224C49458BB}"/>
                <c:ext xmlns:c16="http://schemas.microsoft.com/office/drawing/2014/chart" uri="{C3380CC4-5D6E-409C-BE32-E72D297353CC}">
                  <c16:uniqueId val="{00000007-6730-494B-9A6C-93FC9253CF15}"/>
                </c:ext>
              </c:extLst>
            </c:dLbl>
            <c:numFmt formatCode="0%" sourceLinked="0"/>
            <c:spPr>
              <a:noFill/>
              <a:ln>
                <a:noFill/>
              </a:ln>
              <a:effectLst/>
            </c:spPr>
            <c:txPr>
              <a:bodyPr wrap="square" lIns="38100" tIns="19050" rIns="38100" bIns="19050" anchor="ctr">
                <a:spAutoFit/>
              </a:bodyPr>
              <a:lstStyle/>
              <a:p>
                <a:pPr>
                  <a:defRPr sz="700" b="1">
                    <a:solidFill>
                      <a:schemeClr val="bg1"/>
                    </a:solidFill>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Accepted without hesitation </c:v>
                </c:pt>
                <c:pt idx="1">
                  <c:v>Accepted with hesitation </c:v>
                </c:pt>
                <c:pt idx="2">
                  <c:v>Refused with hesitation </c:v>
                </c:pt>
                <c:pt idx="3">
                  <c:v>Refused without hesitation </c:v>
                </c:pt>
              </c:strCache>
            </c:strRef>
          </c:cat>
          <c:val>
            <c:numRef>
              <c:f>Sheet1!$B$2:$B$5</c:f>
              <c:numCache>
                <c:formatCode>0.00%</c:formatCode>
                <c:ptCount val="4"/>
                <c:pt idx="0">
                  <c:v>0.98799999999999999</c:v>
                </c:pt>
                <c:pt idx="1">
                  <c:v>1.2999999999999999E-2</c:v>
                </c:pt>
              </c:numCache>
            </c:numRef>
          </c:val>
          <c:extLst>
            <c:ext xmlns:c16="http://schemas.microsoft.com/office/drawing/2014/chart" uri="{C3380CC4-5D6E-409C-BE32-E72D297353CC}">
              <c16:uniqueId val="{0000000A-6730-494B-9A6C-93FC9253CF15}"/>
            </c:ext>
          </c:extLst>
        </c:ser>
        <c:dLbls>
          <c:dLblPos val="bestFit"/>
          <c:showLegendKey val="0"/>
          <c:showVal val="1"/>
          <c:showCatName val="0"/>
          <c:showSerName val="0"/>
          <c:showPercent val="0"/>
          <c:showBubbleSize val="0"/>
          <c:showLeaderLines val="1"/>
        </c:dLbls>
        <c:firstSliceAng val="0"/>
      </c:pieChart>
      <c:spPr>
        <a:noFill/>
        <a:ln w="25400">
          <a:noFill/>
        </a:ln>
        <a:effectLst/>
      </c:spPr>
    </c:plotArea>
    <c:legend>
      <c:legendPos val="b"/>
      <c:layout>
        <c:manualLayout>
          <c:xMode val="edge"/>
          <c:yMode val="edge"/>
          <c:x val="0"/>
          <c:y val="0.80083930186692764"/>
          <c:w val="1"/>
          <c:h val="0.1638696410742960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r">
              <a:defRPr sz="1100" b="0" i="0" u="none" strike="noStrike" kern="1200" spc="0" baseline="0">
                <a:solidFill>
                  <a:srgbClr val="5B5A5A"/>
                </a:solidFill>
                <a:latin typeface="+mn-lt"/>
                <a:ea typeface="+mn-ea"/>
                <a:cs typeface="+mn-cs"/>
              </a:defRPr>
            </a:pPr>
            <a:r>
              <a:rPr lang="en-US" sz="1100" b="1">
                <a:solidFill>
                  <a:srgbClr val="5B5A5A"/>
                </a:solidFill>
              </a:rPr>
              <a:t>FEMININE BOYS</a:t>
            </a:r>
          </a:p>
        </c:rich>
      </c:tx>
      <c:layout>
        <c:manualLayout>
          <c:xMode val="edge"/>
          <c:yMode val="edge"/>
          <c:x val="0.31233707886158402"/>
          <c:y val="2.4968962213056702E-2"/>
        </c:manualLayout>
      </c:layout>
      <c:overlay val="0"/>
      <c:spPr>
        <a:noFill/>
        <a:ln>
          <a:noFill/>
        </a:ln>
        <a:effectLst/>
      </c:spPr>
    </c:title>
    <c:autoTitleDeleted val="0"/>
    <c:plotArea>
      <c:layout>
        <c:manualLayout>
          <c:layoutTarget val="inner"/>
          <c:xMode val="edge"/>
          <c:yMode val="edge"/>
          <c:x val="0.14909070529884799"/>
          <c:y val="0.158500954426151"/>
          <c:w val="0.66968177020577102"/>
          <c:h val="0.53460391314722"/>
        </c:manualLayout>
      </c:layout>
      <c:pieChart>
        <c:varyColors val="1"/>
        <c:ser>
          <c:idx val="0"/>
          <c:order val="0"/>
          <c:tx>
            <c:strRef>
              <c:f>Sheet1!$B$1</c:f>
              <c:strCache>
                <c:ptCount val="1"/>
                <c:pt idx="0">
                  <c:v>Column1</c:v>
                </c:pt>
              </c:strCache>
            </c:strRef>
          </c:tx>
          <c:spPr>
            <a:ln w="12700">
              <a:solidFill>
                <a:sysClr val="window" lastClr="FFFFFF"/>
              </a:solidFill>
            </a:ln>
          </c:spPr>
          <c:dPt>
            <c:idx val="0"/>
            <c:bubble3D val="0"/>
            <c:spPr>
              <a:solidFill>
                <a:schemeClr val="accent1"/>
              </a:solidFill>
              <a:ln w="12700">
                <a:solidFill>
                  <a:sysClr val="window" lastClr="FFFFFF"/>
                </a:solidFill>
              </a:ln>
              <a:effectLst/>
            </c:spPr>
            <c:extLst>
              <c:ext xmlns:c16="http://schemas.microsoft.com/office/drawing/2014/chart" uri="{C3380CC4-5D6E-409C-BE32-E72D297353CC}">
                <c16:uniqueId val="{00000001-BC04-904A-AB7E-CAD70E98A5F7}"/>
              </c:ext>
            </c:extLst>
          </c:dPt>
          <c:dPt>
            <c:idx val="1"/>
            <c:bubble3D val="0"/>
            <c:spPr>
              <a:solidFill>
                <a:srgbClr val="00B1EE"/>
              </a:solidFill>
              <a:ln w="12700">
                <a:solidFill>
                  <a:sysClr val="window" lastClr="FFFFFF"/>
                </a:solidFill>
              </a:ln>
              <a:effectLst/>
            </c:spPr>
            <c:extLst>
              <c:ext xmlns:c16="http://schemas.microsoft.com/office/drawing/2014/chart" uri="{C3380CC4-5D6E-409C-BE32-E72D297353CC}">
                <c16:uniqueId val="{00000003-BC04-904A-AB7E-CAD70E98A5F7}"/>
              </c:ext>
            </c:extLst>
          </c:dPt>
          <c:dPt>
            <c:idx val="2"/>
            <c:bubble3D val="0"/>
            <c:spPr>
              <a:solidFill>
                <a:srgbClr val="002F53"/>
              </a:solidFill>
              <a:ln w="12700">
                <a:solidFill>
                  <a:sysClr val="window" lastClr="FFFFFF"/>
                </a:solidFill>
              </a:ln>
            </c:spPr>
            <c:extLst>
              <c:ext xmlns:c16="http://schemas.microsoft.com/office/drawing/2014/chart" uri="{C3380CC4-5D6E-409C-BE32-E72D297353CC}">
                <c16:uniqueId val="{00000005-BC04-904A-AB7E-CAD70E98A5F7}"/>
              </c:ext>
            </c:extLst>
          </c:dPt>
          <c:dPt>
            <c:idx val="3"/>
            <c:bubble3D val="0"/>
            <c:spPr>
              <a:solidFill>
                <a:sysClr val="window" lastClr="FFFFFF">
                  <a:lumMod val="75000"/>
                </a:sysClr>
              </a:solidFill>
              <a:ln w="12700">
                <a:solidFill>
                  <a:sysClr val="window" lastClr="FFFFFF"/>
                </a:solidFill>
              </a:ln>
            </c:spPr>
            <c:extLst>
              <c:ext xmlns:c16="http://schemas.microsoft.com/office/drawing/2014/chart" uri="{C3380CC4-5D6E-409C-BE32-E72D297353CC}">
                <c16:uniqueId val="{00000007-BC04-904A-AB7E-CAD70E98A5F7}"/>
              </c:ext>
            </c:extLst>
          </c:dPt>
          <c:dPt>
            <c:idx val="4"/>
            <c:bubble3D val="0"/>
            <c:spPr>
              <a:solidFill>
                <a:srgbClr val="D9E1F3"/>
              </a:solidFill>
              <a:ln w="12700">
                <a:solidFill>
                  <a:sysClr val="window" lastClr="FFFFFF"/>
                </a:solidFill>
              </a:ln>
            </c:spPr>
            <c:extLst>
              <c:ext xmlns:c16="http://schemas.microsoft.com/office/drawing/2014/chart" uri="{C3380CC4-5D6E-409C-BE32-E72D297353CC}">
                <c16:uniqueId val="{00000009-BC04-904A-AB7E-CAD70E98A5F7}"/>
              </c:ext>
            </c:extLst>
          </c:dPt>
          <c:dPt>
            <c:idx val="5"/>
            <c:bubble3D val="0"/>
            <c:spPr>
              <a:solidFill>
                <a:srgbClr val="2F5595"/>
              </a:solidFill>
              <a:ln w="12700">
                <a:solidFill>
                  <a:sysClr val="window" lastClr="FFFFFF"/>
                </a:solidFill>
              </a:ln>
            </c:spPr>
            <c:extLst>
              <c:ext xmlns:c16="http://schemas.microsoft.com/office/drawing/2014/chart" uri="{C3380CC4-5D6E-409C-BE32-E72D297353CC}">
                <c16:uniqueId val="{0000000B-BC04-904A-AB7E-CAD70E98A5F7}"/>
              </c:ext>
            </c:extLst>
          </c:dPt>
          <c:dLbls>
            <c:dLbl>
              <c:idx val="0"/>
              <c:delete val="1"/>
              <c:extLst>
                <c:ext xmlns:c15="http://schemas.microsoft.com/office/drawing/2012/chart" uri="{CE6537A1-D6FC-4f65-9D91-7224C49458BB}"/>
                <c:ext xmlns:c16="http://schemas.microsoft.com/office/drawing/2014/chart" uri="{C3380CC4-5D6E-409C-BE32-E72D297353CC}">
                  <c16:uniqueId val="{00000001-BC04-904A-AB7E-CAD70E98A5F7}"/>
                </c:ext>
              </c:extLst>
            </c:dLbl>
            <c:dLbl>
              <c:idx val="1"/>
              <c:layout>
                <c:manualLayout>
                  <c:x val="-0.170419106864311"/>
                  <c:y val="9.0945255774652067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C04-904A-AB7E-CAD70E98A5F7}"/>
                </c:ext>
              </c:extLst>
            </c:dLbl>
            <c:dLbl>
              <c:idx val="2"/>
              <c:layout>
                <c:manualLayout>
                  <c:x val="6.1864918130785256E-2"/>
                  <c:y val="-0.16628006969214326"/>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C04-904A-AB7E-CAD70E98A5F7}"/>
                </c:ext>
              </c:extLst>
            </c:dLbl>
            <c:dLbl>
              <c:idx val="4"/>
              <c:layout>
                <c:manualLayout>
                  <c:x val="0.10956706924090005"/>
                  <c:y val="9.896882547801179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C04-904A-AB7E-CAD70E98A5F7}"/>
                </c:ext>
              </c:extLst>
            </c:dLbl>
            <c:dLbl>
              <c:idx val="5"/>
              <c:layout>
                <c:manualLayout>
                  <c:x val="1.2379858211673719E-2"/>
                  <c:y val="6.3900516708915653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C04-904A-AB7E-CAD70E98A5F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 </c:v>
                </c:pt>
                <c:pt idx="1">
                  <c:v>Accepted without hesitation </c:v>
                </c:pt>
                <c:pt idx="2">
                  <c:v>Accepted with hesitation </c:v>
                </c:pt>
                <c:pt idx="3">
                  <c:v>Not clear</c:v>
                </c:pt>
                <c:pt idx="4">
                  <c:v>Refused with hesitation </c:v>
                </c:pt>
                <c:pt idx="5">
                  <c:v>Refused without hesitation </c:v>
                </c:pt>
              </c:strCache>
            </c:strRef>
          </c:cat>
          <c:val>
            <c:numRef>
              <c:f>Sheet1!$B$2:$B$7</c:f>
              <c:numCache>
                <c:formatCode>0.00%</c:formatCode>
                <c:ptCount val="6"/>
                <c:pt idx="0" formatCode="General">
                  <c:v>0</c:v>
                </c:pt>
                <c:pt idx="1">
                  <c:v>0.27200000000000002</c:v>
                </c:pt>
                <c:pt idx="2">
                  <c:v>0.51100000000000001</c:v>
                </c:pt>
                <c:pt idx="3">
                  <c:v>7.5999999999999998E-2</c:v>
                </c:pt>
                <c:pt idx="4">
                  <c:v>0.109</c:v>
                </c:pt>
                <c:pt idx="5">
                  <c:v>3.3000000000000002E-2</c:v>
                </c:pt>
              </c:numCache>
            </c:numRef>
          </c:val>
          <c:extLst>
            <c:ext xmlns:c16="http://schemas.microsoft.com/office/drawing/2014/chart" uri="{C3380CC4-5D6E-409C-BE32-E72D297353CC}">
              <c16:uniqueId val="{0000000C-BC04-904A-AB7E-CAD70E98A5F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0"/>
        <c:delete val="1"/>
      </c:legendEntry>
      <c:layout>
        <c:manualLayout>
          <c:xMode val="edge"/>
          <c:yMode val="edge"/>
          <c:x val="0"/>
          <c:y val="0.73107015032211897"/>
          <c:w val="0.99881413399837504"/>
          <c:h val="0.24620257695060799"/>
        </c:manualLayout>
      </c:layout>
      <c:overlay val="0"/>
      <c:txPr>
        <a:bodyPr/>
        <a:lstStyle/>
        <a:p>
          <a:pPr>
            <a:defRPr sz="900">
              <a:solidFill>
                <a:srgbClr val="5B5A5A"/>
              </a:solidFill>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rgbClr val="5B5A5A"/>
                </a:solidFill>
                <a:latin typeface="+mn-lt"/>
                <a:ea typeface="+mn-ea"/>
                <a:cs typeface="+mn-cs"/>
              </a:defRPr>
            </a:pPr>
            <a:r>
              <a:rPr lang="en-US" sz="1100" b="1">
                <a:solidFill>
                  <a:srgbClr val="5B5A5A"/>
                </a:solidFill>
              </a:rPr>
              <a:t>NON-FEMININE BOYS</a:t>
            </a:r>
          </a:p>
        </c:rich>
      </c:tx>
      <c:layout>
        <c:manualLayout>
          <c:xMode val="edge"/>
          <c:yMode val="edge"/>
          <c:x val="0.29496024394009601"/>
          <c:y val="3.4218900603526302E-2"/>
        </c:manualLayout>
      </c:layout>
      <c:overlay val="0"/>
      <c:spPr>
        <a:noFill/>
        <a:ln>
          <a:noFill/>
        </a:ln>
        <a:effectLst/>
      </c:spPr>
    </c:title>
    <c:autoTitleDeleted val="0"/>
    <c:plotArea>
      <c:layout>
        <c:manualLayout>
          <c:layoutTarget val="inner"/>
          <c:xMode val="edge"/>
          <c:yMode val="edge"/>
          <c:x val="0.163953605064073"/>
          <c:y val="0.150669177880143"/>
          <c:w val="0.68189709742164595"/>
          <c:h val="0.52692048437127204"/>
        </c:manualLayout>
      </c:layout>
      <c:pieChart>
        <c:varyColors val="1"/>
        <c:ser>
          <c:idx val="0"/>
          <c:order val="0"/>
          <c:tx>
            <c:strRef>
              <c:f>Sheet1!$B$1</c:f>
              <c:strCache>
                <c:ptCount val="1"/>
                <c:pt idx="0">
                  <c:v>Non-feminine</c:v>
                </c:pt>
              </c:strCache>
            </c:strRef>
          </c:tx>
          <c:spPr>
            <a:ln w="12700">
              <a:solidFill>
                <a:sysClr val="window" lastClr="FFFFFF"/>
              </a:solidFill>
            </a:ln>
          </c:spPr>
          <c:dPt>
            <c:idx val="0"/>
            <c:bubble3D val="0"/>
            <c:spPr>
              <a:solidFill>
                <a:srgbClr val="00B1EE"/>
              </a:solidFill>
              <a:ln w="12700">
                <a:solidFill>
                  <a:sysClr val="window" lastClr="FFFFFF"/>
                </a:solidFill>
              </a:ln>
              <a:effectLst/>
            </c:spPr>
            <c:extLst>
              <c:ext xmlns:c16="http://schemas.microsoft.com/office/drawing/2014/chart" uri="{C3380CC4-5D6E-409C-BE32-E72D297353CC}">
                <c16:uniqueId val="{00000001-693F-114B-A152-4412C86B140C}"/>
              </c:ext>
            </c:extLst>
          </c:dPt>
          <c:dPt>
            <c:idx val="1"/>
            <c:bubble3D val="0"/>
            <c:spPr>
              <a:solidFill>
                <a:srgbClr val="002F53"/>
              </a:solidFill>
              <a:ln w="12700">
                <a:solidFill>
                  <a:sysClr val="window" lastClr="FFFFFF"/>
                </a:solidFill>
              </a:ln>
              <a:effectLst/>
            </c:spPr>
            <c:extLst>
              <c:ext xmlns:c16="http://schemas.microsoft.com/office/drawing/2014/chart" uri="{C3380CC4-5D6E-409C-BE32-E72D297353CC}">
                <c16:uniqueId val="{00000003-693F-114B-A152-4412C86B140C}"/>
              </c:ext>
            </c:extLst>
          </c:dPt>
          <c:dPt>
            <c:idx val="2"/>
            <c:bubble3D val="0"/>
            <c:spPr>
              <a:solidFill>
                <a:sysClr val="window" lastClr="FFFFFF">
                  <a:lumMod val="75000"/>
                </a:sysClr>
              </a:solidFill>
              <a:ln w="12700">
                <a:solidFill>
                  <a:sysClr val="window" lastClr="FFFFFF"/>
                </a:solidFill>
              </a:ln>
            </c:spPr>
            <c:extLst>
              <c:ext xmlns:c16="http://schemas.microsoft.com/office/drawing/2014/chart" uri="{C3380CC4-5D6E-409C-BE32-E72D297353CC}">
                <c16:uniqueId val="{00000005-693F-114B-A152-4412C86B140C}"/>
              </c:ext>
            </c:extLst>
          </c:dPt>
          <c:dPt>
            <c:idx val="3"/>
            <c:bubble3D val="0"/>
            <c:spPr>
              <a:solidFill>
                <a:srgbClr val="D9E1F3"/>
              </a:solidFill>
              <a:ln w="12700">
                <a:solidFill>
                  <a:sysClr val="window" lastClr="FFFFFF"/>
                </a:solidFill>
              </a:ln>
            </c:spPr>
            <c:extLst>
              <c:ext xmlns:c16="http://schemas.microsoft.com/office/drawing/2014/chart" uri="{C3380CC4-5D6E-409C-BE32-E72D297353CC}">
                <c16:uniqueId val="{00000007-693F-114B-A152-4412C86B140C}"/>
              </c:ext>
            </c:extLst>
          </c:dPt>
          <c:dPt>
            <c:idx val="4"/>
            <c:bubble3D val="0"/>
            <c:spPr>
              <a:solidFill>
                <a:srgbClr val="2F5595"/>
              </a:solidFill>
              <a:ln w="12700">
                <a:solidFill>
                  <a:sysClr val="window" lastClr="FFFFFF"/>
                </a:solidFill>
              </a:ln>
            </c:spPr>
            <c:extLst>
              <c:ext xmlns:c16="http://schemas.microsoft.com/office/drawing/2014/chart" uri="{C3380CC4-5D6E-409C-BE32-E72D297353CC}">
                <c16:uniqueId val="{00000009-693F-114B-A152-4412C86B140C}"/>
              </c:ext>
            </c:extLst>
          </c:dPt>
          <c:dLbls>
            <c:dLbl>
              <c:idx val="0"/>
              <c:layout>
                <c:manualLayout>
                  <c:x val="-0.24432298903813493"/>
                  <c:y val="-0.12230911476974476"/>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93F-114B-A152-4412C86B140C}"/>
                </c:ext>
              </c:extLst>
            </c:dLbl>
            <c:dLbl>
              <c:idx val="1"/>
              <c:layout>
                <c:manualLayout>
                  <c:x val="0.19822641655087231"/>
                  <c:y val="1.7416785969935577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93F-114B-A152-4412C86B140C}"/>
                </c:ext>
              </c:extLst>
            </c:dLbl>
            <c:dLbl>
              <c:idx val="3"/>
              <c:delete val="1"/>
              <c:extLst>
                <c:ext xmlns:c15="http://schemas.microsoft.com/office/drawing/2012/chart" uri="{CE6537A1-D6FC-4f65-9D91-7224C49458BB}"/>
                <c:ext xmlns:c16="http://schemas.microsoft.com/office/drawing/2014/chart" uri="{C3380CC4-5D6E-409C-BE32-E72D297353CC}">
                  <c16:uniqueId val="{00000007-693F-114B-A152-4412C86B140C}"/>
                </c:ext>
              </c:extLst>
            </c:dLbl>
            <c:dLbl>
              <c:idx val="4"/>
              <c:layout>
                <c:manualLayout>
                  <c:x val="1.9707426277597653E-2"/>
                  <c:y val="7.0982164161298017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93F-114B-A152-4412C86B140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Accepted without hesitation </c:v>
                </c:pt>
                <c:pt idx="1">
                  <c:v>Accepted with hesitation </c:v>
                </c:pt>
                <c:pt idx="2">
                  <c:v>Not clear</c:v>
                </c:pt>
                <c:pt idx="3">
                  <c:v>Refused with hesitation </c:v>
                </c:pt>
                <c:pt idx="4">
                  <c:v>Refused without hesitation </c:v>
                </c:pt>
              </c:strCache>
            </c:strRef>
          </c:cat>
          <c:val>
            <c:numRef>
              <c:f>Sheet1!$B$2:$B$6</c:f>
              <c:numCache>
                <c:formatCode>0.00%</c:formatCode>
                <c:ptCount val="5"/>
                <c:pt idx="0">
                  <c:v>0.65200000000000002</c:v>
                </c:pt>
                <c:pt idx="1">
                  <c:v>0.25</c:v>
                </c:pt>
                <c:pt idx="2">
                  <c:v>5.3999999999999999E-2</c:v>
                </c:pt>
                <c:pt idx="4">
                  <c:v>4.2999999999999997E-2</c:v>
                </c:pt>
              </c:numCache>
            </c:numRef>
          </c:val>
          <c:extLst>
            <c:ext xmlns:c16="http://schemas.microsoft.com/office/drawing/2014/chart" uri="{C3380CC4-5D6E-409C-BE32-E72D297353CC}">
              <c16:uniqueId val="{0000000A-693F-114B-A152-4412C86B140C}"/>
            </c:ext>
          </c:extLst>
        </c:ser>
        <c:dLbls>
          <c:dLblPos val="ctr"/>
          <c:showLegendKey val="0"/>
          <c:showVal val="0"/>
          <c:showCatName val="0"/>
          <c:showSerName val="0"/>
          <c:showPercent val="1"/>
          <c:showBubbleSize val="0"/>
          <c:showLeaderLines val="1"/>
        </c:dLbls>
        <c:firstSliceAng val="0"/>
      </c:pieChart>
      <c:spPr>
        <a:noFill/>
        <a:ln w="25400">
          <a:noFill/>
        </a:ln>
        <a:effectLst/>
      </c:spPr>
    </c:plotArea>
    <c:legend>
      <c:legendPos val="b"/>
      <c:layout>
        <c:manualLayout>
          <c:xMode val="edge"/>
          <c:yMode val="edge"/>
          <c:x val="6.6484869538366506E-2"/>
          <c:y val="0.76357896159071637"/>
          <c:w val="0.92585340435386798"/>
          <c:h val="0.21989986714005841"/>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5B5A5A"/>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r">
              <a:defRPr sz="1100" b="0" i="0" u="none" strike="noStrike" kern="1200" spc="0" baseline="0">
                <a:solidFill>
                  <a:srgbClr val="5B5A5A"/>
                </a:solidFill>
                <a:latin typeface="+mn-lt"/>
                <a:ea typeface="+mn-ea"/>
                <a:cs typeface="+mn-cs"/>
              </a:defRPr>
            </a:pPr>
            <a:r>
              <a:rPr lang="en-US" sz="1100" b="1">
                <a:solidFill>
                  <a:srgbClr val="5B5A5A"/>
                </a:solidFill>
              </a:rPr>
              <a:t>FEMININE BOYS</a:t>
            </a:r>
          </a:p>
        </c:rich>
      </c:tx>
      <c:layout>
        <c:manualLayout>
          <c:xMode val="edge"/>
          <c:yMode val="edge"/>
          <c:x val="0.31233707886158402"/>
          <c:y val="2.4968962213056702E-2"/>
        </c:manualLayout>
      </c:layout>
      <c:overlay val="0"/>
      <c:spPr>
        <a:noFill/>
        <a:ln>
          <a:noFill/>
        </a:ln>
        <a:effectLst/>
      </c:spPr>
    </c:title>
    <c:autoTitleDeleted val="0"/>
    <c:plotArea>
      <c:layout>
        <c:manualLayout>
          <c:layoutTarget val="inner"/>
          <c:xMode val="edge"/>
          <c:yMode val="edge"/>
          <c:x val="0.196540290114981"/>
          <c:y val="0.195079100176489"/>
          <c:w val="0.629754999486274"/>
          <c:h val="0.53940608064105799"/>
        </c:manualLayout>
      </c:layout>
      <c:pieChart>
        <c:varyColors val="1"/>
        <c:ser>
          <c:idx val="0"/>
          <c:order val="0"/>
          <c:tx>
            <c:strRef>
              <c:f>Sheet1!$B$1</c:f>
              <c:strCache>
                <c:ptCount val="1"/>
                <c:pt idx="0">
                  <c:v>Column1</c:v>
                </c:pt>
              </c:strCache>
            </c:strRef>
          </c:tx>
          <c:spPr>
            <a:ln w="12700">
              <a:solidFill>
                <a:sysClr val="window" lastClr="FFFFFF"/>
              </a:solidFill>
            </a:ln>
          </c:spPr>
          <c:dPt>
            <c:idx val="0"/>
            <c:bubble3D val="0"/>
            <c:spPr>
              <a:solidFill>
                <a:schemeClr val="accent1"/>
              </a:solidFill>
              <a:ln w="12700">
                <a:solidFill>
                  <a:sysClr val="window" lastClr="FFFFFF"/>
                </a:solidFill>
              </a:ln>
              <a:effectLst/>
            </c:spPr>
            <c:extLst>
              <c:ext xmlns:c16="http://schemas.microsoft.com/office/drawing/2014/chart" uri="{C3380CC4-5D6E-409C-BE32-E72D297353CC}">
                <c16:uniqueId val="{00000001-8463-294A-B14D-88A40B66997F}"/>
              </c:ext>
            </c:extLst>
          </c:dPt>
          <c:dPt>
            <c:idx val="1"/>
            <c:bubble3D val="0"/>
            <c:spPr>
              <a:solidFill>
                <a:srgbClr val="00B1EE"/>
              </a:solidFill>
              <a:ln w="12700">
                <a:solidFill>
                  <a:sysClr val="window" lastClr="FFFFFF"/>
                </a:solidFill>
              </a:ln>
              <a:effectLst/>
            </c:spPr>
            <c:extLst>
              <c:ext xmlns:c16="http://schemas.microsoft.com/office/drawing/2014/chart" uri="{C3380CC4-5D6E-409C-BE32-E72D297353CC}">
                <c16:uniqueId val="{00000003-8463-294A-B14D-88A40B66997F}"/>
              </c:ext>
            </c:extLst>
          </c:dPt>
          <c:dPt>
            <c:idx val="2"/>
            <c:bubble3D val="0"/>
            <c:spPr>
              <a:solidFill>
                <a:srgbClr val="002F53"/>
              </a:solidFill>
              <a:ln w="12700">
                <a:solidFill>
                  <a:sysClr val="window" lastClr="FFFFFF"/>
                </a:solidFill>
              </a:ln>
            </c:spPr>
            <c:extLst>
              <c:ext xmlns:c16="http://schemas.microsoft.com/office/drawing/2014/chart" uri="{C3380CC4-5D6E-409C-BE32-E72D297353CC}">
                <c16:uniqueId val="{00000005-8463-294A-B14D-88A40B66997F}"/>
              </c:ext>
            </c:extLst>
          </c:dPt>
          <c:dPt>
            <c:idx val="3"/>
            <c:bubble3D val="0"/>
            <c:spPr>
              <a:solidFill>
                <a:sysClr val="window" lastClr="FFFFFF">
                  <a:lumMod val="75000"/>
                </a:sysClr>
              </a:solidFill>
              <a:ln w="12700">
                <a:solidFill>
                  <a:sysClr val="window" lastClr="FFFFFF"/>
                </a:solidFill>
              </a:ln>
            </c:spPr>
            <c:extLst>
              <c:ext xmlns:c16="http://schemas.microsoft.com/office/drawing/2014/chart" uri="{C3380CC4-5D6E-409C-BE32-E72D297353CC}">
                <c16:uniqueId val="{00000007-8463-294A-B14D-88A40B66997F}"/>
              </c:ext>
            </c:extLst>
          </c:dPt>
          <c:dPt>
            <c:idx val="4"/>
            <c:bubble3D val="0"/>
            <c:spPr>
              <a:solidFill>
                <a:srgbClr val="FFC000"/>
              </a:solidFill>
              <a:ln w="12700">
                <a:solidFill>
                  <a:sysClr val="window" lastClr="FFFFFF"/>
                </a:solidFill>
              </a:ln>
            </c:spPr>
            <c:extLst>
              <c:ext xmlns:c16="http://schemas.microsoft.com/office/drawing/2014/chart" uri="{C3380CC4-5D6E-409C-BE32-E72D297353CC}">
                <c16:uniqueId val="{00000009-8463-294A-B14D-88A40B66997F}"/>
              </c:ext>
            </c:extLst>
          </c:dPt>
          <c:dPt>
            <c:idx val="5"/>
            <c:bubble3D val="0"/>
            <c:spPr>
              <a:solidFill>
                <a:srgbClr val="ED7D31"/>
              </a:solidFill>
              <a:ln w="12700">
                <a:solidFill>
                  <a:sysClr val="window" lastClr="FFFFFF"/>
                </a:solidFill>
              </a:ln>
            </c:spPr>
            <c:extLst>
              <c:ext xmlns:c16="http://schemas.microsoft.com/office/drawing/2014/chart" uri="{C3380CC4-5D6E-409C-BE32-E72D297353CC}">
                <c16:uniqueId val="{0000000B-8463-294A-B14D-88A40B66997F}"/>
              </c:ext>
            </c:extLst>
          </c:dPt>
          <c:dLbls>
            <c:dLbl>
              <c:idx val="0"/>
              <c:delete val="1"/>
              <c:extLst>
                <c:ext xmlns:c15="http://schemas.microsoft.com/office/drawing/2012/chart" uri="{CE6537A1-D6FC-4f65-9D91-7224C49458BB}"/>
                <c:ext xmlns:c16="http://schemas.microsoft.com/office/drawing/2014/chart" uri="{C3380CC4-5D6E-409C-BE32-E72D297353CC}">
                  <c16:uniqueId val="{00000001-8463-294A-B14D-88A40B66997F}"/>
                </c:ext>
              </c:extLst>
            </c:dLbl>
            <c:dLbl>
              <c:idx val="1"/>
              <c:layout>
                <c:manualLayout>
                  <c:x val="-0.15708988333753654"/>
                  <c:y val="-0.1703696480664375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463-294A-B14D-88A40B66997F}"/>
                </c:ext>
              </c:extLst>
            </c:dLbl>
            <c:dLbl>
              <c:idx val="2"/>
              <c:layout>
                <c:manualLayout>
                  <c:x val="0.11438563062179496"/>
                  <c:y val="0.1290899783037956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463-294A-B14D-88A40B66997F}"/>
                </c:ext>
              </c:extLst>
            </c:dLbl>
            <c:spPr>
              <a:noFill/>
              <a:ln>
                <a:noFill/>
              </a:ln>
              <a:effectLst/>
            </c:spPr>
            <c:txPr>
              <a:bodyPr wrap="square" lIns="38100" tIns="19050" rIns="38100" bIns="19050" anchor="ctr">
                <a:spAutoFit/>
              </a:bodyPr>
              <a:lstStyle/>
              <a:p>
                <a:pPr>
                  <a:defRPr sz="1100" b="1">
                    <a:solidFill>
                      <a:schemeClr val="bg1"/>
                    </a:solidFill>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 </c:v>
                </c:pt>
                <c:pt idx="1">
                  <c:v>Accepted</c:v>
                </c:pt>
                <c:pt idx="2">
                  <c:v>Refused</c:v>
                </c:pt>
              </c:strCache>
            </c:strRef>
          </c:cat>
          <c:val>
            <c:numRef>
              <c:f>Sheet1!$B$2:$B$4</c:f>
              <c:numCache>
                <c:formatCode>0.00%</c:formatCode>
                <c:ptCount val="3"/>
                <c:pt idx="0" formatCode="General">
                  <c:v>0</c:v>
                </c:pt>
                <c:pt idx="1">
                  <c:v>0.85</c:v>
                </c:pt>
                <c:pt idx="2">
                  <c:v>0.15</c:v>
                </c:pt>
              </c:numCache>
            </c:numRef>
          </c:val>
          <c:extLst>
            <c:ext xmlns:c16="http://schemas.microsoft.com/office/drawing/2014/chart" uri="{C3380CC4-5D6E-409C-BE32-E72D297353CC}">
              <c16:uniqueId val="{0000000C-8463-294A-B14D-88A40B66997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0"/>
        <c:delete val="1"/>
      </c:legendEntry>
      <c:layout>
        <c:manualLayout>
          <c:xMode val="edge"/>
          <c:yMode val="edge"/>
          <c:x val="0"/>
          <c:y val="0.76588303420296999"/>
          <c:w val="0.99881413399837504"/>
          <c:h val="0.15481863722648201"/>
        </c:manualLayout>
      </c:layout>
      <c:overlay val="0"/>
      <c:txPr>
        <a:bodyPr/>
        <a:lstStyle/>
        <a:p>
          <a:pPr>
            <a:defRPr sz="900"/>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rgbClr val="5B5A5A"/>
                </a:solidFill>
                <a:latin typeface="+mn-lt"/>
                <a:ea typeface="+mn-ea"/>
                <a:cs typeface="+mn-cs"/>
              </a:defRPr>
            </a:pPr>
            <a:r>
              <a:rPr lang="en-US" sz="1100" b="1">
                <a:solidFill>
                  <a:srgbClr val="5B5A5A"/>
                </a:solidFill>
              </a:rPr>
              <a:t>NON-FEMININE BOYS</a:t>
            </a:r>
          </a:p>
        </c:rich>
      </c:tx>
      <c:layout>
        <c:manualLayout>
          <c:xMode val="edge"/>
          <c:yMode val="edge"/>
          <c:x val="0.25574455766558601"/>
          <c:y val="3.4218853484435902E-2"/>
        </c:manualLayout>
      </c:layout>
      <c:overlay val="0"/>
      <c:spPr>
        <a:noFill/>
        <a:ln>
          <a:noFill/>
        </a:ln>
        <a:effectLst/>
      </c:spPr>
    </c:title>
    <c:autoTitleDeleted val="0"/>
    <c:plotArea>
      <c:layout>
        <c:manualLayout>
          <c:layoutTarget val="inner"/>
          <c:xMode val="edge"/>
          <c:yMode val="edge"/>
          <c:x val="0.16885556584838701"/>
          <c:y val="0.20269645324291699"/>
          <c:w val="0.63500617569862605"/>
          <c:h val="0.52798557099050203"/>
        </c:manualLayout>
      </c:layout>
      <c:pieChart>
        <c:varyColors val="1"/>
        <c:ser>
          <c:idx val="0"/>
          <c:order val="0"/>
          <c:tx>
            <c:strRef>
              <c:f>Sheet1!$B$1</c:f>
              <c:strCache>
                <c:ptCount val="1"/>
                <c:pt idx="0">
                  <c:v>Non-feminine</c:v>
                </c:pt>
              </c:strCache>
            </c:strRef>
          </c:tx>
          <c:spPr>
            <a:solidFill>
              <a:srgbClr val="ED7D31"/>
            </a:solidFill>
            <a:ln w="12700">
              <a:solidFill>
                <a:sysClr val="window" lastClr="FFFFFF"/>
              </a:solidFill>
            </a:ln>
          </c:spPr>
          <c:dPt>
            <c:idx val="0"/>
            <c:bubble3D val="0"/>
            <c:spPr>
              <a:solidFill>
                <a:srgbClr val="00B1EE"/>
              </a:solidFill>
              <a:ln w="12700">
                <a:solidFill>
                  <a:sysClr val="window" lastClr="FFFFFF"/>
                </a:solidFill>
              </a:ln>
              <a:effectLst/>
            </c:spPr>
            <c:extLst>
              <c:ext xmlns:c16="http://schemas.microsoft.com/office/drawing/2014/chart" uri="{C3380CC4-5D6E-409C-BE32-E72D297353CC}">
                <c16:uniqueId val="{00000001-9B94-8944-837B-EA56FAACCC6B}"/>
              </c:ext>
            </c:extLst>
          </c:dPt>
          <c:dPt>
            <c:idx val="1"/>
            <c:bubble3D val="0"/>
            <c:spPr>
              <a:solidFill>
                <a:srgbClr val="002F53"/>
              </a:solidFill>
              <a:ln w="12700">
                <a:solidFill>
                  <a:sysClr val="window" lastClr="FFFFFF"/>
                </a:solidFill>
              </a:ln>
              <a:effectLst/>
            </c:spPr>
            <c:extLst>
              <c:ext xmlns:c16="http://schemas.microsoft.com/office/drawing/2014/chart" uri="{C3380CC4-5D6E-409C-BE32-E72D297353CC}">
                <c16:uniqueId val="{00000003-9B94-8944-837B-EA56FAACCC6B}"/>
              </c:ext>
            </c:extLst>
          </c:dPt>
          <c:dPt>
            <c:idx val="4"/>
            <c:bubble3D val="0"/>
            <c:extLst>
              <c:ext xmlns:c16="http://schemas.microsoft.com/office/drawing/2014/chart" uri="{C3380CC4-5D6E-409C-BE32-E72D297353CC}">
                <c16:uniqueId val="{00000004-9B94-8944-837B-EA56FAACCC6B}"/>
              </c:ext>
            </c:extLst>
          </c:dPt>
          <c:dLbls>
            <c:dLbl>
              <c:idx val="0"/>
              <c:layout>
                <c:manualLayout>
                  <c:x val="-5.4439555349698937E-2"/>
                  <c:y val="-0.1920518615728590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B94-8944-837B-EA56FAACCC6B}"/>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03-9B94-8944-837B-EA56FAACCC6B}"/>
                </c:ext>
              </c:extLst>
            </c:dLbl>
            <c:dLbl>
              <c:idx val="3"/>
              <c:delete val="1"/>
              <c:extLst>
                <c:ext xmlns:c15="http://schemas.microsoft.com/office/drawing/2012/chart" uri="{CE6537A1-D6FC-4f65-9D91-7224C49458BB}"/>
                <c:ext xmlns:c16="http://schemas.microsoft.com/office/drawing/2014/chart" uri="{C3380CC4-5D6E-409C-BE32-E72D297353CC}">
                  <c16:uniqueId val="{00000005-9B94-8944-837B-EA56FAACCC6B}"/>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Accepted </c:v>
                </c:pt>
                <c:pt idx="1">
                  <c:v>Refused</c:v>
                </c:pt>
              </c:strCache>
            </c:strRef>
          </c:cat>
          <c:val>
            <c:numRef>
              <c:f>Sheet1!$B$2:$B$3</c:f>
              <c:numCache>
                <c:formatCode>0.00%</c:formatCode>
                <c:ptCount val="2"/>
                <c:pt idx="0">
                  <c:v>0.95</c:v>
                </c:pt>
                <c:pt idx="1">
                  <c:v>0.05</c:v>
                </c:pt>
              </c:numCache>
            </c:numRef>
          </c:val>
          <c:extLst>
            <c:ext xmlns:c16="http://schemas.microsoft.com/office/drawing/2014/chart" uri="{C3380CC4-5D6E-409C-BE32-E72D297353CC}">
              <c16:uniqueId val="{00000006-9B94-8944-837B-EA56FAACCC6B}"/>
            </c:ext>
          </c:extLst>
        </c:ser>
        <c:dLbls>
          <c:dLblPos val="ctr"/>
          <c:showLegendKey val="0"/>
          <c:showVal val="0"/>
          <c:showCatName val="0"/>
          <c:showSerName val="0"/>
          <c:showPercent val="1"/>
          <c:showBubbleSize val="0"/>
          <c:showLeaderLines val="1"/>
        </c:dLbls>
        <c:firstSliceAng val="0"/>
      </c:pieChart>
      <c:spPr>
        <a:noFill/>
        <a:ln w="25400">
          <a:noFill/>
        </a:ln>
        <a:effectLst/>
      </c:spPr>
    </c:plotArea>
    <c:legend>
      <c:legendPos val="b"/>
      <c:layout>
        <c:manualLayout>
          <c:xMode val="edge"/>
          <c:yMode val="edge"/>
          <c:x val="1.25633009109155E-2"/>
          <c:y val="0.76642955531341905"/>
          <c:w val="0.97977497298131899"/>
          <c:h val="0.1561268614269170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r">
              <a:defRPr sz="1100" b="0" i="0" u="none" strike="noStrike" kern="1200" spc="0" baseline="0">
                <a:solidFill>
                  <a:srgbClr val="5B5A5A"/>
                </a:solidFill>
                <a:latin typeface="+mn-lt"/>
                <a:ea typeface="+mn-ea"/>
                <a:cs typeface="+mn-cs"/>
              </a:defRPr>
            </a:pPr>
            <a:r>
              <a:rPr lang="en-US" sz="1100" b="1">
                <a:solidFill>
                  <a:srgbClr val="5B5A5A"/>
                </a:solidFill>
              </a:rPr>
              <a:t>FEMININE BOYS</a:t>
            </a:r>
          </a:p>
        </c:rich>
      </c:tx>
      <c:layout>
        <c:manualLayout>
          <c:xMode val="edge"/>
          <c:yMode val="edge"/>
          <c:x val="0.31233707886158402"/>
          <c:y val="2.4968962213056702E-2"/>
        </c:manualLayout>
      </c:layout>
      <c:overlay val="0"/>
      <c:spPr>
        <a:noFill/>
        <a:ln>
          <a:noFill/>
        </a:ln>
        <a:effectLst/>
      </c:spPr>
    </c:title>
    <c:autoTitleDeleted val="0"/>
    <c:plotArea>
      <c:layout>
        <c:manualLayout>
          <c:layoutTarget val="inner"/>
          <c:xMode val="edge"/>
          <c:yMode val="edge"/>
          <c:x val="0.17045062926690899"/>
          <c:y val="0.158500954426151"/>
          <c:w val="0.58541089566020299"/>
          <c:h val="0.57544815066939004"/>
        </c:manualLayout>
      </c:layout>
      <c:pieChart>
        <c:varyColors val="1"/>
        <c:ser>
          <c:idx val="0"/>
          <c:order val="0"/>
          <c:tx>
            <c:strRef>
              <c:f>Sheet1!$B$1</c:f>
              <c:strCache>
                <c:ptCount val="1"/>
                <c:pt idx="0">
                  <c:v>Column1</c:v>
                </c:pt>
              </c:strCache>
            </c:strRef>
          </c:tx>
          <c:spPr>
            <a:ln w="12700">
              <a:solidFill>
                <a:sysClr val="window" lastClr="FFFFFF"/>
              </a:solidFill>
            </a:ln>
          </c:spPr>
          <c:dPt>
            <c:idx val="0"/>
            <c:bubble3D val="0"/>
            <c:spPr>
              <a:solidFill>
                <a:schemeClr val="accent1"/>
              </a:solidFill>
              <a:ln w="12700">
                <a:solidFill>
                  <a:sysClr val="window" lastClr="FFFFFF"/>
                </a:solidFill>
              </a:ln>
              <a:effectLst/>
            </c:spPr>
            <c:extLst>
              <c:ext xmlns:c16="http://schemas.microsoft.com/office/drawing/2014/chart" uri="{C3380CC4-5D6E-409C-BE32-E72D297353CC}">
                <c16:uniqueId val="{00000001-7955-A946-A508-B2F1A4F62761}"/>
              </c:ext>
            </c:extLst>
          </c:dPt>
          <c:dPt>
            <c:idx val="1"/>
            <c:bubble3D val="0"/>
            <c:spPr>
              <a:solidFill>
                <a:srgbClr val="00B1EE"/>
              </a:solidFill>
              <a:ln w="12700">
                <a:solidFill>
                  <a:sysClr val="window" lastClr="FFFFFF"/>
                </a:solidFill>
              </a:ln>
              <a:effectLst/>
            </c:spPr>
            <c:extLst>
              <c:ext xmlns:c16="http://schemas.microsoft.com/office/drawing/2014/chart" uri="{C3380CC4-5D6E-409C-BE32-E72D297353CC}">
                <c16:uniqueId val="{00000003-7955-A946-A508-B2F1A4F62761}"/>
              </c:ext>
            </c:extLst>
          </c:dPt>
          <c:dPt>
            <c:idx val="2"/>
            <c:bubble3D val="0"/>
            <c:spPr>
              <a:solidFill>
                <a:srgbClr val="002F53"/>
              </a:solidFill>
              <a:ln w="12700">
                <a:solidFill>
                  <a:sysClr val="window" lastClr="FFFFFF"/>
                </a:solidFill>
              </a:ln>
            </c:spPr>
            <c:extLst>
              <c:ext xmlns:c16="http://schemas.microsoft.com/office/drawing/2014/chart" uri="{C3380CC4-5D6E-409C-BE32-E72D297353CC}">
                <c16:uniqueId val="{00000005-7955-A946-A508-B2F1A4F62761}"/>
              </c:ext>
            </c:extLst>
          </c:dPt>
          <c:dPt>
            <c:idx val="3"/>
            <c:bubble3D val="0"/>
            <c:spPr>
              <a:solidFill>
                <a:sysClr val="window" lastClr="FFFFFF">
                  <a:lumMod val="75000"/>
                </a:sysClr>
              </a:solidFill>
              <a:ln w="12700">
                <a:solidFill>
                  <a:sysClr val="window" lastClr="FFFFFF"/>
                </a:solidFill>
              </a:ln>
            </c:spPr>
            <c:extLst>
              <c:ext xmlns:c16="http://schemas.microsoft.com/office/drawing/2014/chart" uri="{C3380CC4-5D6E-409C-BE32-E72D297353CC}">
                <c16:uniqueId val="{00000007-7955-A946-A508-B2F1A4F62761}"/>
              </c:ext>
            </c:extLst>
          </c:dPt>
          <c:dPt>
            <c:idx val="4"/>
            <c:bubble3D val="0"/>
            <c:spPr>
              <a:solidFill>
                <a:srgbClr val="FFC000"/>
              </a:solidFill>
              <a:ln w="12700">
                <a:solidFill>
                  <a:sysClr val="window" lastClr="FFFFFF"/>
                </a:solidFill>
              </a:ln>
            </c:spPr>
            <c:extLst>
              <c:ext xmlns:c16="http://schemas.microsoft.com/office/drawing/2014/chart" uri="{C3380CC4-5D6E-409C-BE32-E72D297353CC}">
                <c16:uniqueId val="{00000009-7955-A946-A508-B2F1A4F62761}"/>
              </c:ext>
            </c:extLst>
          </c:dPt>
          <c:dPt>
            <c:idx val="5"/>
            <c:bubble3D val="0"/>
            <c:spPr>
              <a:solidFill>
                <a:srgbClr val="ED7D31"/>
              </a:solidFill>
              <a:ln w="12700">
                <a:solidFill>
                  <a:sysClr val="window" lastClr="FFFFFF"/>
                </a:solidFill>
              </a:ln>
            </c:spPr>
            <c:extLst>
              <c:ext xmlns:c16="http://schemas.microsoft.com/office/drawing/2014/chart" uri="{C3380CC4-5D6E-409C-BE32-E72D297353CC}">
                <c16:uniqueId val="{0000000B-7955-A946-A508-B2F1A4F62761}"/>
              </c:ext>
            </c:extLst>
          </c:dPt>
          <c:dLbls>
            <c:dLbl>
              <c:idx val="0"/>
              <c:delete val="1"/>
              <c:extLst>
                <c:ext xmlns:c15="http://schemas.microsoft.com/office/drawing/2012/chart" uri="{CE6537A1-D6FC-4f65-9D91-7224C49458BB}"/>
                <c:ext xmlns:c16="http://schemas.microsoft.com/office/drawing/2014/chart" uri="{C3380CC4-5D6E-409C-BE32-E72D297353CC}">
                  <c16:uniqueId val="{00000001-7955-A946-A508-B2F1A4F62761}"/>
                </c:ext>
              </c:extLst>
            </c:dLbl>
            <c:dLbl>
              <c:idx val="1"/>
              <c:layout>
                <c:manualLayout>
                  <c:x val="-0.17743064720286525"/>
                  <c:y val="8.772348309402501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955-A946-A508-B2F1A4F62761}"/>
                </c:ext>
              </c:extLst>
            </c:dLbl>
            <c:dLbl>
              <c:idx val="2"/>
              <c:layout>
                <c:manualLayout>
                  <c:x val="0.2018984720132396"/>
                  <c:y val="-0.1073313262312799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955-A946-A508-B2F1A4F62761}"/>
                </c:ext>
              </c:extLst>
            </c:dLbl>
            <c:spPr>
              <a:noFill/>
              <a:ln>
                <a:noFill/>
              </a:ln>
              <a:effectLst/>
            </c:spPr>
            <c:txPr>
              <a:bodyPr wrap="square" lIns="38100" tIns="19050" rIns="38100" bIns="19050" anchor="ctr">
                <a:spAutoFit/>
              </a:bodyPr>
              <a:lstStyle/>
              <a:p>
                <a:pPr>
                  <a:defRPr b="1">
                    <a:solidFill>
                      <a:schemeClr val="bg1"/>
                    </a:solidFill>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 </c:v>
                </c:pt>
                <c:pt idx="1">
                  <c:v>Accepted without hesitation</c:v>
                </c:pt>
                <c:pt idx="2">
                  <c:v>Accepted with hesitation</c:v>
                </c:pt>
              </c:strCache>
            </c:strRef>
          </c:cat>
          <c:val>
            <c:numRef>
              <c:f>Sheet1!$B$2:$B$4</c:f>
              <c:numCache>
                <c:formatCode>0.00%</c:formatCode>
                <c:ptCount val="3"/>
                <c:pt idx="0" formatCode="General">
                  <c:v>0</c:v>
                </c:pt>
                <c:pt idx="1">
                  <c:v>0.35</c:v>
                </c:pt>
                <c:pt idx="2">
                  <c:v>0.65</c:v>
                </c:pt>
              </c:numCache>
            </c:numRef>
          </c:val>
          <c:extLst>
            <c:ext xmlns:c16="http://schemas.microsoft.com/office/drawing/2014/chart" uri="{C3380CC4-5D6E-409C-BE32-E72D297353CC}">
              <c16:uniqueId val="{0000000C-7955-A946-A508-B2F1A4F6276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0"/>
        <c:delete val="1"/>
      </c:legendEntry>
      <c:layout>
        <c:manualLayout>
          <c:xMode val="edge"/>
          <c:yMode val="edge"/>
          <c:x val="0"/>
          <c:y val="0.83110159024239616"/>
          <c:w val="0.99881413399837504"/>
          <c:h val="0.16889840975760384"/>
        </c:manualLayout>
      </c:layout>
      <c:overlay val="0"/>
      <c:txPr>
        <a:bodyPr/>
        <a:lstStyle/>
        <a:p>
          <a:pPr>
            <a:defRPr sz="900"/>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23</TotalTime>
  <Pages>32</Pages>
  <Words>9025</Words>
  <Characters>51447</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Chien-yu Liu</dc:creator>
  <cp:keywords/>
  <dc:description/>
  <cp:lastModifiedBy>Nenad Milic</cp:lastModifiedBy>
  <cp:revision>17</cp:revision>
  <cp:lastPrinted>2018-05-13T14:11:00Z</cp:lastPrinted>
  <dcterms:created xsi:type="dcterms:W3CDTF">2018-05-13T13:24:00Z</dcterms:created>
  <dcterms:modified xsi:type="dcterms:W3CDTF">2018-05-13T15:17:00Z</dcterms:modified>
</cp:coreProperties>
</file>