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14" w:rsidRPr="00B960AC" w:rsidRDefault="00687BC4">
      <w:pPr>
        <w:rPr>
          <w:rFonts w:ascii="Baskerville Old Face" w:hAnsi="Baskerville Old Face" w:cs="Arial"/>
          <w:sz w:val="20"/>
        </w:rPr>
      </w:pPr>
      <w:bookmarkStart w:id="0" w:name="_GoBack"/>
      <w:bookmarkEnd w:id="0"/>
      <w:r>
        <w:rPr>
          <w:rFonts w:ascii="Baskerville Old Face" w:hAnsi="Baskerville Old Face" w:cs="Arial"/>
          <w:noProof/>
          <w:sz w:val="20"/>
        </w:rPr>
        <mc:AlternateContent>
          <mc:Choice Requires="wps">
            <w:drawing>
              <wp:anchor distT="0" distB="0" distL="114300" distR="114300" simplePos="0" relativeHeight="251671040" behindDoc="0" locked="0" layoutInCell="1" allowOverlap="1">
                <wp:simplePos x="0" y="0"/>
                <wp:positionH relativeFrom="column">
                  <wp:posOffset>4800600</wp:posOffset>
                </wp:positionH>
                <wp:positionV relativeFrom="paragraph">
                  <wp:posOffset>-866775</wp:posOffset>
                </wp:positionV>
                <wp:extent cx="1238250" cy="371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2382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7BC4" w:rsidRPr="00687BC4" w:rsidRDefault="00687BC4">
                            <w:pPr>
                              <w:rPr>
                                <w:rFonts w:ascii="Arial" w:hAnsi="Arial" w:cs="Arial"/>
                                <w:sz w:val="44"/>
                                <w:szCs w:val="44"/>
                              </w:rPr>
                            </w:pPr>
                            <w:r>
                              <w:rPr>
                                <w:rFonts w:ascii="Arial" w:hAnsi="Arial" w:cs="Arial"/>
                                <w:sz w:val="44"/>
                                <w:szCs w:val="44"/>
                              </w:rPr>
                              <w:t>93642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8pt;margin-top:-68.25pt;width:97.5pt;height:29.2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" fillcolor="white [3201]" stroked="f" strokeweight=".5pt">
                <v:textbox>
                  <w:txbxContent>
                    <w:p w:rsidR="00687BC4" w:rsidRPr="00687BC4" w:rsidRDefault="00687BC4">
                      <w:pPr>
                        <w:rPr>
                          <w:rFonts w:ascii="Arial" w:hAnsi="Arial" w:cs="Arial"/>
                          <w:sz w:val="44"/>
                          <w:szCs w:val="44"/>
                        </w:rPr>
                      </w:pPr>
                      <w:r>
                        <w:rPr>
                          <w:rFonts w:ascii="Arial" w:hAnsi="Arial" w:cs="Arial"/>
                          <w:sz w:val="44"/>
                          <w:szCs w:val="44"/>
                        </w:rPr>
                        <w:t>93642</w:t>
                      </w:r>
                    </w:p>
                  </w:txbxContent>
                </v:textbox>
              </v:shape>
            </w:pict>
          </mc:Fallback>
        </mc:AlternateContent>
      </w:r>
      <w:r w:rsidR="008F2379" w:rsidRPr="00B960AC">
        <w:rPr>
          <w:rFonts w:ascii="Baskerville Old Face" w:hAnsi="Baskerville Old Face" w:cs="Arial"/>
          <w:noProof/>
          <w:sz w:val="20"/>
        </w:rPr>
        <w:drawing>
          <wp:anchor distT="0" distB="0" distL="114300" distR="114300" simplePos="0" relativeHeight="251661824" behindDoc="1" locked="0" layoutInCell="1" allowOverlap="1">
            <wp:simplePos x="0" y="0"/>
            <wp:positionH relativeFrom="page">
              <wp:posOffset>681355</wp:posOffset>
            </wp:positionH>
            <wp:positionV relativeFrom="page">
              <wp:posOffset>689610</wp:posOffset>
            </wp:positionV>
            <wp:extent cx="6400800" cy="1060450"/>
            <wp:effectExtent l="0" t="0" r="0" b="635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t="1097" b="153"/>
                    <a:stretch>
                      <a:fillRect/>
                    </a:stretch>
                  </pic:blipFill>
                  <pic:spPr bwMode="auto">
                    <a:xfrm>
                      <a:off x="0" y="0"/>
                      <a:ext cx="6400800" cy="1060450"/>
                    </a:xfrm>
                    <a:prstGeom prst="rect">
                      <a:avLst/>
                    </a:prstGeom>
                    <a:noFill/>
                    <a:ln w="12700" cap="flat">
                      <a:noFill/>
                      <a:miter lim="800000"/>
                      <a:headEnd/>
                      <a:tailEnd/>
                    </a:ln>
                  </pic:spPr>
                </pic:pic>
              </a:graphicData>
            </a:graphic>
          </wp:anchor>
        </w:drawing>
      </w:r>
      <w:r w:rsidR="00186B85">
        <w:rPr>
          <w:rFonts w:ascii="Baskerville Old Face" w:hAnsi="Baskerville Old Face" w:cs="Arial"/>
          <w:noProof/>
          <w:sz w:val="20"/>
        </w:rPr>
        <mc:AlternateContent>
          <mc:Choice Requires="wps">
            <w:drawing>
              <wp:anchor distT="0" distB="0" distL="114300" distR="114300" simplePos="0" relativeHeight="251670016" behindDoc="0" locked="0" layoutInCell="1" allowOverlap="1">
                <wp:simplePos x="0" y="0"/>
                <wp:positionH relativeFrom="page">
                  <wp:posOffset>1609725</wp:posOffset>
                </wp:positionH>
                <wp:positionV relativeFrom="page">
                  <wp:posOffset>981075</wp:posOffset>
                </wp:positionV>
                <wp:extent cx="4403725" cy="476250"/>
                <wp:effectExtent l="19050" t="19050" r="34925" b="571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3725" cy="476250"/>
                        </a:xfrm>
                        <a:prstGeom prst="rect">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C93604" w:rsidRPr="00D6305C" w:rsidRDefault="00C93604">
                            <w:pPr>
                              <w:jc w:val="center"/>
                              <w:rPr>
                                <w:rFonts w:ascii="Arial" w:eastAsia="Times New Roman" w:hAnsi="Arial" w:cs="Arial"/>
                                <w:color w:val="FFFFFF" w:themeColor="background1"/>
                                <w:sz w:val="18"/>
                              </w:rPr>
                            </w:pPr>
                            <w:r w:rsidRPr="00D6305C">
                              <w:rPr>
                                <w:rFonts w:ascii="Arial" w:hAnsi="Arial" w:cs="Arial"/>
                                <w:color w:val="FFFFFF" w:themeColor="background1"/>
                                <w:sz w:val="48"/>
                              </w:rPr>
                              <w:t>Africa Trade Policy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margin-left:126.75pt;margin-top:77.25pt;width:346.75pt;height:3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" fillcolor="black" strokecolor="#f2f2f2" strokeweight="3pt">
                <v:stroke joinstyle="round"/>
                <v:shadow on="t" color="#7f7f7f" opacity=".5" offset="1pt"/>
                <v:path arrowok="t"/>
                <v:textbox inset="3pt,3pt,3pt,3pt">
                  <w:txbxContent>
                    <w:p w:rsidR="00C93604" w:rsidRPr="00D6305C" w:rsidRDefault="00C93604">
                      <w:pPr>
                        <w:jc w:val="center"/>
                        <w:rPr>
                          <w:rFonts w:ascii="Arial" w:eastAsia="Times New Roman" w:hAnsi="Arial" w:cs="Arial"/>
                          <w:color w:val="FFFFFF" w:themeColor="background1"/>
                          <w:sz w:val="18"/>
                        </w:rPr>
                      </w:pPr>
                      <w:r w:rsidRPr="00D6305C">
                        <w:rPr>
                          <w:rFonts w:ascii="Arial" w:hAnsi="Arial" w:cs="Arial"/>
                          <w:color w:val="FFFFFF" w:themeColor="background1"/>
                          <w:sz w:val="48"/>
                        </w:rPr>
                        <w:t>Africa Trade Policy Notes</w:t>
                      </w:r>
                    </w:p>
                  </w:txbxContent>
                </v:textbox>
                <w10:wrap anchorx="page" anchory="page"/>
              </v:rect>
            </w:pict>
          </mc:Fallback>
        </mc:AlternateContent>
      </w:r>
      <w:r w:rsidR="00186B85">
        <w:rPr>
          <w:rFonts w:ascii="Baskerville Old Face" w:hAnsi="Baskerville Old Face" w:cs="Arial"/>
          <w:noProof/>
          <w:sz w:val="20"/>
        </w:rPr>
        <mc:AlternateContent>
          <mc:Choice Requires="wps">
            <w:drawing>
              <wp:anchor distT="0" distB="0" distL="114300" distR="114300" simplePos="0" relativeHeight="251668992" behindDoc="1" locked="0" layoutInCell="1" allowOverlap="1">
                <wp:simplePos x="0" y="0"/>
                <wp:positionH relativeFrom="page">
                  <wp:posOffset>685800</wp:posOffset>
                </wp:positionH>
                <wp:positionV relativeFrom="page">
                  <wp:posOffset>457200</wp:posOffset>
                </wp:positionV>
                <wp:extent cx="6413500" cy="228600"/>
                <wp:effectExtent l="0" t="0" r="635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00" cy="228600"/>
                        </a:xfrm>
                        <a:prstGeom prst="rect">
                          <a:avLst/>
                        </a:pr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C93604" w:rsidRDefault="00C93604">
                            <w:pPr>
                              <w:pStyle w:val="Header1"/>
                              <w:rPr>
                                <w:rFonts w:ascii="Times New Roman" w:eastAsia="Times New Roman" w:hAnsi="Times New Roman"/>
                                <w:caps w:val="0"/>
                                <w:color w:val="auto"/>
                                <w:sz w:val="20"/>
                              </w:rPr>
                            </w:pPr>
                            <w:r>
                              <w:t xml:space="preserve">PoLICY NOTE No. </w:t>
                            </w:r>
                            <w:r w:rsidR="007055AE">
                              <w:t>43</w:t>
                            </w:r>
                            <w:r>
                              <w:t xml:space="preserve">                                                                                                                                     JANUARY 2015 2014</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54pt;margin-top:36pt;width:505pt;height:1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" fillcolor="black" stroked="f" strokeweight="1pt">
                <v:stroke joinstyle="round"/>
                <v:path arrowok="t"/>
                <v:textbox inset="4pt,4pt,4pt,4pt">
                  <w:txbxContent>
                    <w:p w:rsidR="00C93604" w:rsidRDefault="00C93604">
                      <w:pPr>
                        <w:pStyle w:val="Header1"/>
                        <w:rPr>
                          <w:rFonts w:ascii="Times New Roman" w:eastAsia="Times New Roman" w:hAnsi="Times New Roman"/>
                          <w:caps w:val="0"/>
                          <w:color w:val="auto"/>
                          <w:sz w:val="20"/>
                        </w:rPr>
                      </w:pPr>
                      <w:r>
                        <w:t xml:space="preserve">PoLICY NOTE No. </w:t>
                      </w:r>
                      <w:r w:rsidR="007055AE">
                        <w:t>43</w:t>
                      </w:r>
                      <w:r>
                        <w:t xml:space="preserve">                                                                                                                                     JANUARY 2015 2014</w:t>
                      </w:r>
                    </w:p>
                  </w:txbxContent>
                </v:textbox>
                <w10:wrap anchorx="page" anchory="page"/>
              </v:rect>
            </w:pict>
          </mc:Fallback>
        </mc:AlternateContent>
      </w:r>
    </w:p>
    <w:p w:rsidR="00E11814" w:rsidRPr="00B960AC" w:rsidRDefault="00E11814">
      <w:pPr>
        <w:rPr>
          <w:rFonts w:ascii="Baskerville Old Face" w:hAnsi="Baskerville Old Face" w:cs="Arial"/>
          <w:sz w:val="20"/>
        </w:rPr>
      </w:pPr>
    </w:p>
    <w:p w:rsidR="00E11814" w:rsidRPr="00B960AC" w:rsidRDefault="008F2379">
      <w:pPr>
        <w:rPr>
          <w:rFonts w:ascii="Baskerville Old Face" w:hAnsi="Baskerville Old Face" w:cs="Arial"/>
          <w:sz w:val="20"/>
        </w:rPr>
      </w:pPr>
      <w:r w:rsidRPr="00B960AC">
        <w:rPr>
          <w:rFonts w:ascii="Baskerville Old Face" w:hAnsi="Baskerville Old Face" w:cs="Arial"/>
          <w:noProof/>
          <w:sz w:val="20"/>
        </w:rPr>
        <w:drawing>
          <wp:anchor distT="152400" distB="152400" distL="54610" distR="54610" simplePos="0" relativeHeight="251658752" behindDoc="0" locked="0" layoutInCell="1" allowOverlap="1">
            <wp:simplePos x="0" y="0"/>
            <wp:positionH relativeFrom="page">
              <wp:posOffset>685800</wp:posOffset>
            </wp:positionH>
            <wp:positionV relativeFrom="page">
              <wp:posOffset>1752600</wp:posOffset>
            </wp:positionV>
            <wp:extent cx="1962150" cy="971550"/>
            <wp:effectExtent l="0" t="0" r="0" b="0"/>
            <wp:wrapThrough wrapText="bothSides">
              <wp:wrapPolygon edited="0">
                <wp:start x="0" y="0"/>
                <wp:lineTo x="0" y="21176"/>
                <wp:lineTo x="21390" y="21176"/>
                <wp:lineTo x="2139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62150" cy="971550"/>
                    </a:xfrm>
                    <a:prstGeom prst="rect">
                      <a:avLst/>
                    </a:prstGeom>
                    <a:noFill/>
                    <a:ln w="12700" cap="flat">
                      <a:noFill/>
                      <a:miter lim="800000"/>
                      <a:headEnd/>
                      <a:tailEnd/>
                    </a:ln>
                  </pic:spPr>
                </pic:pic>
              </a:graphicData>
            </a:graphic>
          </wp:anchor>
        </w:drawing>
      </w:r>
    </w:p>
    <w:p w:rsidR="00E11814" w:rsidRPr="00B960AC" w:rsidRDefault="007A5778" w:rsidP="00C539B5">
      <w:pPr>
        <w:spacing w:before="600"/>
        <w:rPr>
          <w:rFonts w:ascii="Baskerville Old Face" w:hAnsi="Baskerville Old Face" w:cs="Arial"/>
          <w:color w:val="AB0000"/>
          <w:szCs w:val="22"/>
        </w:rPr>
      </w:pPr>
      <w:r w:rsidRPr="00B960AC">
        <w:rPr>
          <w:rFonts w:ascii="Baskerville Old Face" w:hAnsi="Baskerville Old Face" w:cs="Arial"/>
          <w:color w:val="AB0000"/>
          <w:szCs w:val="22"/>
        </w:rPr>
        <w:t xml:space="preserve">Antoine </w:t>
      </w:r>
      <w:proofErr w:type="spellStart"/>
      <w:r w:rsidRPr="00B960AC">
        <w:rPr>
          <w:rFonts w:ascii="Baskerville Old Face" w:hAnsi="Baskerville Old Face" w:cs="Arial"/>
          <w:color w:val="AB0000"/>
          <w:szCs w:val="22"/>
        </w:rPr>
        <w:t>Coste</w:t>
      </w:r>
      <w:proofErr w:type="spellEnd"/>
      <w:r w:rsidRPr="00B960AC">
        <w:rPr>
          <w:rFonts w:ascii="Baskerville Old Face" w:hAnsi="Baskerville Old Face" w:cs="Arial"/>
          <w:color w:val="AB0000"/>
          <w:szCs w:val="22"/>
        </w:rPr>
        <w:t xml:space="preserve"> and Erik von </w:t>
      </w:r>
      <w:proofErr w:type="spellStart"/>
      <w:r w:rsidRPr="00B960AC">
        <w:rPr>
          <w:rFonts w:ascii="Baskerville Old Face" w:hAnsi="Baskerville Old Face" w:cs="Arial"/>
          <w:color w:val="AB0000"/>
          <w:szCs w:val="22"/>
        </w:rPr>
        <w:t>Uexkull</w:t>
      </w:r>
      <w:proofErr w:type="spellEnd"/>
      <w:r w:rsidR="008F2379" w:rsidRPr="00B960AC">
        <w:rPr>
          <w:rStyle w:val="FootnoteReference"/>
          <w:rFonts w:ascii="Baskerville Old Face" w:hAnsi="Baskerville Old Face" w:cs="Arial"/>
          <w:color w:val="AB0000"/>
          <w:szCs w:val="22"/>
        </w:rPr>
        <w:footnoteReference w:customMarkFollows="1" w:id="1"/>
        <w:t>*</w:t>
      </w:r>
      <w:r w:rsidR="00DC7CD2" w:rsidRPr="00B960AC">
        <w:rPr>
          <w:rFonts w:ascii="Baskerville Old Face" w:hAnsi="Baskerville Old Face" w:cs="Arial"/>
          <w:color w:val="AB0000"/>
          <w:szCs w:val="22"/>
        </w:rPr>
        <w:t xml:space="preserve"> </w:t>
      </w:r>
    </w:p>
    <w:p w:rsidR="00DC7CD2" w:rsidRPr="00B960AC" w:rsidRDefault="00186B85" w:rsidP="00C539B5">
      <w:pPr>
        <w:pStyle w:val="Title"/>
        <w:spacing w:before="720" w:after="720"/>
        <w:ind w:firstLine="0"/>
        <w:rPr>
          <w:rFonts w:ascii="Baskerville Old Face" w:hAnsi="Baskerville Old Face" w:cs="Arial"/>
          <w:color w:val="943634" w:themeColor="accent2" w:themeShade="BF"/>
          <w:sz w:val="26"/>
          <w:szCs w:val="26"/>
        </w:rPr>
      </w:pPr>
      <w:r>
        <w:rPr>
          <w:rFonts w:ascii="Baskerville Old Face" w:hAnsi="Baskerville Old Face" w:cs="Arial"/>
          <w:b w:val="0"/>
          <w:noProof/>
          <w:color w:val="943634" w:themeColor="accent2" w:themeShade="BF"/>
          <w:sz w:val="26"/>
          <w:szCs w:val="26"/>
          <w:lang w:bidi="ar-SA"/>
        </w:rPr>
        <mc:AlternateContent>
          <mc:Choice Requires="wps">
            <w:drawing>
              <wp:anchor distT="57150" distB="57150" distL="57150" distR="57150" simplePos="0" relativeHeight="251659776" behindDoc="0" locked="0" layoutInCell="1" allowOverlap="1">
                <wp:simplePos x="0" y="0"/>
                <wp:positionH relativeFrom="page">
                  <wp:posOffset>685800</wp:posOffset>
                </wp:positionH>
                <wp:positionV relativeFrom="page">
                  <wp:posOffset>2724150</wp:posOffset>
                </wp:positionV>
                <wp:extent cx="1962150" cy="6484620"/>
                <wp:effectExtent l="0" t="0" r="0" b="0"/>
                <wp:wrapTight wrapText="bothSides">
                  <wp:wrapPolygon edited="0">
                    <wp:start x="0" y="0"/>
                    <wp:lineTo x="0" y="21511"/>
                    <wp:lineTo x="21390" y="21511"/>
                    <wp:lineTo x="21390" y="0"/>
                    <wp:lineTo x="0" y="0"/>
                  </wp:wrapPolygon>
                </wp:wrapTight>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6484620"/>
                        </a:xfrm>
                        <a:prstGeom prst="rect">
                          <a:avLst/>
                        </a:prstGeom>
                        <a:solidFill>
                          <a:srgbClr val="829EB3"/>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C93604" w:rsidRPr="00B960AC" w:rsidRDefault="00C93604" w:rsidP="007A5778">
                            <w:pPr>
                              <w:pStyle w:val="SidebarHeadline1"/>
                              <w:spacing w:after="120" w:line="240" w:lineRule="auto"/>
                              <w:jc w:val="center"/>
                              <w:rPr>
                                <w:rFonts w:ascii="Baskerville Old Face" w:hAnsi="Baskerville Old Face" w:cs="Arial"/>
                                <w:sz w:val="20"/>
                              </w:rPr>
                            </w:pPr>
                            <w:r w:rsidRPr="00B960AC">
                              <w:rPr>
                                <w:rFonts w:ascii="Baskerville Old Face" w:hAnsi="Baskerville Old Face" w:cs="Arial"/>
                                <w:color w:val="000000" w:themeColor="text1"/>
                                <w:sz w:val="20"/>
                              </w:rPr>
                              <w:t>HIGHLIGHTS</w:t>
                            </w:r>
                          </w:p>
                          <w:p w:rsidR="00C93604" w:rsidRPr="00B960AC" w:rsidRDefault="00C93604" w:rsidP="008F2379">
                            <w:pPr>
                              <w:pStyle w:val="ListParagraph"/>
                              <w:numPr>
                                <w:ilvl w:val="0"/>
                                <w:numId w:val="8"/>
                              </w:numPr>
                              <w:spacing w:after="120"/>
                              <w:ind w:left="0" w:hanging="180"/>
                              <w:jc w:val="both"/>
                              <w:rPr>
                                <w:rFonts w:ascii="Baskerville Old Face" w:hAnsi="Baskerville Old Face" w:cs="Arial"/>
                                <w:color w:val="FEFFFE"/>
                                <w:sz w:val="18"/>
                                <w:szCs w:val="18"/>
                              </w:rPr>
                            </w:pPr>
                            <w:r w:rsidRPr="00B960AC">
                              <w:rPr>
                                <w:rFonts w:ascii="Baskerville Old Face" w:hAnsi="Baskerville Old Face" w:cs="Arial"/>
                                <w:color w:val="FEFFFE"/>
                                <w:sz w:val="18"/>
                                <w:szCs w:val="18"/>
                              </w:rPr>
                              <w:t>After decade-long negotiations, the ECOWAS CET and EPA with the EU recently reached decisive milestones. These major reforms should have significant impacts and offer new opportunities to West Africa, but have so far failed to garner a broad consensus, notably in Nigeria. The lack of objective and easily accessible assessments of their likely effects appears to be partly responsible for this situation.</w:t>
                            </w:r>
                          </w:p>
                          <w:p w:rsidR="00C93604" w:rsidRPr="00B960AC" w:rsidRDefault="00C93604" w:rsidP="008F2379">
                            <w:pPr>
                              <w:pStyle w:val="ListParagraph"/>
                              <w:numPr>
                                <w:ilvl w:val="0"/>
                                <w:numId w:val="8"/>
                              </w:numPr>
                              <w:spacing w:after="120"/>
                              <w:ind w:left="0" w:hanging="180"/>
                              <w:jc w:val="both"/>
                              <w:rPr>
                                <w:rFonts w:ascii="Baskerville Old Face" w:hAnsi="Baskerville Old Face" w:cs="Arial"/>
                                <w:color w:val="FEFFFE"/>
                                <w:sz w:val="18"/>
                                <w:szCs w:val="18"/>
                              </w:rPr>
                            </w:pPr>
                            <w:r w:rsidRPr="00B960AC">
                              <w:rPr>
                                <w:rFonts w:ascii="Baskerville Old Face" w:hAnsi="Baskerville Old Face" w:cs="Arial"/>
                                <w:color w:val="FEFFFE"/>
                                <w:sz w:val="18"/>
                                <w:szCs w:val="18"/>
                              </w:rPr>
                              <w:t xml:space="preserve">Two recent World Bank studies use a simple methodology to assess the potential impact of these reforms on Nigeria. Overall, full implementation of the CET and EPA in Nigeria would result in limited fiscal losses, marginal welfare gains for consumers and higher profits for a majority of manufacturing firms accounting for the majority of jobs in this sector. Almost all firms experiencing negative effects exhibit higher-than-average profitability before the reforms and </w:t>
                            </w:r>
                            <w:r w:rsidR="00692E57" w:rsidRPr="00B960AC">
                              <w:rPr>
                                <w:rFonts w:ascii="Baskerville Old Face" w:hAnsi="Baskerville Old Face" w:cs="Arial"/>
                                <w:color w:val="FEFFFE"/>
                                <w:sz w:val="18"/>
                                <w:szCs w:val="18"/>
                              </w:rPr>
                              <w:t xml:space="preserve">most </w:t>
                            </w:r>
                            <w:r w:rsidRPr="00B960AC">
                              <w:rPr>
                                <w:rFonts w:ascii="Baskerville Old Face" w:hAnsi="Baskerville Old Face" w:cs="Arial"/>
                                <w:color w:val="FEFFFE"/>
                                <w:sz w:val="18"/>
                                <w:szCs w:val="18"/>
                              </w:rPr>
                              <w:t>would remain profitable after them.</w:t>
                            </w:r>
                          </w:p>
                          <w:p w:rsidR="00C93604" w:rsidRPr="00B960AC" w:rsidRDefault="00C93604" w:rsidP="007A5778">
                            <w:pPr>
                              <w:pStyle w:val="ListParagraph"/>
                              <w:numPr>
                                <w:ilvl w:val="0"/>
                                <w:numId w:val="8"/>
                              </w:numPr>
                              <w:ind w:left="0" w:hanging="180"/>
                              <w:jc w:val="both"/>
                              <w:rPr>
                                <w:rFonts w:ascii="Baskerville Old Face" w:hAnsi="Baskerville Old Face" w:cs="Arial"/>
                                <w:color w:val="FEFFFE"/>
                                <w:sz w:val="18"/>
                                <w:szCs w:val="18"/>
                              </w:rPr>
                            </w:pPr>
                            <w:r w:rsidRPr="00B960AC">
                              <w:rPr>
                                <w:rFonts w:ascii="Baskerville Old Face" w:hAnsi="Baskerville Old Face" w:cs="Arial"/>
                                <w:color w:val="FEFFFE"/>
                                <w:sz w:val="18"/>
                                <w:szCs w:val="18"/>
                              </w:rPr>
                              <w:t>The predicted magnitude of both the CET and EPA is small compared to gains that could be achieved by tackling supply-side constraints faced by Nigerian firms. Combining trade policy reforms with an ambitious competitiveness agenda that addresses the most binding constraints and promotes regional trade appears as the best way to maximize the benefits and minimize the potential costs of these reforms.</w:t>
                            </w:r>
                          </w:p>
                          <w:p w:rsidR="00C93604" w:rsidRPr="007A5778" w:rsidRDefault="00C93604" w:rsidP="00CA1F3E">
                            <w:pPr>
                              <w:pStyle w:val="SidebarBody"/>
                              <w:jc w:val="both"/>
                              <w:rPr>
                                <w:rFonts w:ascii="Arial" w:eastAsia="Times New Roman" w:hAnsi="Arial" w:cs="Arial"/>
                                <w:color w:val="auto"/>
                                <w:sz w:val="18"/>
                              </w:rPr>
                            </w:pP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54pt;margin-top:214.5pt;width:154.5pt;height:510.6pt;z-index:25165977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" fillcolor="#829eb3" stroked="f" strokeweight="1pt">
                <v:stroke joinstyle="round"/>
                <v:path arrowok="t"/>
                <v:textbox inset="10pt,10pt,10pt,10pt">
                  <w:txbxContent>
                    <w:p w:rsidR="00C93604" w:rsidRPr="00B960AC" w:rsidRDefault="00C93604" w:rsidP="007A5778">
                      <w:pPr>
                        <w:pStyle w:val="SidebarHeadline1"/>
                        <w:spacing w:after="120" w:line="240" w:lineRule="auto"/>
                        <w:jc w:val="center"/>
                        <w:rPr>
                          <w:rFonts w:ascii="Baskerville Old Face" w:hAnsi="Baskerville Old Face" w:cs="Arial"/>
                          <w:sz w:val="20"/>
                        </w:rPr>
                      </w:pPr>
                      <w:r w:rsidRPr="00B960AC">
                        <w:rPr>
                          <w:rFonts w:ascii="Baskerville Old Face" w:hAnsi="Baskerville Old Face" w:cs="Arial"/>
                          <w:color w:val="000000" w:themeColor="text1"/>
                          <w:sz w:val="20"/>
                        </w:rPr>
                        <w:t>HIGHLIGHTS</w:t>
                      </w:r>
                    </w:p>
                    <w:p w:rsidR="00C93604" w:rsidRPr="00B960AC" w:rsidRDefault="00C93604" w:rsidP="008F2379">
                      <w:pPr>
                        <w:pStyle w:val="ListParagraph"/>
                        <w:numPr>
                          <w:ilvl w:val="0"/>
                          <w:numId w:val="8"/>
                        </w:numPr>
                        <w:spacing w:after="120"/>
                        <w:ind w:left="0" w:hanging="180"/>
                        <w:jc w:val="both"/>
                        <w:rPr>
                          <w:rFonts w:ascii="Baskerville Old Face" w:hAnsi="Baskerville Old Face" w:cs="Arial"/>
                          <w:color w:val="FEFFFE"/>
                          <w:sz w:val="18"/>
                          <w:szCs w:val="18"/>
                        </w:rPr>
                      </w:pPr>
                      <w:r w:rsidRPr="00B960AC">
                        <w:rPr>
                          <w:rFonts w:ascii="Baskerville Old Face" w:hAnsi="Baskerville Old Face" w:cs="Arial"/>
                          <w:color w:val="FEFFFE"/>
                          <w:sz w:val="18"/>
                          <w:szCs w:val="18"/>
                        </w:rPr>
                        <w:t>After decade-long negotiations, the ECOWAS CET and EPA with the EU recently reached decisive milestones. These major reforms should have significant impacts and offer new opportunities to West Africa, but have so far failed to garner a broad consensus, notably in Nigeria. The lack of objective and easily accessible assessments of their likely effects appears to be partly responsible for this situation.</w:t>
                      </w:r>
                    </w:p>
                    <w:p w:rsidR="00C93604" w:rsidRPr="00B960AC" w:rsidRDefault="00C93604" w:rsidP="008F2379">
                      <w:pPr>
                        <w:pStyle w:val="ListParagraph"/>
                        <w:numPr>
                          <w:ilvl w:val="0"/>
                          <w:numId w:val="8"/>
                        </w:numPr>
                        <w:spacing w:after="120"/>
                        <w:ind w:left="0" w:hanging="180"/>
                        <w:jc w:val="both"/>
                        <w:rPr>
                          <w:rFonts w:ascii="Baskerville Old Face" w:hAnsi="Baskerville Old Face" w:cs="Arial"/>
                          <w:color w:val="FEFFFE"/>
                          <w:sz w:val="18"/>
                          <w:szCs w:val="18"/>
                        </w:rPr>
                      </w:pPr>
                      <w:r w:rsidRPr="00B960AC">
                        <w:rPr>
                          <w:rFonts w:ascii="Baskerville Old Face" w:hAnsi="Baskerville Old Face" w:cs="Arial"/>
                          <w:color w:val="FEFFFE"/>
                          <w:sz w:val="18"/>
                          <w:szCs w:val="18"/>
                        </w:rPr>
                        <w:t xml:space="preserve">Two recent World Bank studies use a simple methodology to assess the potential impact of these reforms on Nigeria. Overall, full implementation of the CET and EPA in Nigeria would result in limited fiscal losses, marginal welfare gains for consumers and higher profits for a majority of manufacturing firms accounting for the majority of jobs in this sector. Almost all firms experiencing negative effects exhibit higher-than-average profitability before the reforms and </w:t>
                      </w:r>
                      <w:r w:rsidR="00692E57" w:rsidRPr="00B960AC">
                        <w:rPr>
                          <w:rFonts w:ascii="Baskerville Old Face" w:hAnsi="Baskerville Old Face" w:cs="Arial"/>
                          <w:color w:val="FEFFFE"/>
                          <w:sz w:val="18"/>
                          <w:szCs w:val="18"/>
                        </w:rPr>
                        <w:t xml:space="preserve">most </w:t>
                      </w:r>
                      <w:r w:rsidRPr="00B960AC">
                        <w:rPr>
                          <w:rFonts w:ascii="Baskerville Old Face" w:hAnsi="Baskerville Old Face" w:cs="Arial"/>
                          <w:color w:val="FEFFFE"/>
                          <w:sz w:val="18"/>
                          <w:szCs w:val="18"/>
                        </w:rPr>
                        <w:t>would remain profitable after them.</w:t>
                      </w:r>
                    </w:p>
                    <w:p w:rsidR="00C93604" w:rsidRPr="00B960AC" w:rsidRDefault="00C93604" w:rsidP="007A5778">
                      <w:pPr>
                        <w:pStyle w:val="ListParagraph"/>
                        <w:numPr>
                          <w:ilvl w:val="0"/>
                          <w:numId w:val="8"/>
                        </w:numPr>
                        <w:ind w:left="0" w:hanging="180"/>
                        <w:jc w:val="both"/>
                        <w:rPr>
                          <w:rFonts w:ascii="Baskerville Old Face" w:hAnsi="Baskerville Old Face" w:cs="Arial"/>
                          <w:color w:val="FEFFFE"/>
                          <w:sz w:val="18"/>
                          <w:szCs w:val="18"/>
                        </w:rPr>
                      </w:pPr>
                      <w:r w:rsidRPr="00B960AC">
                        <w:rPr>
                          <w:rFonts w:ascii="Baskerville Old Face" w:hAnsi="Baskerville Old Face" w:cs="Arial"/>
                          <w:color w:val="FEFFFE"/>
                          <w:sz w:val="18"/>
                          <w:szCs w:val="18"/>
                        </w:rPr>
                        <w:t>The predicted magnitude of both the CET and EPA is small compared to gains that could be achieved by tackling supply-side constraints faced by Nigerian firms. Combining trade policy reforms with an ambitious competitiveness agenda that addresses the most binding constraints and promotes regional trade appears as the best way to maximize the benefits and minimize the potential costs of these reforms.</w:t>
                      </w:r>
                    </w:p>
                    <w:p w:rsidR="00C93604" w:rsidRPr="007A5778" w:rsidRDefault="00C93604" w:rsidP="00CA1F3E">
                      <w:pPr>
                        <w:pStyle w:val="SidebarBody"/>
                        <w:jc w:val="both"/>
                        <w:rPr>
                          <w:rFonts w:ascii="Arial" w:eastAsia="Times New Roman" w:hAnsi="Arial" w:cs="Arial"/>
                          <w:color w:val="auto"/>
                          <w:sz w:val="18"/>
                        </w:rPr>
                      </w:pPr>
                    </w:p>
                  </w:txbxContent>
                </v:textbox>
                <w10:wrap type="tight" anchorx="page" anchory="page"/>
              </v:rect>
            </w:pict>
          </mc:Fallback>
        </mc:AlternateContent>
      </w:r>
      <w:r w:rsidR="007A5778" w:rsidRPr="00B960AC">
        <w:rPr>
          <w:rFonts w:ascii="Baskerville Old Face" w:hAnsi="Baskerville Old Face" w:cs="Arial"/>
          <w:sz w:val="26"/>
          <w:szCs w:val="26"/>
        </w:rPr>
        <w:t>Benefits of the ECOWAS CET and EPA will outweigh costs in Nigeria, but competitiveness is the real issue</w:t>
      </w:r>
    </w:p>
    <w:p w:rsidR="00344E90" w:rsidRPr="00B960AC" w:rsidRDefault="008F2379" w:rsidP="00C539B5">
      <w:pPr>
        <w:spacing w:before="840" w:after="120"/>
        <w:jc w:val="both"/>
        <w:rPr>
          <w:rFonts w:ascii="Baskerville Old Face" w:hAnsi="Baskerville Old Face" w:cs="Arial"/>
          <w:b/>
          <w:color w:val="943634" w:themeColor="accent2" w:themeShade="BF"/>
          <w:szCs w:val="22"/>
        </w:rPr>
      </w:pPr>
      <w:r w:rsidRPr="00B960AC">
        <w:rPr>
          <w:rFonts w:ascii="Baskerville Old Face" w:hAnsi="Baskerville Old Face" w:cs="Arial"/>
          <w:b/>
          <w:color w:val="943634" w:themeColor="accent2" w:themeShade="BF"/>
          <w:szCs w:val="22"/>
        </w:rPr>
        <w:t>A difficult negotiation</w:t>
      </w:r>
    </w:p>
    <w:p w:rsidR="00E625F2" w:rsidRPr="00B960AC" w:rsidRDefault="00B960AC" w:rsidP="00E625F2">
      <w:pPr>
        <w:jc w:val="both"/>
        <w:rPr>
          <w:rFonts w:ascii="Baskerville Old Face" w:hAnsi="Baskerville Old Face" w:cs="Arial"/>
          <w:sz w:val="20"/>
        </w:rPr>
      </w:pPr>
      <w:r>
        <w:rPr>
          <w:rFonts w:ascii="Baskerville Old Face" w:hAnsi="Baskerville Old Face" w:cs="Arial"/>
          <w:sz w:val="20"/>
        </w:rPr>
        <w:tab/>
      </w:r>
      <w:r w:rsidR="00E625F2" w:rsidRPr="00B960AC">
        <w:rPr>
          <w:rFonts w:ascii="Baskerville Old Face" w:hAnsi="Baskerville Old Face" w:cs="Arial"/>
          <w:sz w:val="20"/>
        </w:rPr>
        <w:t xml:space="preserve">The regional trade policy agenda in West Africa has been dominated in recent years by the negotiations of the ECOWAS Common External Tariff (CET) and of an Economic Partnership Agreement (EPA) with the European Union (EU). After decade-long negotiations in both cases, major breakthroughs were reached over the last 15 months - the CET </w:t>
      </w:r>
      <w:r w:rsidR="00692E57" w:rsidRPr="00B960AC">
        <w:rPr>
          <w:rFonts w:ascii="Baskerville Old Face" w:hAnsi="Baskerville Old Face" w:cs="Arial"/>
          <w:sz w:val="20"/>
        </w:rPr>
        <w:t>entered</w:t>
      </w:r>
      <w:r w:rsidR="00E625F2" w:rsidRPr="00B960AC">
        <w:rPr>
          <w:rFonts w:ascii="Baskerville Old Face" w:hAnsi="Baskerville Old Face" w:cs="Arial"/>
          <w:sz w:val="20"/>
        </w:rPr>
        <w:t xml:space="preserve"> into force on January 1</w:t>
      </w:r>
      <w:r w:rsidR="00E625F2" w:rsidRPr="00B960AC">
        <w:rPr>
          <w:rFonts w:ascii="Baskerville Old Face" w:hAnsi="Baskerville Old Face" w:cs="Arial"/>
          <w:sz w:val="20"/>
          <w:vertAlign w:val="superscript"/>
        </w:rPr>
        <w:t>st</w:t>
      </w:r>
      <w:r w:rsidR="00E625F2" w:rsidRPr="00B960AC">
        <w:rPr>
          <w:rFonts w:ascii="Baskerville Old Face" w:hAnsi="Baskerville Old Face" w:cs="Arial"/>
          <w:sz w:val="20"/>
        </w:rPr>
        <w:t>, 2015 (</w:t>
      </w:r>
      <w:r w:rsidR="00687BC4">
        <w:fldChar w:fldCharType="begin"/>
      </w:r>
      <w:r w:rsidR="00687BC4">
        <w:instrText xml:space="preserve"> REF _Ref408995089 \h  \* MERGEFORMAT </w:instrText>
      </w:r>
      <w:r w:rsidR="00687BC4">
        <w:fldChar w:fldCharType="separate"/>
      </w:r>
      <w:r w:rsidR="002C3AA7" w:rsidRPr="00B960AC">
        <w:rPr>
          <w:rFonts w:ascii="Baskerville Old Face" w:hAnsi="Baskerville Old Face" w:cs="Arial"/>
          <w:sz w:val="20"/>
        </w:rPr>
        <w:t>Box 1</w:t>
      </w:r>
      <w:r w:rsidR="00687BC4">
        <w:fldChar w:fldCharType="end"/>
      </w:r>
      <w:r w:rsidR="00E625F2" w:rsidRPr="00B960AC">
        <w:rPr>
          <w:rFonts w:ascii="Baskerville Old Face" w:hAnsi="Baskerville Old Face" w:cs="Arial"/>
          <w:sz w:val="20"/>
        </w:rPr>
        <w:t>) and the EPA is expected to be signed shortly by West African countries and the EU (</w:t>
      </w:r>
      <w:r w:rsidR="00687BC4">
        <w:fldChar w:fldCharType="begin"/>
      </w:r>
      <w:r w:rsidR="00687BC4">
        <w:instrText xml:space="preserve"> REF _Ref408995359 \h  \* MERGEFORMAT </w:instrText>
      </w:r>
      <w:r w:rsidR="00687BC4">
        <w:fldChar w:fldCharType="separate"/>
      </w:r>
      <w:r w:rsidR="002C3AA7" w:rsidRPr="00B960AC">
        <w:rPr>
          <w:rFonts w:ascii="Baskerville Old Face" w:hAnsi="Baskerville Old Face" w:cs="Arial"/>
          <w:sz w:val="20"/>
        </w:rPr>
        <w:t>Box 2</w:t>
      </w:r>
      <w:r w:rsidR="00687BC4">
        <w:fldChar w:fldCharType="end"/>
      </w:r>
      <w:r w:rsidR="00E625F2" w:rsidRPr="00B960AC">
        <w:rPr>
          <w:rFonts w:ascii="Baskerville Old Face" w:hAnsi="Baskerville Old Face" w:cs="Arial"/>
          <w:sz w:val="20"/>
        </w:rPr>
        <w:t>).</w:t>
      </w:r>
    </w:p>
    <w:p w:rsidR="00365FE6" w:rsidRPr="00B960AC" w:rsidRDefault="00B960AC" w:rsidP="00C539B5">
      <w:pPr>
        <w:spacing w:after="240"/>
        <w:jc w:val="both"/>
        <w:rPr>
          <w:rFonts w:ascii="Baskerville Old Face" w:hAnsi="Baskerville Old Face" w:cs="Arial"/>
          <w:sz w:val="20"/>
        </w:rPr>
        <w:sectPr w:rsidR="00365FE6" w:rsidRPr="00B960AC" w:rsidSect="00847E7A">
          <w:footerReference w:type="even" r:id="rId10"/>
          <w:footerReference w:type="default" r:id="rId11"/>
          <w:type w:val="continuous"/>
          <w:pgSz w:w="12240" w:h="15840"/>
          <w:pgMar w:top="1440" w:right="1440" w:bottom="1440" w:left="1440" w:header="720" w:footer="720" w:gutter="0"/>
          <w:cols w:space="720"/>
          <w:docGrid w:linePitch="360"/>
        </w:sectPr>
      </w:pPr>
      <w:r>
        <w:rPr>
          <w:rFonts w:ascii="Baskerville Old Face" w:hAnsi="Baskerville Old Face" w:cs="Arial"/>
          <w:sz w:val="20"/>
        </w:rPr>
        <w:tab/>
      </w:r>
      <w:r w:rsidR="00E625F2" w:rsidRPr="00B960AC">
        <w:rPr>
          <w:rFonts w:ascii="Baskerville Old Face" w:hAnsi="Baskerville Old Face" w:cs="Arial"/>
          <w:sz w:val="20"/>
        </w:rPr>
        <w:t xml:space="preserve">Over the years, the negotiations for these two instruments have exposed the frequently diverging interests and positions of the different parties, including within the West African block. With regard to the CET, import-dependent countries with little domestic production capacity have favored low tariffs to keep imports cheap, while some more advanced countries have pushed for higher tariffs to protect </w:t>
      </w:r>
      <w:r w:rsidR="00E625F2" w:rsidRPr="00B960AC">
        <w:rPr>
          <w:rFonts w:ascii="Baskerville Old Face" w:hAnsi="Baskerville Old Face" w:cs="Arial"/>
          <w:sz w:val="20"/>
        </w:rPr>
        <w:lastRenderedPageBreak/>
        <w:t xml:space="preserve">domestic producers and infant industries (De </w:t>
      </w:r>
      <w:proofErr w:type="spellStart"/>
      <w:r w:rsidR="00E625F2" w:rsidRPr="00B960AC">
        <w:rPr>
          <w:rFonts w:ascii="Baskerville Old Face" w:hAnsi="Baskerville Old Face" w:cs="Arial"/>
          <w:sz w:val="20"/>
        </w:rPr>
        <w:t>Roquefeuil</w:t>
      </w:r>
      <w:proofErr w:type="spellEnd"/>
      <w:r w:rsidR="00E625F2" w:rsidRPr="00B960AC">
        <w:rPr>
          <w:rFonts w:ascii="Baskerville Old Face" w:hAnsi="Baskerville Old Face" w:cs="Arial"/>
          <w:sz w:val="20"/>
        </w:rPr>
        <w:t xml:space="preserve"> 2013)</w:t>
      </w:r>
      <w:r w:rsidR="00E625F2" w:rsidRPr="00B960AC">
        <w:rPr>
          <w:rStyle w:val="FootnoteReference"/>
          <w:rFonts w:ascii="Baskerville Old Face" w:hAnsi="Baskerville Old Face" w:cs="Arial"/>
          <w:sz w:val="20"/>
        </w:rPr>
        <w:footnoteReference w:id="2"/>
      </w:r>
      <w:r w:rsidR="00E625F2" w:rsidRPr="00B960AC">
        <w:rPr>
          <w:rFonts w:ascii="Baskerville Old Face" w:hAnsi="Baskerville Old Face" w:cs="Arial"/>
          <w:sz w:val="20"/>
        </w:rPr>
        <w:t>. Likewise, countries have had varying incentives to conclude an EPA depending on the vulnerability of their exports to the erosion of EU trade preferences: while Nigeria mostly exports oil, which does no</w:t>
      </w:r>
      <w:r w:rsidR="00B70E3C" w:rsidRPr="00B960AC">
        <w:rPr>
          <w:rFonts w:ascii="Baskerville Old Face" w:hAnsi="Baskerville Old Face" w:cs="Arial"/>
          <w:sz w:val="20"/>
        </w:rPr>
        <w:t>t</w:t>
      </w:r>
      <w:r w:rsidR="00E625F2" w:rsidRPr="00B960AC">
        <w:rPr>
          <w:rFonts w:ascii="Baskerville Old Face" w:hAnsi="Baskerville Old Face" w:cs="Arial"/>
          <w:sz w:val="20"/>
        </w:rPr>
        <w:t xml:space="preserve"> attract duty in the EU under the </w:t>
      </w:r>
      <w:proofErr w:type="spellStart"/>
      <w:r w:rsidR="00E625F2" w:rsidRPr="00B960AC">
        <w:rPr>
          <w:rFonts w:ascii="Baskerville Old Face" w:hAnsi="Baskerville Old Face" w:cs="Arial"/>
          <w:sz w:val="20"/>
        </w:rPr>
        <w:t>Generalised</w:t>
      </w:r>
      <w:proofErr w:type="spellEnd"/>
      <w:r w:rsidR="00E625F2" w:rsidRPr="00B960AC">
        <w:rPr>
          <w:rFonts w:ascii="Baskerville Old Face" w:hAnsi="Baskerville Old Face" w:cs="Arial"/>
          <w:sz w:val="20"/>
        </w:rPr>
        <w:t xml:space="preserve"> System of Preference (GSP) it currently benefits from, countries such as Cote d’Ivoire and Ghana, with large and dutiable non-oil exports to </w:t>
      </w:r>
      <w:r w:rsidR="004157F0" w:rsidRPr="00B960AC">
        <w:rPr>
          <w:rFonts w:ascii="Baskerville Old Face" w:hAnsi="Baskerville Old Face" w:cs="Arial"/>
          <w:sz w:val="20"/>
        </w:rPr>
        <w:t>Europe</w:t>
      </w:r>
    </w:p>
    <w:p w:rsidR="00C539B5" w:rsidRPr="00B960AC" w:rsidRDefault="00C539B5" w:rsidP="00365FE6">
      <w:pPr>
        <w:jc w:val="both"/>
        <w:rPr>
          <w:rFonts w:ascii="Baskerville Old Face" w:hAnsi="Baskerville Old Face" w:cs="Arial"/>
          <w:sz w:val="20"/>
        </w:rPr>
      </w:pPr>
      <w:proofErr w:type="gramStart"/>
      <w:r w:rsidRPr="00B960AC">
        <w:rPr>
          <w:rFonts w:ascii="Baskerville Old Face" w:hAnsi="Baskerville Old Face" w:cs="Arial"/>
          <w:sz w:val="20"/>
        </w:rPr>
        <w:lastRenderedPageBreak/>
        <w:t>have</w:t>
      </w:r>
      <w:proofErr w:type="gramEnd"/>
      <w:r w:rsidRPr="00B960AC">
        <w:rPr>
          <w:rFonts w:ascii="Baskerville Old Face" w:hAnsi="Baskerville Old Face" w:cs="Arial"/>
          <w:sz w:val="20"/>
        </w:rPr>
        <w:t xml:space="preserve"> much more at stake should they lose preferential market access (</w:t>
      </w:r>
      <w:proofErr w:type="spellStart"/>
      <w:r w:rsidRPr="00B960AC">
        <w:rPr>
          <w:rFonts w:ascii="Baskerville Old Face" w:hAnsi="Baskerville Old Face" w:cs="Arial"/>
          <w:sz w:val="20"/>
        </w:rPr>
        <w:t>Czapnik</w:t>
      </w:r>
      <w:proofErr w:type="spellEnd"/>
      <w:r w:rsidRPr="00B960AC">
        <w:rPr>
          <w:rFonts w:ascii="Baskerville Old Face" w:hAnsi="Baskerville Old Face" w:cs="Arial"/>
          <w:sz w:val="20"/>
        </w:rPr>
        <w:t xml:space="preserve"> 2014)</w:t>
      </w:r>
      <w:r w:rsidRPr="00B960AC">
        <w:rPr>
          <w:rStyle w:val="FootnoteReference"/>
          <w:rFonts w:ascii="Baskerville Old Face" w:hAnsi="Baskerville Old Face" w:cs="Arial"/>
          <w:sz w:val="20"/>
        </w:rPr>
        <w:footnoteReference w:id="3"/>
      </w:r>
      <w:r w:rsidRPr="00B960AC">
        <w:rPr>
          <w:rFonts w:ascii="Baskerville Old Face" w:hAnsi="Baskerville Old Face" w:cs="Arial"/>
          <w:sz w:val="20"/>
        </w:rPr>
        <w:t xml:space="preserve">. </w:t>
      </w:r>
    </w:p>
    <w:p w:rsidR="00365FE6" w:rsidRPr="00B960AC" w:rsidRDefault="00B960AC" w:rsidP="00365FE6">
      <w:pPr>
        <w:jc w:val="both"/>
        <w:rPr>
          <w:rFonts w:ascii="Baskerville Old Face" w:hAnsi="Baskerville Old Face" w:cs="Arial"/>
          <w:sz w:val="20"/>
        </w:rPr>
      </w:pPr>
      <w:r>
        <w:rPr>
          <w:rFonts w:ascii="Baskerville Old Face" w:hAnsi="Baskerville Old Face" w:cs="Arial"/>
          <w:sz w:val="20"/>
        </w:rPr>
        <w:tab/>
      </w:r>
      <w:r w:rsidR="00A61396" w:rsidRPr="00B960AC">
        <w:rPr>
          <w:rFonts w:ascii="Baskerville Old Face" w:hAnsi="Baskerville Old Face" w:cs="Arial"/>
          <w:sz w:val="20"/>
        </w:rPr>
        <w:t>A broad consensus has still not been secured for either the CET or EPA, jeopardizing their implementation. Heated debates have notably persisted on the impact and development-friendliness of the EPA. Proponents of the EPA uphold the view that this new framework will benefit West African countries in terms of trade, economic development, poverty reduction, regional integration and insertion in the global economy (European Commission 2014), a view that is at least partially shared by several West African governments. On the other hand, various public, private and civil society actors in different countries have argued that the EPA will entail large long term costs, harm local industries and undermine economic diversification.</w:t>
      </w:r>
    </w:p>
    <w:p w:rsidR="00365FE6" w:rsidRPr="00B960AC" w:rsidRDefault="00B960AC" w:rsidP="00365FE6">
      <w:pPr>
        <w:jc w:val="both"/>
        <w:rPr>
          <w:rFonts w:ascii="Baskerville Old Face" w:hAnsi="Baskerville Old Face" w:cs="Arial"/>
          <w:sz w:val="20"/>
        </w:rPr>
      </w:pPr>
      <w:r>
        <w:rPr>
          <w:rFonts w:ascii="Baskerville Old Face" w:hAnsi="Baskerville Old Face" w:cs="Arial"/>
          <w:sz w:val="20"/>
        </w:rPr>
        <w:tab/>
      </w:r>
      <w:r w:rsidR="00A61396" w:rsidRPr="00B960AC">
        <w:rPr>
          <w:rFonts w:ascii="Baskerville Old Face" w:hAnsi="Baskerville Old Face" w:cs="Arial"/>
          <w:sz w:val="20"/>
        </w:rPr>
        <w:t xml:space="preserve">The latter view has been particularly prevalent in Nigeria, where it is expressed notably by interest groups representing the private sector, and has strongly influenced the official position of the Federal Government during both the CET and EPA negotiations. Nigeria has long had a more inward-looking trade policy than most of its neighbors, even with regards to intraregional trade. A variety of trade restrictive instruments, such as high tariffs, special levies, and import bans, have been used to protect domestic industries with limited efficiency but damageable side effects (World Bank 2010, </w:t>
      </w:r>
      <w:proofErr w:type="spellStart"/>
      <w:r w:rsidR="00A61396" w:rsidRPr="00B960AC">
        <w:rPr>
          <w:rFonts w:ascii="Baskerville Old Face" w:hAnsi="Baskerville Old Face" w:cs="Arial"/>
          <w:sz w:val="20"/>
        </w:rPr>
        <w:t>Treichel</w:t>
      </w:r>
      <w:proofErr w:type="spellEnd"/>
      <w:r w:rsidR="00A61396" w:rsidRPr="00B960AC">
        <w:rPr>
          <w:rFonts w:ascii="Baskerville Old Face" w:hAnsi="Baskerville Old Face" w:cs="Arial"/>
          <w:sz w:val="20"/>
        </w:rPr>
        <w:t xml:space="preserve"> et al. 2012). In the meantime, groups that would likely favor and benefit from a more liberal trade policy stance (e.g. consumers, traders, producers importing inputs, customs officials) are less organized and have carried less weight in these politically sensitive debates. Studies predicting dire impacts of the </w:t>
      </w:r>
      <w:r w:rsidR="00A61396" w:rsidRPr="00B960AC">
        <w:rPr>
          <w:rFonts w:ascii="Baskerville Old Face" w:hAnsi="Baskerville Old Face" w:cs="Arial"/>
          <w:sz w:val="20"/>
        </w:rPr>
        <w:lastRenderedPageBreak/>
        <w:t>EPA on public revenue, employment and industrial output have been cited in recent years and used to argue that Nigeria should not sign the EPA. However, some of these studies have not been published, making it hard to evaluate the quality of the methodologies and data used, and thus to assess the accuracy of their results.</w:t>
      </w:r>
    </w:p>
    <w:p w:rsidR="00365FE6" w:rsidRPr="00B960AC" w:rsidRDefault="00B960AC" w:rsidP="00365FE6">
      <w:pPr>
        <w:jc w:val="both"/>
        <w:rPr>
          <w:rFonts w:ascii="Baskerville Old Face" w:hAnsi="Baskerville Old Face" w:cs="Arial"/>
          <w:sz w:val="20"/>
        </w:rPr>
      </w:pPr>
      <w:r>
        <w:rPr>
          <w:rFonts w:ascii="Baskerville Old Face" w:hAnsi="Baskerville Old Face" w:cs="Arial"/>
          <w:sz w:val="20"/>
        </w:rPr>
        <w:tab/>
      </w:r>
      <w:r w:rsidR="00A61396" w:rsidRPr="00B960AC">
        <w:rPr>
          <w:rFonts w:ascii="Baskerville Old Face" w:hAnsi="Baskerville Old Face" w:cs="Arial"/>
          <w:sz w:val="20"/>
        </w:rPr>
        <w:t xml:space="preserve">In order to facilitate an evidence-based dialogue, the World Bank has recently produced two empirical studies on the potential impact of the CET and EPA on Nigeria, which were elaborated in consultation with the Federal Government as well as with the ECOWAS Commission (Von </w:t>
      </w:r>
      <w:proofErr w:type="spellStart"/>
      <w:r w:rsidR="00A61396" w:rsidRPr="00B960AC">
        <w:rPr>
          <w:rFonts w:ascii="Baskerville Old Face" w:hAnsi="Baskerville Old Face" w:cs="Arial"/>
          <w:sz w:val="20"/>
        </w:rPr>
        <w:t>Uexkull</w:t>
      </w:r>
      <w:proofErr w:type="spellEnd"/>
      <w:r w:rsidR="00A61396" w:rsidRPr="00B960AC">
        <w:rPr>
          <w:rFonts w:ascii="Baskerville Old Face" w:hAnsi="Baskerville Old Face" w:cs="Arial"/>
          <w:sz w:val="20"/>
        </w:rPr>
        <w:t xml:space="preserve"> and </w:t>
      </w:r>
      <w:proofErr w:type="spellStart"/>
      <w:r w:rsidR="00A61396" w:rsidRPr="00B960AC">
        <w:rPr>
          <w:rFonts w:ascii="Baskerville Old Face" w:hAnsi="Baskerville Old Face" w:cs="Arial"/>
          <w:sz w:val="20"/>
        </w:rPr>
        <w:t>Shui</w:t>
      </w:r>
      <w:proofErr w:type="spellEnd"/>
      <w:r w:rsidR="00A61396" w:rsidRPr="00B960AC">
        <w:rPr>
          <w:rFonts w:ascii="Baskerville Old Face" w:hAnsi="Baskerville Old Face" w:cs="Arial"/>
          <w:sz w:val="20"/>
        </w:rPr>
        <w:t xml:space="preserve"> 2014a, 2014b)</w:t>
      </w:r>
      <w:r w:rsidR="00A61396" w:rsidRPr="00B960AC">
        <w:rPr>
          <w:rStyle w:val="FootnoteReference"/>
          <w:rFonts w:ascii="Baskerville Old Face" w:hAnsi="Baskerville Old Face" w:cs="Arial"/>
          <w:sz w:val="20"/>
        </w:rPr>
        <w:footnoteReference w:id="4"/>
      </w:r>
      <w:r w:rsidR="00A61396" w:rsidRPr="00B960AC">
        <w:rPr>
          <w:rFonts w:ascii="Baskerville Old Face" w:hAnsi="Baskerville Old Face" w:cs="Arial"/>
          <w:sz w:val="20"/>
        </w:rPr>
        <w:t>. Without arguing in favor or against the agreements, this work is expected to contribute to a more objective basis for the debates between stakeholders. The two studies combine well-established trade policy analysis tools developed by the World Bank with publicly available data on trade, households, and firms to understand the short term effects of trade policy changes linked to the CET and EPA on public revenue, households and industry in Nigeria. The results suggest that, if fully implemented, the CET and EPA would have positive aggregate effects on Nigerian consumers and producers, with limited fiscal losses. While a minority of firms and workers could experience negative effects, the impacts remain small compared to current profit levels and the gains that could be achieved through other policies to boost competitiveness. This note summarizes the main results of the studies and derives practical policy conclusions.</w:t>
      </w:r>
    </w:p>
    <w:p w:rsidR="00365FE6" w:rsidRPr="00B960AC" w:rsidRDefault="00365FE6">
      <w:pPr>
        <w:spacing w:after="0" w:line="240" w:lineRule="auto"/>
        <w:rPr>
          <w:rFonts w:ascii="Baskerville Old Face" w:hAnsi="Baskerville Old Face" w:cs="Arial"/>
          <w:sz w:val="20"/>
        </w:rPr>
      </w:pPr>
      <w:r w:rsidRPr="00B960AC">
        <w:rPr>
          <w:rFonts w:ascii="Baskerville Old Face" w:hAnsi="Baskerville Old Face" w:cs="Arial"/>
          <w:sz w:val="20"/>
        </w:rPr>
        <w:br w:type="page"/>
      </w:r>
    </w:p>
    <w:p w:rsidR="00365FE6" w:rsidRPr="00B960AC" w:rsidRDefault="00365FE6" w:rsidP="00365FE6">
      <w:pPr>
        <w:jc w:val="both"/>
        <w:rPr>
          <w:rFonts w:ascii="Baskerville Old Face" w:hAnsi="Baskerville Old Face" w:cs="Arial"/>
          <w:sz w:val="20"/>
        </w:rPr>
        <w:sectPr w:rsidR="00365FE6" w:rsidRPr="00B960AC" w:rsidSect="00C539B5">
          <w:type w:val="continuous"/>
          <w:pgSz w:w="12240" w:h="15840"/>
          <w:pgMar w:top="1440" w:right="1440" w:bottom="1440" w:left="1440" w:header="720" w:footer="720" w:gutter="0"/>
          <w:cols w:num="2" w:space="180"/>
          <w:docGrid w:linePitch="360"/>
        </w:sectPr>
      </w:pPr>
    </w:p>
    <w:p w:rsidR="00365FE6" w:rsidRPr="00B960AC" w:rsidRDefault="00365FE6" w:rsidP="00F74D36">
      <w:pPr>
        <w:pStyle w:val="Caption"/>
        <w:spacing w:after="60"/>
        <w:jc w:val="center"/>
        <w:rPr>
          <w:rFonts w:ascii="Baskerville Old Face" w:hAnsi="Baskerville Old Face" w:cs="Arial"/>
          <w:szCs w:val="22"/>
        </w:rPr>
      </w:pPr>
      <w:bookmarkStart w:id="1" w:name="_Ref408995089"/>
      <w:r w:rsidRPr="00B960AC">
        <w:rPr>
          <w:rFonts w:ascii="Baskerville Old Face" w:hAnsi="Baskerville Old Face" w:cs="Arial"/>
          <w:szCs w:val="22"/>
        </w:rPr>
        <w:lastRenderedPageBreak/>
        <w:t xml:space="preserve">Box </w:t>
      </w:r>
      <w:r w:rsidR="00B45330" w:rsidRPr="00B960AC">
        <w:rPr>
          <w:rFonts w:ascii="Baskerville Old Face" w:hAnsi="Baskerville Old Face" w:cs="Arial"/>
          <w:szCs w:val="22"/>
        </w:rPr>
        <w:fldChar w:fldCharType="begin"/>
      </w:r>
      <w:r w:rsidRPr="00B960AC">
        <w:rPr>
          <w:rFonts w:ascii="Baskerville Old Face" w:hAnsi="Baskerville Old Face" w:cs="Arial"/>
          <w:szCs w:val="22"/>
        </w:rPr>
        <w:instrText xml:space="preserve"> SEQ Box \* ARABIC </w:instrText>
      </w:r>
      <w:r w:rsidR="00B45330" w:rsidRPr="00B960AC">
        <w:rPr>
          <w:rFonts w:ascii="Baskerville Old Face" w:hAnsi="Baskerville Old Face" w:cs="Arial"/>
          <w:szCs w:val="22"/>
        </w:rPr>
        <w:fldChar w:fldCharType="separate"/>
      </w:r>
      <w:r w:rsidR="002C3AA7" w:rsidRPr="00B960AC">
        <w:rPr>
          <w:rFonts w:ascii="Baskerville Old Face" w:hAnsi="Baskerville Old Face" w:cs="Arial"/>
          <w:noProof/>
          <w:szCs w:val="22"/>
        </w:rPr>
        <w:t>1</w:t>
      </w:r>
      <w:r w:rsidR="00B45330" w:rsidRPr="00B960AC">
        <w:rPr>
          <w:rFonts w:ascii="Baskerville Old Face" w:hAnsi="Baskerville Old Face" w:cs="Arial"/>
          <w:szCs w:val="22"/>
        </w:rPr>
        <w:fldChar w:fldCharType="end"/>
      </w:r>
      <w:bookmarkEnd w:id="1"/>
      <w:r w:rsidRPr="00B960AC">
        <w:rPr>
          <w:rFonts w:ascii="Baskerville Old Face" w:hAnsi="Baskerville Old Face" w:cs="Arial"/>
          <w:szCs w:val="22"/>
        </w:rPr>
        <w:t>: The ECOWAS Common External Tariff</w:t>
      </w:r>
    </w:p>
    <w:tbl>
      <w:tblPr>
        <w:tblStyle w:val="TableGrid"/>
        <w:tblW w:w="0" w:type="auto"/>
        <w:tblLook w:val="04A0" w:firstRow="1" w:lastRow="0" w:firstColumn="1" w:lastColumn="0" w:noHBand="0" w:noVBand="1"/>
      </w:tblPr>
      <w:tblGrid>
        <w:gridCol w:w="9350"/>
      </w:tblGrid>
      <w:tr w:rsidR="00365FE6" w:rsidRPr="00B960AC" w:rsidTr="00365FE6">
        <w:tc>
          <w:tcPr>
            <w:tcW w:w="9576" w:type="dxa"/>
          </w:tcPr>
          <w:p w:rsidR="00A61396" w:rsidRPr="00B960AC" w:rsidRDefault="00A61396" w:rsidP="00A61396">
            <w:pPr>
              <w:spacing w:before="120" w:after="120" w:line="240" w:lineRule="auto"/>
              <w:jc w:val="both"/>
              <w:rPr>
                <w:rFonts w:ascii="Baskerville Old Face" w:hAnsi="Baskerville Old Face" w:cs="Arial"/>
                <w:sz w:val="18"/>
              </w:rPr>
            </w:pPr>
            <w:r w:rsidRPr="00B960AC">
              <w:rPr>
                <w:rFonts w:ascii="Baskerville Old Face" w:hAnsi="Baskerville Old Face" w:cs="Arial"/>
                <w:sz w:val="18"/>
              </w:rPr>
              <w:t xml:space="preserve">The establishment of a customs union through the introduction of a CET was planned in the original ECOWAS Treaty of 1975 and Revised Treaty of 1993, but successive deadlines for its adoption were repeatedly postponed during the 2000s due to the limited progress of negotiations. </w:t>
            </w:r>
          </w:p>
          <w:p w:rsidR="00A61396" w:rsidRPr="00B960AC" w:rsidRDefault="00A61396" w:rsidP="00A61396">
            <w:pPr>
              <w:spacing w:before="120" w:after="120" w:line="240" w:lineRule="auto"/>
              <w:jc w:val="both"/>
              <w:rPr>
                <w:rFonts w:ascii="Baskerville Old Face" w:hAnsi="Baskerville Old Face" w:cs="Arial"/>
                <w:sz w:val="18"/>
              </w:rPr>
            </w:pPr>
            <w:r w:rsidRPr="00B960AC">
              <w:rPr>
                <w:rFonts w:ascii="Baskerville Old Face" w:hAnsi="Baskerville Old Face" w:cs="Arial"/>
                <w:sz w:val="18"/>
              </w:rPr>
              <w:t xml:space="preserve">In 1997, the eight ECOWAS countries part of the West Africa Economic and Monetary Union (WAEMU) adopted a CET structured along four tariff bands of 0% (essential social goods), 5% (goods of primary necessity, raw materials and specific inputs), 10 % (intermediary products) and 20% (final consumption products). The double objective of this structure was to promote local value addition while applying low duties on essential goods. This tariff came into effect on January 1st, 2000, </w:t>
            </w:r>
            <w:r w:rsidR="00F74D36" w:rsidRPr="00B960AC">
              <w:rPr>
                <w:rFonts w:ascii="Baskerville Old Face" w:hAnsi="Baskerville Old Face" w:cs="Arial"/>
                <w:sz w:val="18"/>
              </w:rPr>
              <w:t>though some divergences remain between national tariffs of WAEMU countries</w:t>
            </w:r>
            <w:r w:rsidRPr="00B960AC">
              <w:rPr>
                <w:rStyle w:val="FootnoteReference"/>
                <w:rFonts w:ascii="Baskerville Old Face" w:hAnsi="Baskerville Old Face" w:cs="Arial"/>
                <w:sz w:val="18"/>
              </w:rPr>
              <w:footnoteReference w:id="5"/>
            </w:r>
            <w:r w:rsidRPr="00B960AC">
              <w:rPr>
                <w:rFonts w:ascii="Baskerville Old Face" w:hAnsi="Baskerville Old Face" w:cs="Arial"/>
                <w:sz w:val="18"/>
              </w:rPr>
              <w:t>.</w:t>
            </w:r>
          </w:p>
          <w:p w:rsidR="00A61396" w:rsidRPr="00B960AC" w:rsidRDefault="00A61396" w:rsidP="00A61396">
            <w:pPr>
              <w:spacing w:before="120" w:after="120" w:line="240" w:lineRule="auto"/>
              <w:jc w:val="both"/>
              <w:rPr>
                <w:rFonts w:ascii="Baskerville Old Face" w:hAnsi="Baskerville Old Face" w:cs="Arial"/>
                <w:sz w:val="18"/>
              </w:rPr>
            </w:pPr>
            <w:r w:rsidRPr="00B960AC">
              <w:rPr>
                <w:rFonts w:ascii="Baskerville Old Face" w:hAnsi="Baskerville Old Face" w:cs="Arial"/>
                <w:sz w:val="18"/>
              </w:rPr>
              <w:t>Th</w:t>
            </w:r>
            <w:r w:rsidR="00D801C8" w:rsidRPr="00B960AC">
              <w:rPr>
                <w:rFonts w:ascii="Baskerville Old Face" w:hAnsi="Baskerville Old Face" w:cs="Arial"/>
                <w:sz w:val="18"/>
              </w:rPr>
              <w:t xml:space="preserve">e </w:t>
            </w:r>
            <w:r w:rsidRPr="00B960AC">
              <w:rPr>
                <w:rFonts w:ascii="Baskerville Old Face" w:hAnsi="Baskerville Old Face" w:cs="Arial"/>
                <w:sz w:val="18"/>
              </w:rPr>
              <w:t xml:space="preserve">decision </w:t>
            </w:r>
            <w:r w:rsidR="00D801C8" w:rsidRPr="00B960AC">
              <w:rPr>
                <w:rFonts w:ascii="Baskerville Old Face" w:hAnsi="Baskerville Old Face" w:cs="Arial"/>
                <w:sz w:val="18"/>
              </w:rPr>
              <w:t xml:space="preserve">to align the ECOWAS CET to the one adopted at WAEMU level </w:t>
            </w:r>
            <w:r w:rsidRPr="00B960AC">
              <w:rPr>
                <w:rFonts w:ascii="Baskerville Old Face" w:hAnsi="Baskerville Old Face" w:cs="Arial"/>
                <w:sz w:val="18"/>
              </w:rPr>
              <w:t>was confirmed by Heads of States at the Niamey summit of January 2006, which adopted a similar four-band tariff and agreed that all non-WAEMU countries would transition to this tariff by end-2008</w:t>
            </w:r>
            <w:r w:rsidRPr="00B960AC">
              <w:rPr>
                <w:rStyle w:val="FootnoteReference"/>
                <w:rFonts w:ascii="Baskerville Old Face" w:hAnsi="Baskerville Old Face" w:cs="Arial"/>
                <w:sz w:val="18"/>
              </w:rPr>
              <w:footnoteReference w:id="6"/>
            </w:r>
            <w:r w:rsidRPr="00B960AC">
              <w:rPr>
                <w:rFonts w:ascii="Baskerville Old Face" w:hAnsi="Baskerville Old Face" w:cs="Arial"/>
                <w:sz w:val="18"/>
              </w:rPr>
              <w:t>. However, pressures from certain countries, notably Nigeria, resulted in 2009 in the revision of the TEC to provide additional protection for 130 “specific goods for economic development” through a fifth tariff band, initially proposed at 50% but revised at 35%. In subsequent years, intense technical and political negotiations took place, notably to determine the appropriate tariff band for each product based on different countries and stakeholders’ priorities to protect domestic producers or maintain low consumer prices.</w:t>
            </w:r>
          </w:p>
          <w:p w:rsidR="00A61396" w:rsidRPr="00B960AC" w:rsidRDefault="00A61396" w:rsidP="00A61396">
            <w:pPr>
              <w:spacing w:before="120" w:after="120" w:line="240" w:lineRule="auto"/>
              <w:jc w:val="both"/>
              <w:rPr>
                <w:rFonts w:ascii="Baskerville Old Face" w:hAnsi="Baskerville Old Face" w:cs="Arial"/>
                <w:sz w:val="18"/>
              </w:rPr>
            </w:pPr>
            <w:r w:rsidRPr="00B960AC">
              <w:rPr>
                <w:rFonts w:ascii="Baskerville Old Face" w:hAnsi="Baskerville Old Face" w:cs="Arial"/>
                <w:sz w:val="18"/>
              </w:rPr>
              <w:t>A consensus was eventually reached for the final structure of the CET, which was endorsed by ECOWAS Heads of States in Dakar in October 2013 and set to come into force on January 1st, 2015. In addition to customs duties, the CET comprises two Supplementary Protection Measures (SPMs), namely the temporary Import Adjustment Tax (IAT) and the safeguard Supplementary Protection Tax (SPT). During a five-year transition period, member States are granted the flexibility to deviate from the CET for a maximum of 3% of tariff lines and a maximum total tax rate (customs duty, IAT and SPT) of 70%.</w:t>
            </w:r>
          </w:p>
          <w:p w:rsidR="00365FE6" w:rsidRPr="00B960AC" w:rsidRDefault="00A61396" w:rsidP="00A61396">
            <w:pPr>
              <w:spacing w:before="120" w:after="120" w:line="240" w:lineRule="auto"/>
              <w:jc w:val="both"/>
              <w:rPr>
                <w:rFonts w:ascii="Baskerville Old Face" w:hAnsi="Baskerville Old Face" w:cs="Arial"/>
                <w:sz w:val="18"/>
              </w:rPr>
            </w:pPr>
            <w:r w:rsidRPr="00B960AC">
              <w:rPr>
                <w:rFonts w:ascii="Baskerville Old Face" w:hAnsi="Baskerville Old Face" w:cs="Arial"/>
                <w:sz w:val="18"/>
              </w:rPr>
              <w:t>The adoption of the ECOWAS CET has shifted the focus on its implementation from 2015. Regional meetings in end-2014 confirmed that the region was ready to start applying the CET but acknowledged that significant implementation challenges will be faced, at least initially. Outstanding issues include: (i) the clarification of the application modalities of SPMs, (ii) the development of a community customs code (iii) possible renegotiations at the WTO for some ECOWAS countries and products for which CET rates will exceed WTO-bound rates, (iv) the establishment a sound regional mechanism to monitor the effective implementation by all countries of the CET and compliance with SPM application rules, (v) the removal of policy barriers to intra-regional trade and improvement of the ECOWAS Trade Liberalization Scheme (ETLS), and (vi) the eventual elaboration of a common ECOWAS trade policy.</w:t>
            </w:r>
          </w:p>
          <w:p w:rsidR="00365FE6" w:rsidRPr="00B960AC" w:rsidRDefault="00365FE6" w:rsidP="00F74D36">
            <w:pPr>
              <w:spacing w:before="200" w:after="60" w:line="240" w:lineRule="auto"/>
              <w:jc w:val="both"/>
              <w:rPr>
                <w:rFonts w:ascii="Baskerville Old Face" w:hAnsi="Baskerville Old Face" w:cs="Arial"/>
                <w:sz w:val="18"/>
                <w:lang w:val="fr-FR"/>
              </w:rPr>
            </w:pPr>
            <w:r w:rsidRPr="00B960AC">
              <w:rPr>
                <w:rFonts w:ascii="Baskerville Old Face" w:hAnsi="Baskerville Old Face" w:cs="Arial"/>
                <w:sz w:val="18"/>
                <w:lang w:val="fr-FR"/>
              </w:rPr>
              <w:t xml:space="preserve">Source : WTO (2005), De </w:t>
            </w:r>
            <w:proofErr w:type="spellStart"/>
            <w:r w:rsidRPr="00B960AC">
              <w:rPr>
                <w:rFonts w:ascii="Baskerville Old Face" w:hAnsi="Baskerville Old Face" w:cs="Arial"/>
                <w:sz w:val="18"/>
                <w:lang w:val="fr-FR"/>
              </w:rPr>
              <w:t>Roquefeuil</w:t>
            </w:r>
            <w:proofErr w:type="spellEnd"/>
            <w:r w:rsidRPr="00B960AC">
              <w:rPr>
                <w:rFonts w:ascii="Baskerville Old Face" w:hAnsi="Baskerville Old Face" w:cs="Arial"/>
                <w:sz w:val="18"/>
                <w:lang w:val="fr-FR"/>
              </w:rPr>
              <w:t xml:space="preserve"> (2013), De </w:t>
            </w:r>
            <w:proofErr w:type="spellStart"/>
            <w:r w:rsidRPr="00B960AC">
              <w:rPr>
                <w:rFonts w:ascii="Baskerville Old Face" w:hAnsi="Baskerville Old Face" w:cs="Arial"/>
                <w:sz w:val="18"/>
                <w:lang w:val="fr-FR"/>
              </w:rPr>
              <w:t>Roquefeuil</w:t>
            </w:r>
            <w:proofErr w:type="spellEnd"/>
            <w:r w:rsidRPr="00B960AC">
              <w:rPr>
                <w:rFonts w:ascii="Baskerville Old Face" w:hAnsi="Baskerville Old Face" w:cs="Arial"/>
                <w:sz w:val="18"/>
                <w:lang w:val="fr-FR"/>
              </w:rPr>
              <w:t xml:space="preserve"> et al. (2014), ECOWAS (2014a, 2014b, 2014c).</w:t>
            </w:r>
          </w:p>
        </w:tc>
      </w:tr>
    </w:tbl>
    <w:p w:rsidR="00365FE6" w:rsidRPr="00B960AC" w:rsidRDefault="00365FE6">
      <w:pPr>
        <w:spacing w:after="0" w:line="240" w:lineRule="auto"/>
        <w:rPr>
          <w:rFonts w:ascii="Baskerville Old Face" w:hAnsi="Baskerville Old Face" w:cs="Arial"/>
          <w:sz w:val="20"/>
          <w:lang w:val="fr-FR"/>
        </w:rPr>
      </w:pPr>
    </w:p>
    <w:p w:rsidR="00150EC3" w:rsidRPr="00B960AC" w:rsidRDefault="00150EC3">
      <w:pPr>
        <w:spacing w:after="0" w:line="240" w:lineRule="auto"/>
        <w:rPr>
          <w:rFonts w:ascii="Baskerville Old Face" w:eastAsiaTheme="minorHAnsi" w:hAnsi="Baskerville Old Face" w:cs="Arial"/>
          <w:b/>
          <w:bCs/>
          <w:color w:val="4F81BD" w:themeColor="accent1"/>
          <w:sz w:val="20"/>
          <w:szCs w:val="18"/>
        </w:rPr>
      </w:pPr>
      <w:bookmarkStart w:id="2" w:name="_Ref405470916"/>
      <w:r w:rsidRPr="00B960AC">
        <w:rPr>
          <w:rFonts w:ascii="Baskerville Old Face" w:hAnsi="Baskerville Old Face" w:cs="Arial"/>
          <w:sz w:val="20"/>
        </w:rPr>
        <w:br w:type="page"/>
      </w:r>
    </w:p>
    <w:p w:rsidR="00C539B5" w:rsidRPr="00B960AC" w:rsidRDefault="00C539B5" w:rsidP="00F21E70">
      <w:pPr>
        <w:pStyle w:val="Caption"/>
        <w:spacing w:before="240" w:after="60"/>
        <w:jc w:val="center"/>
        <w:rPr>
          <w:rFonts w:ascii="Baskerville Old Face" w:hAnsi="Baskerville Old Face" w:cs="Arial"/>
          <w:szCs w:val="22"/>
        </w:rPr>
      </w:pPr>
      <w:bookmarkStart w:id="3" w:name="_Ref408995359"/>
      <w:r w:rsidRPr="00B960AC">
        <w:rPr>
          <w:rFonts w:ascii="Baskerville Old Face" w:hAnsi="Baskerville Old Face" w:cs="Arial"/>
          <w:szCs w:val="22"/>
        </w:rPr>
        <w:lastRenderedPageBreak/>
        <w:t xml:space="preserve">Box </w:t>
      </w:r>
      <w:r w:rsidR="00B45330" w:rsidRPr="00B960AC">
        <w:rPr>
          <w:rFonts w:ascii="Baskerville Old Face" w:hAnsi="Baskerville Old Face" w:cs="Arial"/>
          <w:szCs w:val="22"/>
        </w:rPr>
        <w:fldChar w:fldCharType="begin"/>
      </w:r>
      <w:r w:rsidRPr="00B960AC">
        <w:rPr>
          <w:rFonts w:ascii="Baskerville Old Face" w:hAnsi="Baskerville Old Face" w:cs="Arial"/>
          <w:szCs w:val="22"/>
        </w:rPr>
        <w:instrText xml:space="preserve"> SEQ Box \* ARABIC </w:instrText>
      </w:r>
      <w:r w:rsidR="00B45330" w:rsidRPr="00B960AC">
        <w:rPr>
          <w:rFonts w:ascii="Baskerville Old Face" w:hAnsi="Baskerville Old Face" w:cs="Arial"/>
          <w:szCs w:val="22"/>
        </w:rPr>
        <w:fldChar w:fldCharType="separate"/>
      </w:r>
      <w:r w:rsidR="002C3AA7" w:rsidRPr="00B960AC">
        <w:rPr>
          <w:rFonts w:ascii="Baskerville Old Face" w:hAnsi="Baskerville Old Face" w:cs="Arial"/>
          <w:noProof/>
          <w:szCs w:val="22"/>
        </w:rPr>
        <w:t>2</w:t>
      </w:r>
      <w:r w:rsidR="00B45330" w:rsidRPr="00B960AC">
        <w:rPr>
          <w:rFonts w:ascii="Baskerville Old Face" w:hAnsi="Baskerville Old Face" w:cs="Arial"/>
          <w:szCs w:val="22"/>
        </w:rPr>
        <w:fldChar w:fldCharType="end"/>
      </w:r>
      <w:bookmarkEnd w:id="2"/>
      <w:bookmarkEnd w:id="3"/>
      <w:r w:rsidRPr="00B960AC">
        <w:rPr>
          <w:rFonts w:ascii="Baskerville Old Face" w:hAnsi="Baskerville Old Face" w:cs="Arial"/>
          <w:szCs w:val="22"/>
        </w:rPr>
        <w:t>: The ECOWAS-EU Economic Partnership Agreement</w:t>
      </w:r>
    </w:p>
    <w:tbl>
      <w:tblPr>
        <w:tblStyle w:val="TableGrid"/>
        <w:tblW w:w="0" w:type="auto"/>
        <w:tblLook w:val="04A0" w:firstRow="1" w:lastRow="0" w:firstColumn="1" w:lastColumn="0" w:noHBand="0" w:noVBand="1"/>
      </w:tblPr>
      <w:tblGrid>
        <w:gridCol w:w="9350"/>
      </w:tblGrid>
      <w:tr w:rsidR="00C539B5" w:rsidRPr="00B960AC" w:rsidTr="00882812">
        <w:tc>
          <w:tcPr>
            <w:tcW w:w="9576" w:type="dxa"/>
          </w:tcPr>
          <w:p w:rsidR="00A61396" w:rsidRPr="00B960AC" w:rsidRDefault="00A61396" w:rsidP="00A61396">
            <w:pPr>
              <w:spacing w:before="120" w:after="120"/>
              <w:jc w:val="both"/>
              <w:rPr>
                <w:rFonts w:ascii="Baskerville Old Face" w:hAnsi="Baskerville Old Face" w:cs="Arial"/>
                <w:sz w:val="18"/>
              </w:rPr>
            </w:pPr>
            <w:r w:rsidRPr="00B960AC">
              <w:rPr>
                <w:rFonts w:ascii="Baskerville Old Face" w:hAnsi="Baskerville Old Face" w:cs="Arial"/>
                <w:sz w:val="18"/>
              </w:rPr>
              <w:t>Negotiations of EPAs between the EU and regional groupings of ACP countries, including West Africa,</w:t>
            </w:r>
            <w:r w:rsidRPr="00B960AC">
              <w:rPr>
                <w:rStyle w:val="FootnoteReference"/>
                <w:rFonts w:ascii="Baskerville Old Face" w:hAnsi="Baskerville Old Face" w:cs="Arial"/>
                <w:sz w:val="18"/>
              </w:rPr>
              <w:footnoteReference w:id="7"/>
            </w:r>
            <w:r w:rsidRPr="00B960AC">
              <w:rPr>
                <w:rFonts w:ascii="Baskerville Old Face" w:hAnsi="Baskerville Old Face" w:cs="Arial"/>
                <w:sz w:val="18"/>
              </w:rPr>
              <w:t xml:space="preserve"> started in 2002 and were initially planned to be completed by 2008. The main objectives advanced by the EU to justify the need for EPAs were to (i) comply with WTO requirement for reciprocity in trade agreements (as opposed to previous unilateral preferential agreements which discriminated against non-ACP developing countries), (ii) promote ACP countries’ trade, development and insertion in the global economy, and (iii) advance regional integration.</w:t>
            </w:r>
          </w:p>
          <w:p w:rsidR="00A61396" w:rsidRPr="00B960AC" w:rsidRDefault="00A61396" w:rsidP="00A61396">
            <w:pPr>
              <w:spacing w:before="120" w:after="120"/>
              <w:jc w:val="both"/>
              <w:rPr>
                <w:rFonts w:ascii="Baskerville Old Face" w:hAnsi="Baskerville Old Face" w:cs="Arial"/>
                <w:sz w:val="18"/>
              </w:rPr>
            </w:pPr>
            <w:r w:rsidRPr="00B960AC">
              <w:rPr>
                <w:rFonts w:ascii="Baskerville Old Face" w:hAnsi="Baskerville Old Face" w:cs="Arial"/>
                <w:sz w:val="18"/>
              </w:rPr>
              <w:t>One complexity of the EPA negotiations in West Africa has stemmed from the diverse economic structures and interests of ECOWAS countries. LDCs, which represent the majority of these countries, are eligible to duty-free quota-free (DFQF) access to the European market under the Everything But Arms (EBA) scheme, and would in theory not lose access should no EPA be signed</w:t>
            </w:r>
            <w:r w:rsidRPr="00B960AC">
              <w:rPr>
                <w:rStyle w:val="FootnoteReference"/>
                <w:rFonts w:ascii="Baskerville Old Face" w:hAnsi="Baskerville Old Face" w:cs="Arial"/>
                <w:sz w:val="18"/>
              </w:rPr>
              <w:footnoteReference w:id="8"/>
            </w:r>
            <w:r w:rsidRPr="00B960AC">
              <w:rPr>
                <w:rFonts w:ascii="Baskerville Old Face" w:hAnsi="Baskerville Old Face" w:cs="Arial"/>
                <w:sz w:val="18"/>
              </w:rPr>
              <w:t xml:space="preserve">. Non-LDCs in the region would stand to lose more without an EPA, which pushed Ghana and Cote d’Ivoire to negotiate an “interim EPA” with the EU in 2007. This has undermined the position of the ECOWAS as a single negotiating block and the prospects for an ECOWAS common market, although the interim agreements have not been ratified. As </w:t>
            </w:r>
            <w:proofErr w:type="spellStart"/>
            <w:r w:rsidRPr="00B960AC">
              <w:rPr>
                <w:rFonts w:ascii="Baskerville Old Face" w:hAnsi="Baskerville Old Face" w:cs="Arial"/>
                <w:sz w:val="18"/>
              </w:rPr>
              <w:t>Cotonou</w:t>
            </w:r>
            <w:proofErr w:type="spellEnd"/>
            <w:r w:rsidRPr="00B960AC">
              <w:rPr>
                <w:rFonts w:ascii="Baskerville Old Face" w:hAnsi="Baskerville Old Face" w:cs="Arial"/>
                <w:sz w:val="18"/>
              </w:rPr>
              <w:t xml:space="preserve"> Agreement preferences expired in end-2007, the EU temporarily granted DFQF market access to ACP countries having engaged EPA negotiations under the Market Access Regulation (MAR). The others reverted to the less favorable </w:t>
            </w:r>
            <w:r w:rsidR="004157F0" w:rsidRPr="00B960AC">
              <w:rPr>
                <w:rFonts w:ascii="Baskerville Old Face" w:hAnsi="Baskerville Old Face" w:cs="Arial"/>
                <w:sz w:val="18"/>
              </w:rPr>
              <w:t>GSP</w:t>
            </w:r>
            <w:r w:rsidRPr="00B960AC">
              <w:rPr>
                <w:rFonts w:ascii="Baskerville Old Face" w:hAnsi="Baskerville Old Face" w:cs="Arial"/>
                <w:sz w:val="18"/>
              </w:rPr>
              <w:t xml:space="preserve"> (Nigeria), an enhanced “GSP+” (Cabo Verde) or the EBA in the case of LDCs.</w:t>
            </w:r>
          </w:p>
          <w:p w:rsidR="00F21E70" w:rsidRPr="00B960AC" w:rsidRDefault="00A61396" w:rsidP="00A61396">
            <w:pPr>
              <w:spacing w:before="120" w:after="120"/>
              <w:jc w:val="both"/>
              <w:rPr>
                <w:rFonts w:ascii="Baskerville Old Face" w:hAnsi="Baskerville Old Face" w:cs="Arial"/>
                <w:sz w:val="18"/>
              </w:rPr>
            </w:pPr>
            <w:r w:rsidRPr="00B960AC">
              <w:rPr>
                <w:rFonts w:ascii="Baskerville Old Face" w:hAnsi="Baskerville Old Face" w:cs="Arial"/>
                <w:sz w:val="18"/>
              </w:rPr>
              <w:t xml:space="preserve">EPA negotiations </w:t>
            </w:r>
            <w:r w:rsidR="00F21E70" w:rsidRPr="00B960AC">
              <w:rPr>
                <w:rFonts w:ascii="Baskerville Old Face" w:hAnsi="Baskerville Old Face" w:cs="Arial"/>
                <w:sz w:val="18"/>
              </w:rPr>
              <w:t>stretched over more than a decade, increasing</w:t>
            </w:r>
            <w:r w:rsidRPr="00B960AC">
              <w:rPr>
                <w:rFonts w:ascii="Baskerville Old Face" w:hAnsi="Baskerville Old Face" w:cs="Arial"/>
                <w:sz w:val="18"/>
              </w:rPr>
              <w:t xml:space="preserve"> tensions between the two parties</w:t>
            </w:r>
            <w:r w:rsidR="00F21E70" w:rsidRPr="00B960AC">
              <w:rPr>
                <w:rFonts w:ascii="Baskerville Old Face" w:hAnsi="Baskerville Old Face" w:cs="Arial"/>
                <w:sz w:val="18"/>
              </w:rPr>
              <w:t xml:space="preserve"> and </w:t>
            </w:r>
            <w:r w:rsidRPr="00B960AC">
              <w:rPr>
                <w:rFonts w:ascii="Baskerville Old Face" w:hAnsi="Baskerville Old Face" w:cs="Arial"/>
                <w:sz w:val="18"/>
              </w:rPr>
              <w:t>within the West African group. Some of the main stumbling blocks concerned the extent and timeline of West Africa’s market access offer, as well as the amount of the “EPA Development Program” (PAPED in French) meant to help West African countries cope with adjustment costs. In order to speed up negotiations, the European Commission announced in September 2011</w:t>
            </w:r>
            <w:r w:rsidR="00F21E70" w:rsidRPr="00B960AC">
              <w:rPr>
                <w:rFonts w:ascii="Baskerville Old Face" w:hAnsi="Baskerville Old Face" w:cs="Arial"/>
                <w:sz w:val="18"/>
              </w:rPr>
              <w:t xml:space="preserve"> </w:t>
            </w:r>
            <w:r w:rsidRPr="00B960AC">
              <w:rPr>
                <w:rFonts w:ascii="Baskerville Old Face" w:hAnsi="Baskerville Old Face" w:cs="Arial"/>
                <w:sz w:val="18"/>
              </w:rPr>
              <w:t xml:space="preserve">that the temporary MAR treatment would end for </w:t>
            </w:r>
            <w:r w:rsidR="00F21E70" w:rsidRPr="00B960AC">
              <w:rPr>
                <w:rFonts w:ascii="Baskerville Old Face" w:hAnsi="Baskerville Old Face" w:cs="Arial"/>
                <w:sz w:val="18"/>
              </w:rPr>
              <w:t xml:space="preserve">ACP </w:t>
            </w:r>
            <w:r w:rsidRPr="00B960AC">
              <w:rPr>
                <w:rFonts w:ascii="Baskerville Old Face" w:hAnsi="Baskerville Old Face" w:cs="Arial"/>
                <w:sz w:val="18"/>
              </w:rPr>
              <w:t xml:space="preserve">countries who failed to conclude an EPA by October 2014. A compromise was subsequently found by Chief Negotiators of the two parties in February 2014 and, after some revisions requested by Nigeria and other countries, West African Heads of States eventually endorsed the agreement in July 2014. However, opposition to the EPA by some Nigerian stakeholders has remained strong and the willingness of the Federal Government to sign it is still unclear, maintaining uncertainty regarding the future of the agreement. </w:t>
            </w:r>
          </w:p>
          <w:p w:rsidR="00A61396" w:rsidRPr="00B960AC" w:rsidRDefault="00A61396" w:rsidP="00A61396">
            <w:pPr>
              <w:spacing w:before="120" w:after="120"/>
              <w:jc w:val="both"/>
              <w:rPr>
                <w:rFonts w:ascii="Baskerville Old Face" w:hAnsi="Baskerville Old Face" w:cs="Arial"/>
                <w:sz w:val="18"/>
              </w:rPr>
            </w:pPr>
            <w:r w:rsidRPr="00B960AC">
              <w:rPr>
                <w:rFonts w:ascii="Baskerville Old Face" w:hAnsi="Baskerville Old Face" w:cs="Arial"/>
                <w:sz w:val="18"/>
              </w:rPr>
              <w:t xml:space="preserve">Under the negotiated agreement, the EU will fully open its market to West African products from the first day of entry into force, while West African countries will gradually remove tariffs on imports from the EU for 75% of ECOWAS CET tariff lines, over a 20-year transition period and at various speeds for different categories of products. The remaining 25% of goods for which ECOWAS countries wish to protect existing or potential producers will not </w:t>
            </w:r>
            <w:r w:rsidR="00F21E70" w:rsidRPr="00B960AC">
              <w:rPr>
                <w:rFonts w:ascii="Baskerville Old Face" w:hAnsi="Baskerville Old Face" w:cs="Arial"/>
                <w:sz w:val="18"/>
              </w:rPr>
              <w:t>see tariffs reduced</w:t>
            </w:r>
            <w:r w:rsidRPr="00B960AC">
              <w:rPr>
                <w:rFonts w:ascii="Baskerville Old Face" w:hAnsi="Baskerville Old Face" w:cs="Arial"/>
                <w:sz w:val="18"/>
              </w:rPr>
              <w:t>. Moreover, trade defense measures are included to protect West African countries from the risk of sudden and excessive increase in imports of liberalized products from the EU, including in infant industries. The more flexible rules of origin will allow West African producers to export duty-free products made with inputs from third countries. Finally, an amount of 6.5 billion euros has been pledged by the EU for the PAPED during the period 2015-2019.</w:t>
            </w:r>
          </w:p>
          <w:p w:rsidR="00A61396" w:rsidRPr="00B960AC" w:rsidRDefault="00A61396" w:rsidP="00A61396">
            <w:pPr>
              <w:spacing w:before="120" w:after="120"/>
              <w:jc w:val="both"/>
              <w:rPr>
                <w:rFonts w:ascii="Baskerville Old Face" w:hAnsi="Baskerville Old Face" w:cs="Arial"/>
                <w:sz w:val="18"/>
              </w:rPr>
            </w:pPr>
            <w:r w:rsidRPr="00B960AC">
              <w:rPr>
                <w:rFonts w:ascii="Baskerville Old Face" w:hAnsi="Baskerville Old Face" w:cs="Arial"/>
                <w:sz w:val="18"/>
              </w:rPr>
              <w:t xml:space="preserve">The negotiated EPA is a traditional trade agreement, in the sense that it only covers goods and largely focuses on tariff reductions, although many African countries have only seen a weak supply response to such trade preferences in the past. However, the initial objective of the EPAs was to establish </w:t>
            </w:r>
            <w:r w:rsidR="004157F0" w:rsidRPr="00B960AC">
              <w:rPr>
                <w:rFonts w:ascii="Baskerville Old Face" w:hAnsi="Baskerville Old Face" w:cs="Arial"/>
                <w:sz w:val="18"/>
              </w:rPr>
              <w:t xml:space="preserve">more </w:t>
            </w:r>
            <w:r w:rsidRPr="00B960AC">
              <w:rPr>
                <w:rFonts w:ascii="Baskerville Old Face" w:hAnsi="Baskerville Old Face" w:cs="Arial"/>
                <w:sz w:val="18"/>
              </w:rPr>
              <w:t>comprehensive development frameworks by supporting domestic and regional reforms that address deeper supply-side constraints to competitiveness, including both tariff and non-tariff barriers to trade, access and costs of backbone services, trade facilitation and regional integration, etc. (Brenton et al. 2008).</w:t>
            </w:r>
            <w:r w:rsidRPr="00B960AC">
              <w:rPr>
                <w:rFonts w:ascii="Baskerville Old Face" w:hAnsi="Baskerville Old Face" w:cs="Arial"/>
                <w:sz w:val="18"/>
                <w:szCs w:val="18"/>
              </w:rPr>
              <w:t xml:space="preserve"> While further EPA negotiations between West Africa and the EU are expected on issues such as services, competition and investment, no clear timeline has been established so far. The possibility to complement the EPA to cover a broader set of issues related to domestic competiveness will arguably determine its impact on trade, regional integration and development in the future.</w:t>
            </w:r>
          </w:p>
          <w:p w:rsidR="00C539B5" w:rsidRPr="00B960AC" w:rsidRDefault="00A61396" w:rsidP="00A61396">
            <w:pPr>
              <w:spacing w:before="200" w:after="120" w:line="240" w:lineRule="auto"/>
              <w:jc w:val="both"/>
              <w:rPr>
                <w:rFonts w:ascii="Baskerville Old Face" w:hAnsi="Baskerville Old Face" w:cs="Arial"/>
                <w:sz w:val="18"/>
                <w:lang w:val="fr-FR"/>
              </w:rPr>
            </w:pPr>
            <w:r w:rsidRPr="00B960AC">
              <w:rPr>
                <w:rFonts w:ascii="Baskerville Old Face" w:hAnsi="Baskerville Old Face" w:cs="Arial"/>
                <w:sz w:val="18"/>
                <w:lang w:val="fr-FR"/>
              </w:rPr>
              <w:t xml:space="preserve">Source: </w:t>
            </w:r>
            <w:hyperlink r:id="rId12" w:history="1">
              <w:r w:rsidRPr="00B960AC">
                <w:rPr>
                  <w:rStyle w:val="Hyperlink"/>
                  <w:rFonts w:ascii="Baskerville Old Face" w:hAnsi="Baskerville Old Face" w:cs="Arial"/>
                  <w:sz w:val="18"/>
                  <w:lang w:val="fr-FR"/>
                </w:rPr>
                <w:t>http://ec.europa.eu</w:t>
              </w:r>
            </w:hyperlink>
            <w:r w:rsidRPr="00B960AC">
              <w:rPr>
                <w:rFonts w:ascii="Baskerville Old Face" w:hAnsi="Baskerville Old Face" w:cs="Arial"/>
                <w:sz w:val="18"/>
                <w:lang w:val="fr-FR"/>
              </w:rPr>
              <w:t xml:space="preserve">, </w:t>
            </w:r>
            <w:hyperlink r:id="rId13" w:history="1">
              <w:r w:rsidRPr="00B960AC">
                <w:rPr>
                  <w:rStyle w:val="Hyperlink"/>
                  <w:rFonts w:ascii="Baskerville Old Face" w:hAnsi="Baskerville Old Face" w:cs="Arial"/>
                  <w:sz w:val="18"/>
                  <w:lang w:val="fr-FR"/>
                </w:rPr>
                <w:t>http://www.ictsd.org</w:t>
              </w:r>
            </w:hyperlink>
            <w:r w:rsidRPr="00B960AC">
              <w:rPr>
                <w:rFonts w:ascii="Baskerville Old Face" w:hAnsi="Baskerville Old Face" w:cs="Arial"/>
                <w:sz w:val="18"/>
                <w:lang w:val="fr-FR"/>
              </w:rPr>
              <w:t xml:space="preserve">, </w:t>
            </w:r>
            <w:hyperlink r:id="rId14" w:history="1">
              <w:r w:rsidRPr="00B960AC">
                <w:rPr>
                  <w:rStyle w:val="Hyperlink"/>
                  <w:rFonts w:ascii="Baskerville Old Face" w:hAnsi="Baskerville Old Face" w:cs="Arial"/>
                  <w:sz w:val="18"/>
                  <w:lang w:val="fr-FR"/>
                </w:rPr>
                <w:t>http://ecdpm.org</w:t>
              </w:r>
            </w:hyperlink>
          </w:p>
        </w:tc>
      </w:tr>
    </w:tbl>
    <w:p w:rsidR="00C539B5" w:rsidRPr="00B960AC" w:rsidRDefault="00C539B5" w:rsidP="00C539B5">
      <w:pPr>
        <w:spacing w:before="360"/>
        <w:rPr>
          <w:rFonts w:ascii="Baskerville Old Face" w:hAnsi="Baskerville Old Face" w:cs="Arial"/>
          <w:b/>
          <w:sz w:val="20"/>
          <w:lang w:val="fr-FR"/>
        </w:rPr>
        <w:sectPr w:rsidR="00C539B5" w:rsidRPr="00B960AC" w:rsidSect="00365FE6">
          <w:type w:val="continuous"/>
          <w:pgSz w:w="12240" w:h="15840"/>
          <w:pgMar w:top="1440" w:right="1440" w:bottom="1440" w:left="1440" w:header="720" w:footer="720" w:gutter="0"/>
          <w:cols w:space="720"/>
          <w:docGrid w:linePitch="360"/>
        </w:sectPr>
      </w:pPr>
    </w:p>
    <w:p w:rsidR="00C539B5" w:rsidRPr="00B960AC" w:rsidRDefault="00C539B5" w:rsidP="00DA74E4">
      <w:pPr>
        <w:jc w:val="both"/>
        <w:rPr>
          <w:rFonts w:ascii="Baskerville Old Face" w:hAnsi="Baskerville Old Face" w:cs="Arial"/>
          <w:b/>
          <w:color w:val="943634" w:themeColor="accent2" w:themeShade="BF"/>
          <w:szCs w:val="22"/>
        </w:rPr>
      </w:pPr>
      <w:r w:rsidRPr="00B960AC">
        <w:rPr>
          <w:rFonts w:ascii="Baskerville Old Face" w:hAnsi="Baskerville Old Face" w:cs="Arial"/>
          <w:b/>
          <w:color w:val="943634" w:themeColor="accent2" w:themeShade="BF"/>
          <w:szCs w:val="22"/>
        </w:rPr>
        <w:lastRenderedPageBreak/>
        <w:t>Impacts of the CET and EPA on revenue, consumers and firms</w:t>
      </w:r>
    </w:p>
    <w:p w:rsidR="00A61396" w:rsidRPr="00B960AC" w:rsidRDefault="00B960AC" w:rsidP="00A61396">
      <w:pPr>
        <w:jc w:val="both"/>
        <w:rPr>
          <w:rFonts w:ascii="Baskerville Old Face" w:hAnsi="Baskerville Old Face" w:cs="Arial"/>
          <w:sz w:val="20"/>
        </w:rPr>
      </w:pPr>
      <w:r>
        <w:rPr>
          <w:rFonts w:ascii="Baskerville Old Face" w:hAnsi="Baskerville Old Face" w:cs="Arial"/>
          <w:bCs/>
          <w:sz w:val="20"/>
        </w:rPr>
        <w:tab/>
      </w:r>
      <w:r w:rsidR="00A61396" w:rsidRPr="00B960AC">
        <w:rPr>
          <w:rFonts w:ascii="Baskerville Old Face" w:hAnsi="Baskerville Old Face" w:cs="Arial"/>
          <w:bCs/>
          <w:sz w:val="20"/>
        </w:rPr>
        <w:t xml:space="preserve">The most contentious issues in the Nigerian public debate on the CET and EPA have been their impacts on public revenue, consumer welfare, firm profitability and job creation, with opponents claiming it would be strongly negative at all these levels. </w:t>
      </w:r>
      <w:r w:rsidR="00A61396" w:rsidRPr="00B960AC">
        <w:rPr>
          <w:rFonts w:ascii="Baskerville Old Face" w:hAnsi="Baskerville Old Face" w:cs="Arial"/>
          <w:sz w:val="20"/>
        </w:rPr>
        <w:t>Part of the confusion and conflicting messages about the predicted impacts of the CET and EPA come from issues related to methodologies, data availability or quality, and hypotheses used in the various studies prepared. As explained by their authors, the World Bank studies mentioned above aim at adding value to the policy debate by providing intuitive results relying on a transparent methodology and a limited number of simple assumptions</w:t>
      </w:r>
      <w:r w:rsidR="00A61396" w:rsidRPr="00B960AC">
        <w:rPr>
          <w:rStyle w:val="FootnoteReference"/>
          <w:rFonts w:ascii="Baskerville Old Face" w:hAnsi="Baskerville Old Face" w:cs="Arial"/>
          <w:sz w:val="20"/>
        </w:rPr>
        <w:footnoteReference w:id="9"/>
      </w:r>
      <w:r w:rsidR="00A61396" w:rsidRPr="00B960AC">
        <w:rPr>
          <w:rFonts w:ascii="Baskerville Old Face" w:hAnsi="Baskerville Old Face" w:cs="Arial"/>
          <w:sz w:val="20"/>
        </w:rPr>
        <w:t xml:space="preserve">. They evaluate the impact on trade, public revenue and domestic prices of changes in protection levels under the CET and EPA, using the World Bank’s Tariff Reform Impact Simulation Tool (TRIST). This tool relies on a simple partial equilibrium trade model calibrated with standard values for </w:t>
      </w:r>
      <w:proofErr w:type="spellStart"/>
      <w:r w:rsidR="00A61396" w:rsidRPr="00B960AC">
        <w:rPr>
          <w:rFonts w:ascii="Baskerville Old Face" w:hAnsi="Baskerville Old Face" w:cs="Arial"/>
          <w:sz w:val="20"/>
        </w:rPr>
        <w:t>elasticities</w:t>
      </w:r>
      <w:proofErr w:type="spellEnd"/>
      <w:r w:rsidR="00A61396" w:rsidRPr="00B960AC">
        <w:rPr>
          <w:rFonts w:ascii="Baskerville Old Face" w:hAnsi="Baskerville Old Face" w:cs="Arial"/>
          <w:sz w:val="20"/>
        </w:rPr>
        <w:t xml:space="preserve"> of substitution between exporters and for demand, which has widely been used to simulate short term impacts of tariff reforms. The resulting price changes are then matched with household and firm-level data to analyze the likely impacts on consumer welfare and firm profitability, respectively. Regarding firms, the short term impact on profitability of tariff-level changes is evaluated through three price channels, namely the domestic price of their output and the price of imported inputs and of capital goods that they use. In this setting, lower tariffs on a firm’s output should reduce its profitability but lower tariffs on inputs and capital goods should have a positive effect. </w:t>
      </w:r>
    </w:p>
    <w:p w:rsidR="00A61396" w:rsidRPr="00B960AC" w:rsidRDefault="00A61396" w:rsidP="00B960AC">
      <w:pPr>
        <w:pStyle w:val="ListParagraph"/>
        <w:numPr>
          <w:ilvl w:val="0"/>
          <w:numId w:val="28"/>
        </w:numPr>
        <w:spacing w:before="360"/>
        <w:contextualSpacing/>
        <w:jc w:val="both"/>
        <w:rPr>
          <w:rFonts w:ascii="Baskerville Old Face" w:hAnsi="Baskerville Old Face" w:cs="Arial"/>
          <w:b/>
          <w:i/>
          <w:sz w:val="20"/>
        </w:rPr>
      </w:pPr>
      <w:r w:rsidRPr="00B960AC">
        <w:rPr>
          <w:rFonts w:ascii="Baskerville Old Face" w:hAnsi="Baskerville Old Face" w:cs="Arial"/>
          <w:b/>
          <w:i/>
          <w:sz w:val="20"/>
        </w:rPr>
        <w:t>Impact of CET implementation</w:t>
      </w:r>
    </w:p>
    <w:p w:rsidR="00A61396" w:rsidRPr="00B960AC" w:rsidRDefault="00B960AC" w:rsidP="00A61396">
      <w:pPr>
        <w:spacing w:after="120"/>
        <w:jc w:val="both"/>
        <w:rPr>
          <w:rFonts w:ascii="Baskerville Old Face" w:hAnsi="Baskerville Old Face" w:cs="Arial"/>
          <w:sz w:val="20"/>
        </w:rPr>
      </w:pPr>
      <w:r>
        <w:rPr>
          <w:rFonts w:ascii="Baskerville Old Face" w:hAnsi="Baskerville Old Face" w:cs="Arial"/>
          <w:sz w:val="20"/>
        </w:rPr>
        <w:tab/>
      </w:r>
      <w:r w:rsidR="00A61396" w:rsidRPr="00B960AC">
        <w:rPr>
          <w:rFonts w:ascii="Baskerville Old Face" w:hAnsi="Baskerville Old Face" w:cs="Arial"/>
          <w:sz w:val="20"/>
        </w:rPr>
        <w:t>Three scenarios are considered for CET implementation in Nigeria, with increasing degree of liberalization: (A) CET-rate applied to non-banned products according to the agreed schedule (cf.</w:t>
      </w:r>
      <w:r w:rsidR="00B005D5" w:rsidRPr="00B960AC">
        <w:rPr>
          <w:rFonts w:ascii="Baskerville Old Face" w:hAnsi="Baskerville Old Face" w:cs="Arial"/>
          <w:sz w:val="20"/>
        </w:rPr>
        <w:t xml:space="preserve"> </w:t>
      </w:r>
      <w:r w:rsidR="00687BC4">
        <w:fldChar w:fldCharType="begin"/>
      </w:r>
      <w:r w:rsidR="00687BC4">
        <w:instrText xml:space="preserve"> REF _Ref408995089 \h  \* MERGEFORMAT </w:instrText>
      </w:r>
      <w:r w:rsidR="00687BC4">
        <w:fldChar w:fldCharType="separate"/>
      </w:r>
      <w:r w:rsidR="002C3AA7" w:rsidRPr="00B960AC">
        <w:rPr>
          <w:rFonts w:ascii="Baskerville Old Face" w:hAnsi="Baskerville Old Face" w:cs="Arial"/>
          <w:sz w:val="20"/>
        </w:rPr>
        <w:t>Box 1</w:t>
      </w:r>
      <w:r w:rsidR="00687BC4">
        <w:fldChar w:fldCharType="end"/>
      </w:r>
      <w:r w:rsidR="00A61396" w:rsidRPr="00B960AC">
        <w:rPr>
          <w:rFonts w:ascii="Baskerville Old Face" w:hAnsi="Baskerville Old Face" w:cs="Arial"/>
          <w:sz w:val="20"/>
        </w:rPr>
        <w:t>), zero tariffs for ECOWAS partners but with bans and special levies maintained, (B) same with removal of import bans, (C) full compliance with the CET with no bans or levies. The main results under the different scenarios are as follows:</w:t>
      </w:r>
    </w:p>
    <w:p w:rsidR="00A61396" w:rsidRPr="00B960AC" w:rsidRDefault="00A61396" w:rsidP="00A61396">
      <w:pPr>
        <w:pStyle w:val="ListParagraph"/>
        <w:numPr>
          <w:ilvl w:val="0"/>
          <w:numId w:val="24"/>
        </w:numPr>
        <w:spacing w:after="120"/>
        <w:ind w:left="270" w:hanging="270"/>
        <w:jc w:val="both"/>
        <w:rPr>
          <w:rFonts w:ascii="Baskerville Old Face" w:hAnsi="Baskerville Old Face" w:cs="Arial"/>
          <w:sz w:val="20"/>
        </w:rPr>
      </w:pPr>
      <w:r w:rsidRPr="00B960AC">
        <w:rPr>
          <w:rFonts w:ascii="Baskerville Old Face" w:hAnsi="Baskerville Old Face" w:cs="Arial"/>
          <w:b/>
          <w:i/>
          <w:sz w:val="20"/>
        </w:rPr>
        <w:lastRenderedPageBreak/>
        <w:t>Tariff level and trade flows:</w:t>
      </w:r>
      <w:r w:rsidRPr="00B960AC">
        <w:rPr>
          <w:rFonts w:ascii="Baskerville Old Face" w:hAnsi="Baskerville Old Face" w:cs="Arial"/>
          <w:sz w:val="20"/>
        </w:rPr>
        <w:t xml:space="preserve"> Nigeria’s trade regime is expected to become slightly more restrictive under scenario A, entailing a marginal reduction of imports by 0.3 - 0.6 %, while liberalization under scenarios B and C would lead imports to grow by 1.4 - 2.8% and 2.7 - 5.3% respectively. Significant tariff reduction would only occur for tobacco under the CET, but protection would fall for a more diverse set of products should bans and levies be removed (e.g. apparel, textiles, food and beverages, motor vehicles, leather products).</w:t>
      </w:r>
    </w:p>
    <w:p w:rsidR="00A61396" w:rsidRPr="00B960AC" w:rsidRDefault="00A61396" w:rsidP="00A61396">
      <w:pPr>
        <w:pStyle w:val="ListParagraph"/>
        <w:numPr>
          <w:ilvl w:val="0"/>
          <w:numId w:val="24"/>
        </w:numPr>
        <w:spacing w:after="120"/>
        <w:ind w:left="270" w:hanging="270"/>
        <w:jc w:val="both"/>
        <w:rPr>
          <w:rFonts w:ascii="Baskerville Old Face" w:hAnsi="Baskerville Old Face" w:cs="Arial"/>
          <w:sz w:val="20"/>
        </w:rPr>
      </w:pPr>
      <w:r w:rsidRPr="00B960AC">
        <w:rPr>
          <w:rFonts w:ascii="Baskerville Old Face" w:hAnsi="Baskerville Old Face" w:cs="Arial"/>
          <w:b/>
          <w:i/>
          <w:sz w:val="20"/>
        </w:rPr>
        <w:t>Public revenue:</w:t>
      </w:r>
      <w:r w:rsidRPr="00B960AC">
        <w:rPr>
          <w:rFonts w:ascii="Baskerville Old Face" w:hAnsi="Baskerville Old Face" w:cs="Arial"/>
          <w:sz w:val="20"/>
        </w:rPr>
        <w:t xml:space="preserve"> Under scenarios A, B and C, total revenue collected at borders would respectively increase by 2.5 – 2.9% (reflecting a more restrictive tariff structure), increase by 4.6 – 6.2% (due to the substitution of bans by revenue-generating tariffs), and decrease by 14.3 - 16.7% (due to loss of levy collection). This loss should nonetheless be qualified since (i) it is computed as if no duty exemptions were granted and therefore overestimate the revenue loss due to tariff reform (cf. below), (ii) removing levies and bans would reduce incentives to smuggle and encourage the use of revenue-generating formal trade channels, and (iii) revenue collected at borders only accounted for 3.7% of total government revenue in 2011, so the overall fiscal impact of full CET implementation would only be around half a percentage point.</w:t>
      </w:r>
    </w:p>
    <w:p w:rsidR="00A61396" w:rsidRPr="00B960AC" w:rsidRDefault="00A61396" w:rsidP="00A61396">
      <w:pPr>
        <w:pStyle w:val="ListParagraph"/>
        <w:numPr>
          <w:ilvl w:val="0"/>
          <w:numId w:val="24"/>
        </w:numPr>
        <w:spacing w:after="120"/>
        <w:ind w:left="270" w:hanging="270"/>
        <w:jc w:val="both"/>
        <w:rPr>
          <w:rFonts w:ascii="Baskerville Old Face" w:hAnsi="Baskerville Old Face" w:cs="Arial"/>
          <w:sz w:val="20"/>
        </w:rPr>
      </w:pPr>
      <w:r w:rsidRPr="00B960AC">
        <w:rPr>
          <w:rFonts w:ascii="Baskerville Old Face" w:hAnsi="Baskerville Old Face" w:cs="Arial"/>
          <w:b/>
          <w:i/>
          <w:sz w:val="20"/>
        </w:rPr>
        <w:t>Consumer welfare:</w:t>
      </w:r>
      <w:r w:rsidRPr="00B960AC">
        <w:rPr>
          <w:rFonts w:ascii="Baskerville Old Face" w:hAnsi="Baskerville Old Face" w:cs="Arial"/>
          <w:sz w:val="20"/>
        </w:rPr>
        <w:t xml:space="preserve"> With import bans and levies maintained, CET-induced price changes are expected to inflate the price of the average consumption bundle for consumers at all income levels by up to 0.7% on average, disproportionately affecting the poor. On the contrary, under the full reform scenario (C), households at every income quintile would benefit from 2.3 – 2.7% reduction of the cost of their average consumption bundle. The reduction of the price of rice would be the main driver of this welfare gain, notably for the poor, while the CET’s high tariffs for vegetables and meat would partially offset overall gains for consumers.</w:t>
      </w:r>
    </w:p>
    <w:p w:rsidR="00A61396" w:rsidRPr="00B960AC" w:rsidRDefault="00A61396" w:rsidP="00A61396">
      <w:pPr>
        <w:pStyle w:val="ListParagraph"/>
        <w:numPr>
          <w:ilvl w:val="0"/>
          <w:numId w:val="24"/>
        </w:numPr>
        <w:spacing w:after="120"/>
        <w:ind w:left="270" w:hanging="270"/>
        <w:jc w:val="both"/>
        <w:rPr>
          <w:rFonts w:ascii="Baskerville Old Face" w:hAnsi="Baskerville Old Face" w:cs="Arial"/>
          <w:i/>
          <w:sz w:val="20"/>
        </w:rPr>
      </w:pPr>
      <w:r w:rsidRPr="00B960AC">
        <w:rPr>
          <w:rFonts w:ascii="Baskerville Old Face" w:hAnsi="Baskerville Old Face" w:cs="Arial"/>
          <w:b/>
          <w:i/>
          <w:sz w:val="20"/>
        </w:rPr>
        <w:t>Firm profitability:</w:t>
      </w:r>
      <w:r w:rsidRPr="00B960AC">
        <w:rPr>
          <w:rFonts w:ascii="Baskerville Old Face" w:hAnsi="Baskerville Old Face" w:cs="Arial"/>
          <w:i/>
          <w:sz w:val="20"/>
        </w:rPr>
        <w:t xml:space="preserve"> </w:t>
      </w:r>
      <w:r w:rsidRPr="00B960AC">
        <w:rPr>
          <w:rFonts w:ascii="Baskerville Old Face" w:hAnsi="Baskerville Old Face" w:cs="Arial"/>
          <w:sz w:val="20"/>
        </w:rPr>
        <w:t xml:space="preserve">The estimated overall effect on profitability for the median firm in the sample is marginally positive in the full reform scenario (+0.1%), as gains from lower input prices due to the removal of import bans and levies are predicted to be slightly higher than losses to lower output prices. While the </w:t>
      </w:r>
      <w:r w:rsidRPr="00B960AC">
        <w:rPr>
          <w:rFonts w:ascii="Baskerville Old Face" w:hAnsi="Baskerville Old Face" w:cs="Arial"/>
          <w:sz w:val="20"/>
        </w:rPr>
        <w:lastRenderedPageBreak/>
        <w:t xml:space="preserve">overall impact is limited, it is noteworthy that, unlike windfall profit gains due to higher tariff protection, profit gains due to lower prices of more efficient imported inputs and capital goods have been shown to have positive and durable effect on productivity, competitiveness and growth. Benefits from lower input prices are found to be relatively evenly distributed across the universe of firms, while losses mostly affect firms previously benefiting from high protection from import bans and levies (e.g. textiles, apparel, food industries, </w:t>
      </w:r>
      <w:proofErr w:type="gramStart"/>
      <w:r w:rsidRPr="00B960AC">
        <w:rPr>
          <w:rFonts w:ascii="Baskerville Old Face" w:hAnsi="Baskerville Old Face" w:cs="Arial"/>
          <w:sz w:val="20"/>
        </w:rPr>
        <w:t>furniture</w:t>
      </w:r>
      <w:proofErr w:type="gramEnd"/>
      <w:r w:rsidRPr="00B960AC">
        <w:rPr>
          <w:rFonts w:ascii="Baskerville Old Face" w:hAnsi="Baskerville Old Face" w:cs="Arial"/>
          <w:sz w:val="20"/>
        </w:rPr>
        <w:t>). Overall, depending on the scenario considered, 60 to 75% of firms are expected to see their profitability increase after the reform. Under the full CET scenario with removal of import bans and levies, around 40% of firms would experience a reduction in their profitability, but most of them would remain profitable despite the reform. However, from a political economy perspective, the unbalanced distribution of gains and losses from trade liberalization implies that the negatively affected minority will have strong incentives to resist reforms, while the gains are distributed among a larger number of firms that are less likely to actively support reform</w:t>
      </w:r>
      <w:r w:rsidR="00B70E3C" w:rsidRPr="00B960AC">
        <w:rPr>
          <w:rFonts w:ascii="Baskerville Old Face" w:hAnsi="Baskerville Old Face" w:cs="Arial"/>
          <w:sz w:val="20"/>
        </w:rPr>
        <w:t>s</w:t>
      </w:r>
      <w:r w:rsidRPr="00B960AC">
        <w:rPr>
          <w:rFonts w:ascii="Baskerville Old Face" w:hAnsi="Baskerville Old Face" w:cs="Arial"/>
          <w:sz w:val="20"/>
        </w:rPr>
        <w:t>.</w:t>
      </w:r>
    </w:p>
    <w:p w:rsidR="00A61396" w:rsidRPr="00B960AC" w:rsidRDefault="00A61396" w:rsidP="00A61396">
      <w:pPr>
        <w:pStyle w:val="ListParagraph"/>
        <w:numPr>
          <w:ilvl w:val="0"/>
          <w:numId w:val="24"/>
        </w:numPr>
        <w:spacing w:after="120"/>
        <w:ind w:left="270" w:hanging="270"/>
        <w:jc w:val="both"/>
        <w:rPr>
          <w:rFonts w:ascii="Baskerville Old Face" w:hAnsi="Baskerville Old Face" w:cs="Arial"/>
          <w:sz w:val="20"/>
        </w:rPr>
      </w:pPr>
      <w:r w:rsidRPr="00B960AC">
        <w:rPr>
          <w:rFonts w:ascii="Baskerville Old Face" w:hAnsi="Baskerville Old Face" w:cs="Arial"/>
          <w:b/>
          <w:i/>
          <w:sz w:val="20"/>
        </w:rPr>
        <w:t>Jobs:</w:t>
      </w:r>
      <w:r w:rsidRPr="00B960AC">
        <w:rPr>
          <w:rFonts w:ascii="Baskerville Old Face" w:hAnsi="Baskerville Old Face" w:cs="Arial"/>
          <w:i/>
          <w:sz w:val="20"/>
        </w:rPr>
        <w:t xml:space="preserve"> </w:t>
      </w:r>
      <w:r w:rsidRPr="00B960AC">
        <w:rPr>
          <w:rFonts w:ascii="Baskerville Old Face" w:hAnsi="Baskerville Old Face" w:cs="Arial"/>
          <w:sz w:val="20"/>
        </w:rPr>
        <w:t xml:space="preserve">Weighing each firm by its contribution to total employment suggests that the 33% of firms negatively affected only represent 28% of current jobs. Heterogeneity among firms implies that new employment opportunities might develop in stronger firms even in sectors where some of the weaker firms may be forced to shed labor due to decreasing profitability. While this is likely to be the case in food industries, the situation is expected to be more problematic in textile and apparel, making it a possible priority sector for adjustment assistance to strengthen firms’ productivity or help redundant workers find employment in other sectors benefiting from the reform. </w:t>
      </w:r>
    </w:p>
    <w:p w:rsidR="00A61396" w:rsidRPr="00B960AC" w:rsidRDefault="00A61396" w:rsidP="00A61396">
      <w:pPr>
        <w:pStyle w:val="ListParagraph"/>
        <w:numPr>
          <w:ilvl w:val="0"/>
          <w:numId w:val="24"/>
        </w:numPr>
        <w:spacing w:after="120"/>
        <w:ind w:left="270" w:hanging="270"/>
        <w:jc w:val="both"/>
        <w:rPr>
          <w:rFonts w:ascii="Baskerville Old Face" w:hAnsi="Baskerville Old Face" w:cs="Arial"/>
          <w:i/>
          <w:sz w:val="20"/>
        </w:rPr>
      </w:pPr>
      <w:r w:rsidRPr="00B960AC">
        <w:rPr>
          <w:rFonts w:ascii="Baskerville Old Face" w:hAnsi="Baskerville Old Face" w:cs="Arial"/>
          <w:b/>
          <w:i/>
          <w:sz w:val="20"/>
        </w:rPr>
        <w:t>Market opportunities:</w:t>
      </w:r>
      <w:r w:rsidRPr="00B960AC">
        <w:rPr>
          <w:rFonts w:ascii="Baskerville Old Face" w:hAnsi="Baskerville Old Face" w:cs="Arial"/>
          <w:i/>
          <w:sz w:val="20"/>
        </w:rPr>
        <w:t xml:space="preserve"> </w:t>
      </w:r>
      <w:r w:rsidRPr="00B960AC">
        <w:rPr>
          <w:rFonts w:ascii="Baskerville Old Face" w:hAnsi="Baskerville Old Face" w:cs="Arial"/>
          <w:sz w:val="20"/>
        </w:rPr>
        <w:t xml:space="preserve">While the debate in Nigeria has focused on concerns over the impact of trade liberalization, the ECOWAS CET will actually significantly raise average tariffs for all other member countries. Without considering the impact this will have on the countries concerned, this should increase the preferential margin of some of Nigeria’s exports to the region (which can already enter ECOWAS markets duty-free under the ETLS). This is expected to be the case </w:t>
      </w:r>
      <w:r w:rsidR="00692E57" w:rsidRPr="00B960AC">
        <w:rPr>
          <w:rFonts w:ascii="Baskerville Old Face" w:hAnsi="Baskerville Old Face" w:cs="Arial"/>
          <w:sz w:val="20"/>
        </w:rPr>
        <w:t xml:space="preserve">in particular </w:t>
      </w:r>
      <w:r w:rsidRPr="00B960AC">
        <w:rPr>
          <w:rFonts w:ascii="Baskerville Old Face" w:hAnsi="Baskerville Old Face" w:cs="Arial"/>
          <w:sz w:val="20"/>
        </w:rPr>
        <w:t xml:space="preserve">for food products and beverages, notably in countries such as Ghana, Cote d’Ivoire and </w:t>
      </w:r>
      <w:r w:rsidRPr="00B960AC">
        <w:rPr>
          <w:rFonts w:ascii="Baskerville Old Face" w:hAnsi="Baskerville Old Face" w:cs="Arial"/>
          <w:sz w:val="20"/>
        </w:rPr>
        <w:lastRenderedPageBreak/>
        <w:t>Senegal, while the picture for other sectors is more mixed and depends on the country. This is important since regional markets are often a stepping stone for exporters not yet capable of competing on global markets.</w:t>
      </w:r>
    </w:p>
    <w:p w:rsidR="00A61396" w:rsidRPr="00B960AC" w:rsidRDefault="00A61396" w:rsidP="00A61396">
      <w:pPr>
        <w:pStyle w:val="ListParagraph"/>
        <w:numPr>
          <w:ilvl w:val="0"/>
          <w:numId w:val="24"/>
        </w:numPr>
        <w:spacing w:after="120"/>
        <w:ind w:left="270" w:hanging="270"/>
        <w:jc w:val="both"/>
        <w:rPr>
          <w:rFonts w:ascii="Baskerville Old Face" w:hAnsi="Baskerville Old Face" w:cs="Arial"/>
          <w:i/>
          <w:sz w:val="20"/>
        </w:rPr>
      </w:pPr>
      <w:r w:rsidRPr="00B960AC">
        <w:rPr>
          <w:rFonts w:ascii="Baskerville Old Face" w:hAnsi="Baskerville Old Face" w:cs="Arial"/>
          <w:b/>
          <w:i/>
          <w:sz w:val="20"/>
        </w:rPr>
        <w:t>Trade facilitation:</w:t>
      </w:r>
      <w:r w:rsidRPr="00B960AC">
        <w:rPr>
          <w:rFonts w:ascii="Baskerville Old Face" w:hAnsi="Baskerville Old Face" w:cs="Arial"/>
          <w:i/>
          <w:sz w:val="20"/>
        </w:rPr>
        <w:t xml:space="preserve"> </w:t>
      </w:r>
      <w:r w:rsidRPr="00B960AC">
        <w:rPr>
          <w:rFonts w:ascii="Baskerville Old Face" w:hAnsi="Baskerville Old Face" w:cs="Arial"/>
          <w:sz w:val="20"/>
        </w:rPr>
        <w:t>While trade in Nigeria is largely undermined by the complex trade policy regime, another expected benefit of the CET is the simplification of trade procedures, improved customs cooperation between neighboring countries and fewer resources to enforce burdensome inspections as the incentives to smuggle are reduced. However, intraregional trade would benefit even more in the future from a more advanced form of customs union where the CET rate is charged at the border where a good first enters the region and tariff revenues are then distributed based on an agreed formula, removing the need for transit regimes and rules of origin verification for intra-ECOWAS trade.</w:t>
      </w:r>
    </w:p>
    <w:p w:rsidR="00A61396" w:rsidRPr="00B960AC" w:rsidRDefault="00A61396" w:rsidP="00B960AC">
      <w:pPr>
        <w:pStyle w:val="ListParagraph"/>
        <w:keepNext/>
        <w:numPr>
          <w:ilvl w:val="0"/>
          <w:numId w:val="29"/>
        </w:numPr>
        <w:spacing w:before="360"/>
        <w:jc w:val="both"/>
        <w:rPr>
          <w:rFonts w:ascii="Baskerville Old Face" w:hAnsi="Baskerville Old Face" w:cs="Arial"/>
          <w:b/>
          <w:i/>
          <w:sz w:val="20"/>
        </w:rPr>
      </w:pPr>
      <w:r w:rsidRPr="00B960AC">
        <w:rPr>
          <w:rFonts w:ascii="Baskerville Old Face" w:hAnsi="Baskerville Old Face" w:cs="Arial"/>
          <w:b/>
          <w:i/>
          <w:sz w:val="20"/>
        </w:rPr>
        <w:t>Impact of EPA implementation</w:t>
      </w:r>
    </w:p>
    <w:p w:rsidR="00A61396" w:rsidRPr="00B960AC" w:rsidRDefault="00B960AC" w:rsidP="00A61396">
      <w:pPr>
        <w:spacing w:after="120"/>
        <w:jc w:val="both"/>
        <w:rPr>
          <w:rFonts w:ascii="Baskerville Old Face" w:hAnsi="Baskerville Old Face" w:cs="Arial"/>
          <w:sz w:val="20"/>
        </w:rPr>
      </w:pPr>
      <w:r>
        <w:rPr>
          <w:rFonts w:ascii="Baskerville Old Face" w:hAnsi="Baskerville Old Face" w:cs="Arial"/>
          <w:sz w:val="20"/>
        </w:rPr>
        <w:tab/>
      </w:r>
      <w:r w:rsidR="00A61396" w:rsidRPr="00B960AC">
        <w:rPr>
          <w:rFonts w:ascii="Baskerville Old Face" w:hAnsi="Baskerville Old Face" w:cs="Arial"/>
          <w:sz w:val="20"/>
        </w:rPr>
        <w:t>In order to isolate the net impact of gradual implementation of the negotiated EPA, the baseline selected is the trade policy regime that should be applied by Nigeria following the full implementation of the CET, including removal of import bans and special levies. The main results of this analysis are as follows:</w:t>
      </w:r>
    </w:p>
    <w:p w:rsidR="00A61396" w:rsidRPr="00B960AC" w:rsidRDefault="00A61396" w:rsidP="00A61396">
      <w:pPr>
        <w:pStyle w:val="ListParagraph"/>
        <w:numPr>
          <w:ilvl w:val="0"/>
          <w:numId w:val="24"/>
        </w:numPr>
        <w:tabs>
          <w:tab w:val="left" w:pos="270"/>
        </w:tabs>
        <w:spacing w:after="120"/>
        <w:ind w:left="270" w:hanging="270"/>
        <w:jc w:val="both"/>
        <w:rPr>
          <w:rFonts w:ascii="Baskerville Old Face" w:hAnsi="Baskerville Old Face" w:cs="Arial"/>
          <w:bCs/>
          <w:i/>
          <w:sz w:val="20"/>
        </w:rPr>
      </w:pPr>
      <w:r w:rsidRPr="00B960AC">
        <w:rPr>
          <w:rFonts w:ascii="Baskerville Old Face" w:hAnsi="Baskerville Old Face" w:cs="Arial"/>
          <w:b/>
          <w:bCs/>
          <w:i/>
          <w:sz w:val="20"/>
        </w:rPr>
        <w:t>Tariff level and trade flows:</w:t>
      </w:r>
      <w:r w:rsidRPr="00B960AC">
        <w:rPr>
          <w:rFonts w:ascii="Baskerville Old Face" w:hAnsi="Baskerville Old Face" w:cs="Arial"/>
          <w:bCs/>
          <w:i/>
          <w:sz w:val="20"/>
        </w:rPr>
        <w:t xml:space="preserve"> </w:t>
      </w:r>
      <w:r w:rsidRPr="00B960AC">
        <w:rPr>
          <w:rFonts w:ascii="Baskerville Old Face" w:hAnsi="Baskerville Old Face" w:cs="Arial"/>
          <w:bCs/>
          <w:sz w:val="20"/>
        </w:rPr>
        <w:t>The weighted average tariff rate would only moderately decrease after the EPA is fully implemented, from initially 11.3% to around 9.1%, which is explained by the EU’s relatively low share in Nigeria’s total imports (23%) and the exclusion of a quarter of tariff lines from EPA liberalization. The extent of tariff reduction is relatively well balanced across sectors, although there would be a strong reduction of protection for tobacco products, a sector for which excise duties can be raised if taxation is driven by revenue and/or health concerns. Overall, a moderate import response is predicted from this change of tariff levels, around 0.8 - 1.8% of total imports, although some trade diversion in favor of Europe and at the expense of the rest of the world is likely to occur.</w:t>
      </w:r>
    </w:p>
    <w:p w:rsidR="00A61396" w:rsidRPr="00B960AC" w:rsidRDefault="00A61396" w:rsidP="00A61396">
      <w:pPr>
        <w:pStyle w:val="ListParagraph"/>
        <w:numPr>
          <w:ilvl w:val="0"/>
          <w:numId w:val="24"/>
        </w:numPr>
        <w:tabs>
          <w:tab w:val="left" w:pos="270"/>
        </w:tabs>
        <w:spacing w:after="120"/>
        <w:ind w:left="270" w:hanging="270"/>
        <w:jc w:val="both"/>
        <w:rPr>
          <w:rFonts w:ascii="Baskerville Old Face" w:hAnsi="Baskerville Old Face" w:cs="Arial"/>
          <w:bCs/>
          <w:sz w:val="20"/>
        </w:rPr>
      </w:pPr>
      <w:r w:rsidRPr="00B960AC">
        <w:rPr>
          <w:rFonts w:ascii="Baskerville Old Face" w:hAnsi="Baskerville Old Face" w:cs="Arial"/>
          <w:b/>
          <w:bCs/>
          <w:i/>
          <w:sz w:val="20"/>
        </w:rPr>
        <w:t>Public revenue:</w:t>
      </w:r>
      <w:r w:rsidRPr="00B960AC">
        <w:rPr>
          <w:rFonts w:ascii="Baskerville Old Face" w:hAnsi="Baskerville Old Face" w:cs="Arial"/>
          <w:bCs/>
          <w:sz w:val="20"/>
        </w:rPr>
        <w:t xml:space="preserve"> The revenue loss due to the EPA is expected to represent around 17.3 – 18.7% of total tariff revenue. While this is far from negligible, it would only amount to 0.8% of total fiscal revenue or 3.3% of non-</w:t>
      </w:r>
      <w:r w:rsidRPr="00B960AC">
        <w:rPr>
          <w:rFonts w:ascii="Baskerville Old Face" w:hAnsi="Baskerville Old Face" w:cs="Arial"/>
          <w:bCs/>
          <w:sz w:val="20"/>
        </w:rPr>
        <w:lastRenderedPageBreak/>
        <w:t xml:space="preserve">oil revenue at the end of the EPA schedule (with the hypothesis of a 3% annual growth of all sources of revenue during the 15 years implementation period). </w:t>
      </w:r>
    </w:p>
    <w:p w:rsidR="00A61396" w:rsidRPr="00B960AC" w:rsidRDefault="00A61396" w:rsidP="00A61396">
      <w:pPr>
        <w:pStyle w:val="ListParagraph"/>
        <w:numPr>
          <w:ilvl w:val="0"/>
          <w:numId w:val="24"/>
        </w:numPr>
        <w:tabs>
          <w:tab w:val="left" w:pos="270"/>
        </w:tabs>
        <w:spacing w:after="120"/>
        <w:ind w:left="270" w:hanging="270"/>
        <w:jc w:val="both"/>
        <w:rPr>
          <w:rFonts w:ascii="Baskerville Old Face" w:hAnsi="Baskerville Old Face" w:cs="Arial"/>
          <w:bCs/>
          <w:i/>
          <w:sz w:val="20"/>
        </w:rPr>
      </w:pPr>
      <w:r w:rsidRPr="00B960AC">
        <w:rPr>
          <w:rFonts w:ascii="Baskerville Old Face" w:hAnsi="Baskerville Old Face" w:cs="Arial"/>
          <w:b/>
          <w:bCs/>
          <w:i/>
          <w:sz w:val="20"/>
        </w:rPr>
        <w:t>Consumer welfare:</w:t>
      </w:r>
      <w:r w:rsidRPr="00B960AC">
        <w:rPr>
          <w:rFonts w:ascii="Baskerville Old Face" w:hAnsi="Baskerville Old Face" w:cs="Arial"/>
          <w:bCs/>
          <w:i/>
          <w:sz w:val="20"/>
        </w:rPr>
        <w:t xml:space="preserve"> </w:t>
      </w:r>
      <w:r w:rsidRPr="00B960AC">
        <w:rPr>
          <w:rFonts w:ascii="Baskerville Old Face" w:hAnsi="Baskerville Old Face" w:cs="Arial"/>
          <w:bCs/>
          <w:sz w:val="20"/>
        </w:rPr>
        <w:t>Lower prices due to tariff reduction for products imported from Europe are expected to lead to a modest decrease by around 0.3% of the price of the average consumption bundle. The main drivers of this effect include vegetables, dairy products, fish and seafood, etc. Data limitations make it difficult to assess the potential negative impact of the EPA for households which derive income from (agricultural) products, though the evidence suggests that direct competition between products grown in Nigeria and European products is limited.</w:t>
      </w:r>
    </w:p>
    <w:p w:rsidR="00A61396" w:rsidRPr="00B960AC" w:rsidRDefault="00A61396" w:rsidP="00A61396">
      <w:pPr>
        <w:pStyle w:val="ListParagraph"/>
        <w:numPr>
          <w:ilvl w:val="0"/>
          <w:numId w:val="24"/>
        </w:numPr>
        <w:tabs>
          <w:tab w:val="left" w:pos="270"/>
        </w:tabs>
        <w:ind w:left="270" w:hanging="270"/>
        <w:jc w:val="both"/>
        <w:rPr>
          <w:rFonts w:ascii="Baskerville Old Face" w:hAnsi="Baskerville Old Face" w:cs="Arial"/>
          <w:bCs/>
          <w:sz w:val="20"/>
        </w:rPr>
      </w:pPr>
      <w:r w:rsidRPr="00B960AC">
        <w:rPr>
          <w:rFonts w:ascii="Baskerville Old Face" w:hAnsi="Baskerville Old Face" w:cs="Arial"/>
          <w:b/>
          <w:bCs/>
          <w:i/>
          <w:sz w:val="20"/>
        </w:rPr>
        <w:t>Firm profitability and jobs:</w:t>
      </w:r>
      <w:r w:rsidRPr="00B960AC">
        <w:rPr>
          <w:rFonts w:ascii="Baskerville Old Face" w:hAnsi="Baskerville Old Face" w:cs="Arial"/>
          <w:bCs/>
          <w:i/>
          <w:sz w:val="20"/>
        </w:rPr>
        <w:t xml:space="preserve"> </w:t>
      </w:r>
      <w:r w:rsidRPr="00B960AC">
        <w:rPr>
          <w:rFonts w:ascii="Baskerville Old Face" w:hAnsi="Baskerville Old Face" w:cs="Arial"/>
          <w:bCs/>
          <w:sz w:val="20"/>
        </w:rPr>
        <w:t xml:space="preserve">For all stages of EPA implementation between 2020 and 2035, the predicted net effect on the median firm’s profitability is positive (+0.6%), indicating that the majority of firms stand to benefit. However, the mean net effect is slightly negative (-0.2%), suggesting that, while they are fewer, losses for negatively affected firms marginally outweigh gains of positively affected ones. Interestingly, gains are expected to materialize earlier than losses, which could leave firms time to adapt to the changing environment. Overall, 63% of firms (representing 58% of jobs) are expected to benefit from higher profitability with the EPA in 2035 and 31% (29% of jobs) could see their profit decrease, although only 0.5% of firms (0.3% of jobs) would become unprofitable as a result. As for the CET, the results suggest that gains through lower input prices are relatively evenly distributed, while losses </w:t>
      </w:r>
      <w:r w:rsidRPr="00B960AC">
        <w:rPr>
          <w:rFonts w:ascii="Baskerville Old Face" w:hAnsi="Baskerville Old Face" w:cs="Arial"/>
          <w:bCs/>
          <w:sz w:val="20"/>
        </w:rPr>
        <w:lastRenderedPageBreak/>
        <w:t>through lower output prices would be more concentrated. Four main sectors could see profits and employment affected by the loss of tariff protection under the EPA, namely wood products (e.g. planks, plywood), non-metallic mineral manufactures (e.g. cement, concrete), basic metals (e.g. metal construction material and furniture part) and metals other than machinery (e.g. doors, window frames). However, all these sectors except wood products have higher than average profit levels prior to the reform and would only suffer from small decreases in profitability (1 - 1.9%), even after the EPA is fully implemented.</w:t>
      </w:r>
    </w:p>
    <w:p w:rsidR="00C539B5" w:rsidRPr="00B960AC" w:rsidRDefault="00B960AC" w:rsidP="00B005D5">
      <w:pPr>
        <w:spacing w:after="120"/>
        <w:jc w:val="both"/>
        <w:rPr>
          <w:rFonts w:ascii="Baskerville Old Face" w:hAnsi="Baskerville Old Face" w:cs="Arial"/>
          <w:sz w:val="20"/>
        </w:rPr>
        <w:sectPr w:rsidR="00C539B5" w:rsidRPr="00B960AC" w:rsidSect="00DA74E4">
          <w:type w:val="continuous"/>
          <w:pgSz w:w="12240" w:h="15840"/>
          <w:pgMar w:top="1440" w:right="1440" w:bottom="1440" w:left="1440" w:header="720" w:footer="720" w:gutter="0"/>
          <w:cols w:num="2" w:space="180"/>
          <w:docGrid w:linePitch="360"/>
        </w:sectPr>
      </w:pPr>
      <w:r>
        <w:rPr>
          <w:rFonts w:ascii="Baskerville Old Face" w:hAnsi="Baskerville Old Face" w:cs="Arial"/>
          <w:bCs/>
          <w:sz w:val="20"/>
        </w:rPr>
        <w:tab/>
      </w:r>
      <w:r w:rsidR="00A61396" w:rsidRPr="00B960AC">
        <w:rPr>
          <w:rFonts w:ascii="Baskerville Old Face" w:hAnsi="Baskerville Old Face" w:cs="Arial"/>
          <w:bCs/>
          <w:sz w:val="20"/>
        </w:rPr>
        <w:t xml:space="preserve">The figures below </w:t>
      </w:r>
      <w:r w:rsidR="00A61396" w:rsidRPr="00B960AC">
        <w:rPr>
          <w:rFonts w:ascii="Baskerville Old Face" w:hAnsi="Baskerville Old Face" w:cs="Arial"/>
          <w:bCs/>
          <w:color w:val="auto"/>
          <w:sz w:val="20"/>
        </w:rPr>
        <w:t xml:space="preserve">summarize the predicted impacts on Nigerian households and firms of full implementation of the CET and the EPA. </w:t>
      </w:r>
      <w:r w:rsidR="00687BC4">
        <w:fldChar w:fldCharType="begin"/>
      </w:r>
      <w:r w:rsidR="00687BC4">
        <w:instrText xml:space="preserve"> REF _Ref406422686 \h  \* MERGEFORMAT </w:instrText>
      </w:r>
      <w:r w:rsidR="00687BC4">
        <w:fldChar w:fldCharType="separate"/>
      </w:r>
      <w:r w:rsidR="002C3AA7" w:rsidRPr="00B960AC">
        <w:rPr>
          <w:rFonts w:ascii="Baskerville Old Face" w:eastAsia="Times New Roman" w:hAnsi="Baskerville Old Face" w:cs="Arial"/>
          <w:color w:val="auto"/>
          <w:sz w:val="20"/>
          <w:szCs w:val="22"/>
        </w:rPr>
        <w:t>Figure 1</w:t>
      </w:r>
      <w:r w:rsidR="00687BC4">
        <w:fldChar w:fldCharType="end"/>
      </w:r>
      <w:r w:rsidR="00A61396" w:rsidRPr="00B960AC">
        <w:rPr>
          <w:rFonts w:ascii="Baskerville Old Face" w:hAnsi="Baskerville Old Face" w:cs="Arial"/>
          <w:bCs/>
          <w:color w:val="auto"/>
          <w:sz w:val="20"/>
        </w:rPr>
        <w:t xml:space="preserve"> presents the expected reduction in the price of the average consumption bundle for households in all income groups. </w:t>
      </w:r>
      <w:r w:rsidR="00687BC4">
        <w:fldChar w:fldCharType="begin"/>
      </w:r>
      <w:r w:rsidR="00687BC4">
        <w:instrText xml:space="preserve"> REF _Ref406422775 \h  \* MERGEFORMAT </w:instrText>
      </w:r>
      <w:r w:rsidR="00687BC4">
        <w:fldChar w:fldCharType="separate"/>
      </w:r>
      <w:r w:rsidR="002C3AA7" w:rsidRPr="00B960AC">
        <w:rPr>
          <w:rFonts w:ascii="Baskerville Old Face" w:eastAsia="Times New Roman" w:hAnsi="Baskerville Old Face" w:cs="Arial"/>
          <w:color w:val="auto"/>
          <w:sz w:val="20"/>
          <w:szCs w:val="22"/>
        </w:rPr>
        <w:t>Figure 2</w:t>
      </w:r>
      <w:r w:rsidR="00687BC4">
        <w:fldChar w:fldCharType="end"/>
      </w:r>
      <w:r w:rsidR="00A61396" w:rsidRPr="00B960AC">
        <w:rPr>
          <w:rFonts w:ascii="Baskerville Old Face" w:hAnsi="Baskerville Old Face" w:cs="Arial"/>
          <w:bCs/>
          <w:color w:val="auto"/>
          <w:sz w:val="20"/>
        </w:rPr>
        <w:t xml:space="preserve"> shows the proportion of firms which are expected to see their profits increase as a result of these two reforms and of firms which could experience losses (distinguishing between firms which remain profitable and those which do not). Finally, the first two columns of </w:t>
      </w:r>
      <w:r w:rsidR="00687BC4">
        <w:fldChar w:fldCharType="begin"/>
      </w:r>
      <w:r w:rsidR="00687BC4">
        <w:instrText xml:space="preserve"> REF _Ref406422314 \h  \* MERGEFORMAT </w:instrText>
      </w:r>
      <w:r w:rsidR="00687BC4">
        <w:fldChar w:fldCharType="separate"/>
      </w:r>
      <w:r w:rsidR="002C3AA7" w:rsidRPr="00B960AC">
        <w:rPr>
          <w:rFonts w:ascii="Baskerville Old Face" w:eastAsia="Times New Roman" w:hAnsi="Baskerville Old Face" w:cs="Arial"/>
          <w:color w:val="auto"/>
          <w:sz w:val="20"/>
          <w:szCs w:val="22"/>
        </w:rPr>
        <w:t>Figure 3</w:t>
      </w:r>
      <w:r w:rsidR="00687BC4">
        <w:fldChar w:fldCharType="end"/>
      </w:r>
      <w:r w:rsidR="00A61396" w:rsidRPr="00B960AC">
        <w:rPr>
          <w:rFonts w:ascii="Baskerville Old Face" w:hAnsi="Baskerville Old Face" w:cs="Arial"/>
          <w:bCs/>
          <w:color w:val="auto"/>
          <w:sz w:val="20"/>
        </w:rPr>
        <w:t xml:space="preserve"> synthesize the impact of the CET and EPA on the median firm’s profitability through different prices channels.</w:t>
      </w:r>
      <w:r w:rsidR="00692E57" w:rsidRPr="00B960AC">
        <w:rPr>
          <w:rFonts w:ascii="Baskerville Old Face" w:hAnsi="Baskerville Old Face" w:cs="Arial"/>
          <w:color w:val="auto"/>
          <w:sz w:val="20"/>
        </w:rPr>
        <w:t xml:space="preserve"> For illustrative purposes, the magnitude of the effect is shown in comparison to improvements with </w:t>
      </w:r>
      <w:r w:rsidR="00692E57" w:rsidRPr="00B960AC">
        <w:rPr>
          <w:rFonts w:ascii="Baskerville Old Face" w:hAnsi="Baskerville Old Face" w:cs="Arial"/>
          <w:sz w:val="20"/>
        </w:rPr>
        <w:t xml:space="preserve">domestic supply side constraints (power outages and high transport costs). It is shown that improvements on either of them could significantly outweigh the net effects of the trade reforms for the median firm.  </w:t>
      </w:r>
    </w:p>
    <w:p w:rsidR="007F7611" w:rsidRPr="00B960AC" w:rsidRDefault="007F7611" w:rsidP="007F7611">
      <w:pPr>
        <w:keepNext/>
        <w:spacing w:before="240" w:after="0" w:line="300" w:lineRule="atLeast"/>
        <w:ind w:firstLine="270"/>
        <w:jc w:val="center"/>
        <w:textAlignment w:val="baseline"/>
        <w:rPr>
          <w:rFonts w:ascii="Baskerville Old Face" w:eastAsia="Times New Roman" w:hAnsi="Baskerville Old Face" w:cs="Arial"/>
          <w:b/>
          <w:color w:val="4F81BD" w:themeColor="accent1"/>
          <w:sz w:val="20"/>
          <w:szCs w:val="22"/>
          <w:u w:val="single"/>
        </w:rPr>
      </w:pPr>
      <w:bookmarkStart w:id="4" w:name="_Ref406422686"/>
      <w:r w:rsidRPr="00B960AC">
        <w:rPr>
          <w:rFonts w:ascii="Baskerville Old Face" w:eastAsia="Times New Roman" w:hAnsi="Baskerville Old Face" w:cs="Arial"/>
          <w:b/>
          <w:color w:val="4F81BD" w:themeColor="accent1"/>
          <w:sz w:val="20"/>
          <w:szCs w:val="22"/>
          <w:u w:val="single"/>
        </w:rPr>
        <w:lastRenderedPageBreak/>
        <w:t xml:space="preserve">Figure </w:t>
      </w:r>
      <w:r w:rsidR="00B45330" w:rsidRPr="00B960AC">
        <w:rPr>
          <w:rFonts w:ascii="Baskerville Old Face" w:eastAsia="Times New Roman" w:hAnsi="Baskerville Old Face" w:cs="Arial"/>
          <w:b/>
          <w:color w:val="4F81BD" w:themeColor="accent1"/>
          <w:sz w:val="20"/>
          <w:szCs w:val="22"/>
          <w:u w:val="single"/>
        </w:rPr>
        <w:fldChar w:fldCharType="begin"/>
      </w:r>
      <w:r w:rsidRPr="00B960AC">
        <w:rPr>
          <w:rFonts w:ascii="Baskerville Old Face" w:eastAsia="Times New Roman" w:hAnsi="Baskerville Old Face" w:cs="Arial"/>
          <w:b/>
          <w:color w:val="4F81BD" w:themeColor="accent1"/>
          <w:sz w:val="20"/>
          <w:szCs w:val="22"/>
          <w:u w:val="single"/>
        </w:rPr>
        <w:instrText xml:space="preserve"> SEQ Figure \* ARABIC </w:instrText>
      </w:r>
      <w:r w:rsidR="00B45330" w:rsidRPr="00B960AC">
        <w:rPr>
          <w:rFonts w:ascii="Baskerville Old Face" w:eastAsia="Times New Roman" w:hAnsi="Baskerville Old Face" w:cs="Arial"/>
          <w:b/>
          <w:color w:val="4F81BD" w:themeColor="accent1"/>
          <w:sz w:val="20"/>
          <w:szCs w:val="22"/>
          <w:u w:val="single"/>
        </w:rPr>
        <w:fldChar w:fldCharType="separate"/>
      </w:r>
      <w:r w:rsidR="002C3AA7" w:rsidRPr="00B960AC">
        <w:rPr>
          <w:rFonts w:ascii="Baskerville Old Face" w:eastAsia="Times New Roman" w:hAnsi="Baskerville Old Face" w:cs="Arial"/>
          <w:b/>
          <w:noProof/>
          <w:color w:val="4F81BD" w:themeColor="accent1"/>
          <w:sz w:val="20"/>
          <w:szCs w:val="22"/>
          <w:u w:val="single"/>
        </w:rPr>
        <w:t>1</w:t>
      </w:r>
      <w:r w:rsidR="00B45330" w:rsidRPr="00B960AC">
        <w:rPr>
          <w:rFonts w:ascii="Baskerville Old Face" w:eastAsia="Times New Roman" w:hAnsi="Baskerville Old Face" w:cs="Arial"/>
          <w:b/>
          <w:color w:val="4F81BD" w:themeColor="accent1"/>
          <w:sz w:val="20"/>
          <w:szCs w:val="22"/>
          <w:u w:val="single"/>
        </w:rPr>
        <w:fldChar w:fldCharType="end"/>
      </w:r>
      <w:bookmarkEnd w:id="4"/>
      <w:r w:rsidRPr="00B960AC">
        <w:rPr>
          <w:rFonts w:ascii="Baskerville Old Face" w:eastAsia="Times New Roman" w:hAnsi="Baskerville Old Face" w:cs="Arial"/>
          <w:b/>
          <w:color w:val="4F81BD" w:themeColor="accent1"/>
          <w:sz w:val="20"/>
          <w:szCs w:val="22"/>
          <w:u w:val="single"/>
        </w:rPr>
        <w:t>: Price change for the average consumption bundle, by household income</w:t>
      </w:r>
    </w:p>
    <w:p w:rsidR="007F7611" w:rsidRPr="00B960AC" w:rsidRDefault="007F7611" w:rsidP="007F7611">
      <w:pPr>
        <w:spacing w:after="720"/>
        <w:jc w:val="center"/>
        <w:rPr>
          <w:rFonts w:ascii="Baskerville Old Face" w:eastAsia="Times New Roman" w:hAnsi="Baskerville Old Face" w:cs="Arial"/>
          <w:bCs/>
          <w:sz w:val="20"/>
          <w:szCs w:val="22"/>
          <w:lang w:bidi="en-US"/>
        </w:rPr>
      </w:pPr>
      <w:r w:rsidRPr="00B960AC">
        <w:rPr>
          <w:rFonts w:ascii="Baskerville Old Face" w:eastAsia="Times New Roman" w:hAnsi="Baskerville Old Face"/>
          <w:noProof/>
          <w:color w:val="auto"/>
          <w:szCs w:val="22"/>
        </w:rPr>
        <w:drawing>
          <wp:inline distT="0" distB="0" distL="0" distR="0">
            <wp:extent cx="4733925" cy="16573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7611" w:rsidRPr="00B960AC" w:rsidRDefault="007F7611" w:rsidP="007F7611">
      <w:pPr>
        <w:keepNext/>
        <w:spacing w:before="240" w:after="0" w:line="300" w:lineRule="atLeast"/>
        <w:ind w:firstLine="270"/>
        <w:jc w:val="center"/>
        <w:textAlignment w:val="baseline"/>
        <w:rPr>
          <w:rFonts w:ascii="Baskerville Old Face" w:eastAsia="Times New Roman" w:hAnsi="Baskerville Old Face" w:cs="Arial"/>
          <w:b/>
          <w:color w:val="4F81BD" w:themeColor="accent1"/>
          <w:sz w:val="20"/>
          <w:szCs w:val="22"/>
          <w:u w:val="single"/>
        </w:rPr>
      </w:pPr>
      <w:bookmarkStart w:id="5" w:name="_Ref406422775"/>
      <w:r w:rsidRPr="00B960AC">
        <w:rPr>
          <w:rFonts w:ascii="Baskerville Old Face" w:eastAsia="Times New Roman" w:hAnsi="Baskerville Old Face" w:cs="Arial"/>
          <w:b/>
          <w:color w:val="4F81BD" w:themeColor="accent1"/>
          <w:sz w:val="20"/>
          <w:szCs w:val="22"/>
          <w:u w:val="single"/>
        </w:rPr>
        <w:lastRenderedPageBreak/>
        <w:t xml:space="preserve">Figure </w:t>
      </w:r>
      <w:r w:rsidR="00B45330" w:rsidRPr="00B960AC">
        <w:rPr>
          <w:rFonts w:ascii="Baskerville Old Face" w:eastAsia="Times New Roman" w:hAnsi="Baskerville Old Face" w:cs="Arial"/>
          <w:b/>
          <w:color w:val="4F81BD" w:themeColor="accent1"/>
          <w:sz w:val="20"/>
          <w:szCs w:val="22"/>
          <w:u w:val="single"/>
        </w:rPr>
        <w:fldChar w:fldCharType="begin"/>
      </w:r>
      <w:r w:rsidRPr="00B960AC">
        <w:rPr>
          <w:rFonts w:ascii="Baskerville Old Face" w:eastAsia="Times New Roman" w:hAnsi="Baskerville Old Face" w:cs="Arial"/>
          <w:b/>
          <w:color w:val="4F81BD" w:themeColor="accent1"/>
          <w:sz w:val="20"/>
          <w:szCs w:val="22"/>
          <w:u w:val="single"/>
        </w:rPr>
        <w:instrText xml:space="preserve"> SEQ Figure \* ARABIC </w:instrText>
      </w:r>
      <w:r w:rsidR="00B45330" w:rsidRPr="00B960AC">
        <w:rPr>
          <w:rFonts w:ascii="Baskerville Old Face" w:eastAsia="Times New Roman" w:hAnsi="Baskerville Old Face" w:cs="Arial"/>
          <w:b/>
          <w:color w:val="4F81BD" w:themeColor="accent1"/>
          <w:sz w:val="20"/>
          <w:szCs w:val="22"/>
          <w:u w:val="single"/>
        </w:rPr>
        <w:fldChar w:fldCharType="separate"/>
      </w:r>
      <w:r w:rsidR="002C3AA7" w:rsidRPr="00B960AC">
        <w:rPr>
          <w:rFonts w:ascii="Baskerville Old Face" w:eastAsia="Times New Roman" w:hAnsi="Baskerville Old Face" w:cs="Arial"/>
          <w:b/>
          <w:noProof/>
          <w:color w:val="4F81BD" w:themeColor="accent1"/>
          <w:sz w:val="20"/>
          <w:szCs w:val="22"/>
          <w:u w:val="single"/>
        </w:rPr>
        <w:t>2</w:t>
      </w:r>
      <w:r w:rsidR="00B45330" w:rsidRPr="00B960AC">
        <w:rPr>
          <w:rFonts w:ascii="Baskerville Old Face" w:eastAsia="Times New Roman" w:hAnsi="Baskerville Old Face" w:cs="Arial"/>
          <w:b/>
          <w:color w:val="4F81BD" w:themeColor="accent1"/>
          <w:sz w:val="20"/>
          <w:szCs w:val="22"/>
          <w:u w:val="single"/>
        </w:rPr>
        <w:fldChar w:fldCharType="end"/>
      </w:r>
      <w:bookmarkEnd w:id="5"/>
      <w:r w:rsidRPr="00B960AC">
        <w:rPr>
          <w:rFonts w:ascii="Baskerville Old Face" w:eastAsia="Times New Roman" w:hAnsi="Baskerville Old Face" w:cs="Arial"/>
          <w:b/>
          <w:color w:val="4F81BD" w:themeColor="accent1"/>
          <w:sz w:val="20"/>
          <w:szCs w:val="22"/>
          <w:u w:val="single"/>
        </w:rPr>
        <w:t>: Distribution of profitability gains and losses among firms</w:t>
      </w:r>
    </w:p>
    <w:p w:rsidR="007F7611" w:rsidRPr="00B960AC" w:rsidRDefault="007F7611" w:rsidP="007F7611">
      <w:pPr>
        <w:spacing w:after="720"/>
        <w:jc w:val="both"/>
        <w:rPr>
          <w:rFonts w:ascii="Baskerville Old Face" w:eastAsia="Times New Roman" w:hAnsi="Baskerville Old Face" w:cs="Arial"/>
          <w:bCs/>
          <w:sz w:val="20"/>
          <w:szCs w:val="22"/>
          <w:lang w:bidi="en-US"/>
        </w:rPr>
      </w:pPr>
      <w:r w:rsidRPr="00B960AC">
        <w:rPr>
          <w:rFonts w:ascii="Baskerville Old Face" w:eastAsia="Times New Roman" w:hAnsi="Baskerville Old Face"/>
          <w:noProof/>
          <w:color w:val="auto"/>
          <w:szCs w:val="22"/>
        </w:rPr>
        <w:drawing>
          <wp:inline distT="0" distB="0" distL="0" distR="0">
            <wp:extent cx="5943600" cy="1895475"/>
            <wp:effectExtent l="1905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7611" w:rsidRPr="00B960AC" w:rsidRDefault="007F7611" w:rsidP="007F7611">
      <w:pPr>
        <w:keepNext/>
        <w:spacing w:before="240" w:after="0" w:line="300" w:lineRule="atLeast"/>
        <w:ind w:firstLine="270"/>
        <w:jc w:val="center"/>
        <w:textAlignment w:val="baseline"/>
        <w:rPr>
          <w:rFonts w:ascii="Baskerville Old Face" w:eastAsia="Times New Roman" w:hAnsi="Baskerville Old Face" w:cs="Arial"/>
          <w:b/>
          <w:color w:val="4F81BD" w:themeColor="accent1"/>
          <w:sz w:val="20"/>
          <w:szCs w:val="22"/>
          <w:u w:val="single"/>
        </w:rPr>
      </w:pPr>
      <w:bookmarkStart w:id="6" w:name="_Ref406422314"/>
      <w:r w:rsidRPr="00B960AC">
        <w:rPr>
          <w:rFonts w:ascii="Baskerville Old Face" w:eastAsia="Times New Roman" w:hAnsi="Baskerville Old Face" w:cs="Arial"/>
          <w:b/>
          <w:color w:val="4F81BD" w:themeColor="accent1"/>
          <w:sz w:val="20"/>
          <w:szCs w:val="22"/>
          <w:u w:val="single"/>
        </w:rPr>
        <w:t xml:space="preserve">Figure </w:t>
      </w:r>
      <w:r w:rsidR="00B45330" w:rsidRPr="00B960AC">
        <w:rPr>
          <w:rFonts w:ascii="Baskerville Old Face" w:eastAsia="Times New Roman" w:hAnsi="Baskerville Old Face" w:cs="Arial"/>
          <w:b/>
          <w:color w:val="4F81BD" w:themeColor="accent1"/>
          <w:sz w:val="20"/>
          <w:szCs w:val="22"/>
          <w:u w:val="single"/>
        </w:rPr>
        <w:fldChar w:fldCharType="begin"/>
      </w:r>
      <w:r w:rsidRPr="00B960AC">
        <w:rPr>
          <w:rFonts w:ascii="Baskerville Old Face" w:eastAsia="Times New Roman" w:hAnsi="Baskerville Old Face" w:cs="Arial"/>
          <w:b/>
          <w:color w:val="4F81BD" w:themeColor="accent1"/>
          <w:sz w:val="20"/>
          <w:szCs w:val="22"/>
          <w:u w:val="single"/>
        </w:rPr>
        <w:instrText xml:space="preserve"> SEQ Figure \* ARABIC </w:instrText>
      </w:r>
      <w:r w:rsidR="00B45330" w:rsidRPr="00B960AC">
        <w:rPr>
          <w:rFonts w:ascii="Baskerville Old Face" w:eastAsia="Times New Roman" w:hAnsi="Baskerville Old Face" w:cs="Arial"/>
          <w:b/>
          <w:color w:val="4F81BD" w:themeColor="accent1"/>
          <w:sz w:val="20"/>
          <w:szCs w:val="22"/>
          <w:u w:val="single"/>
        </w:rPr>
        <w:fldChar w:fldCharType="separate"/>
      </w:r>
      <w:r w:rsidR="002C3AA7" w:rsidRPr="00B960AC">
        <w:rPr>
          <w:rFonts w:ascii="Baskerville Old Face" w:eastAsia="Times New Roman" w:hAnsi="Baskerville Old Face" w:cs="Arial"/>
          <w:b/>
          <w:noProof/>
          <w:color w:val="4F81BD" w:themeColor="accent1"/>
          <w:sz w:val="20"/>
          <w:szCs w:val="22"/>
          <w:u w:val="single"/>
        </w:rPr>
        <w:t>3</w:t>
      </w:r>
      <w:r w:rsidR="00B45330" w:rsidRPr="00B960AC">
        <w:rPr>
          <w:rFonts w:ascii="Baskerville Old Face" w:eastAsia="Times New Roman" w:hAnsi="Baskerville Old Face" w:cs="Arial"/>
          <w:b/>
          <w:color w:val="4F81BD" w:themeColor="accent1"/>
          <w:sz w:val="20"/>
          <w:szCs w:val="22"/>
          <w:u w:val="single"/>
        </w:rPr>
        <w:fldChar w:fldCharType="end"/>
      </w:r>
      <w:bookmarkEnd w:id="6"/>
      <w:r w:rsidRPr="00B960AC">
        <w:rPr>
          <w:rFonts w:ascii="Baskerville Old Face" w:eastAsia="Times New Roman" w:hAnsi="Baskerville Old Face" w:cs="Arial"/>
          <w:b/>
          <w:color w:val="4F81BD" w:themeColor="accent1"/>
          <w:sz w:val="20"/>
          <w:szCs w:val="22"/>
          <w:u w:val="single"/>
        </w:rPr>
        <w:t>: Magnitude of profitability variation for the median firm</w:t>
      </w:r>
    </w:p>
    <w:p w:rsidR="007F7611" w:rsidRPr="00B960AC" w:rsidRDefault="007F7611" w:rsidP="007F7611">
      <w:pPr>
        <w:spacing w:after="120"/>
        <w:jc w:val="center"/>
        <w:rPr>
          <w:rFonts w:ascii="Baskerville Old Face" w:eastAsia="Times New Roman" w:hAnsi="Baskerville Old Face" w:cs="Arial"/>
          <w:bCs/>
          <w:sz w:val="20"/>
          <w:szCs w:val="22"/>
          <w:lang w:bidi="en-US"/>
        </w:rPr>
      </w:pPr>
      <w:r w:rsidRPr="00B960AC">
        <w:rPr>
          <w:rFonts w:ascii="Baskerville Old Face" w:eastAsia="Times New Roman" w:hAnsi="Baskerville Old Face"/>
          <w:noProof/>
          <w:color w:val="auto"/>
          <w:szCs w:val="22"/>
        </w:rPr>
        <w:drawing>
          <wp:inline distT="0" distB="0" distL="0" distR="0">
            <wp:extent cx="6296025" cy="195262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539B5" w:rsidRPr="00B960AC" w:rsidRDefault="00C539B5" w:rsidP="00365FE6">
      <w:pPr>
        <w:jc w:val="both"/>
        <w:rPr>
          <w:rFonts w:ascii="Baskerville Old Face" w:hAnsi="Baskerville Old Face" w:cs="Arial"/>
          <w:sz w:val="20"/>
        </w:rPr>
      </w:pPr>
    </w:p>
    <w:p w:rsidR="00C539B5" w:rsidRPr="00B960AC" w:rsidRDefault="00C539B5">
      <w:pPr>
        <w:spacing w:after="0" w:line="240" w:lineRule="auto"/>
        <w:rPr>
          <w:rFonts w:ascii="Baskerville Old Face" w:hAnsi="Baskerville Old Face" w:cs="Arial"/>
          <w:sz w:val="20"/>
        </w:rPr>
      </w:pPr>
      <w:r w:rsidRPr="00B960AC">
        <w:rPr>
          <w:rFonts w:ascii="Baskerville Old Face" w:hAnsi="Baskerville Old Face" w:cs="Arial"/>
          <w:sz w:val="20"/>
        </w:rPr>
        <w:br w:type="page"/>
      </w:r>
    </w:p>
    <w:p w:rsidR="00365FE6" w:rsidRPr="00B960AC" w:rsidRDefault="00365FE6" w:rsidP="00365FE6">
      <w:pPr>
        <w:jc w:val="both"/>
        <w:rPr>
          <w:rFonts w:ascii="Baskerville Old Face" w:hAnsi="Baskerville Old Face" w:cs="Arial"/>
          <w:sz w:val="20"/>
        </w:rPr>
        <w:sectPr w:rsidR="00365FE6" w:rsidRPr="00B960AC" w:rsidSect="00365FE6">
          <w:type w:val="continuous"/>
          <w:pgSz w:w="12240" w:h="15840"/>
          <w:pgMar w:top="1440" w:right="1440" w:bottom="1440" w:left="1440" w:header="720" w:footer="720" w:gutter="0"/>
          <w:cols w:space="720"/>
          <w:docGrid w:linePitch="360"/>
        </w:sectPr>
      </w:pPr>
    </w:p>
    <w:p w:rsidR="00882812" w:rsidRPr="00B960AC" w:rsidRDefault="00882812" w:rsidP="00987CE4">
      <w:pPr>
        <w:jc w:val="both"/>
        <w:rPr>
          <w:rFonts w:ascii="Baskerville Old Face" w:hAnsi="Baskerville Old Face" w:cs="Arial"/>
          <w:b/>
          <w:color w:val="943634" w:themeColor="accent2" w:themeShade="BF"/>
          <w:sz w:val="20"/>
        </w:rPr>
      </w:pPr>
      <w:r w:rsidRPr="00B960AC">
        <w:rPr>
          <w:rFonts w:ascii="Baskerville Old Face" w:hAnsi="Baskerville Old Face" w:cs="Arial"/>
          <w:b/>
          <w:color w:val="943634" w:themeColor="accent2" w:themeShade="BF"/>
          <w:sz w:val="20"/>
        </w:rPr>
        <w:lastRenderedPageBreak/>
        <w:t>Adapting policy responses to a new trade environment</w:t>
      </w:r>
    </w:p>
    <w:p w:rsidR="00A61396" w:rsidRPr="00B960AC" w:rsidRDefault="00B960AC" w:rsidP="00A61396">
      <w:pPr>
        <w:spacing w:after="120"/>
        <w:jc w:val="both"/>
        <w:rPr>
          <w:rFonts w:ascii="Baskerville Old Face" w:hAnsi="Baskerville Old Face" w:cs="Arial"/>
          <w:sz w:val="20"/>
        </w:rPr>
      </w:pPr>
      <w:r>
        <w:rPr>
          <w:rFonts w:ascii="Baskerville Old Face" w:hAnsi="Baskerville Old Face" w:cs="Arial"/>
          <w:sz w:val="20"/>
        </w:rPr>
        <w:tab/>
      </w:r>
      <w:r w:rsidR="00A61396" w:rsidRPr="00B960AC">
        <w:rPr>
          <w:rFonts w:ascii="Baskerville Old Face" w:hAnsi="Baskerville Old Face" w:cs="Arial"/>
          <w:sz w:val="20"/>
        </w:rPr>
        <w:t>Informed evidence on the potential impacts of the CET and EPA is essential for Nigerian policymakers to craft appropriate policies that maximize the benefits and minimize the downsides of these reforms. Despite the adoption of the CET and EPA, some interest groups continue to lobby for high trade protection until domestic industries are sufficiently developed to face international competition, although there is no evidence that this strategy has produced the desired results over several decades (</w:t>
      </w:r>
      <w:proofErr w:type="spellStart"/>
      <w:r w:rsidR="00A61396" w:rsidRPr="00B960AC">
        <w:rPr>
          <w:rFonts w:ascii="Baskerville Old Face" w:hAnsi="Baskerville Old Face" w:cs="Arial"/>
          <w:sz w:val="20"/>
        </w:rPr>
        <w:t>Raballand</w:t>
      </w:r>
      <w:proofErr w:type="spellEnd"/>
      <w:r w:rsidR="00A61396" w:rsidRPr="00B960AC">
        <w:rPr>
          <w:rFonts w:ascii="Baskerville Old Face" w:hAnsi="Baskerville Old Face" w:cs="Arial"/>
          <w:sz w:val="20"/>
        </w:rPr>
        <w:t xml:space="preserve"> and </w:t>
      </w:r>
      <w:proofErr w:type="spellStart"/>
      <w:r w:rsidR="00A61396" w:rsidRPr="00B960AC">
        <w:rPr>
          <w:rFonts w:ascii="Baskerville Old Face" w:hAnsi="Baskerville Old Face" w:cs="Arial"/>
          <w:sz w:val="20"/>
        </w:rPr>
        <w:t>Mjekiqi</w:t>
      </w:r>
      <w:proofErr w:type="spellEnd"/>
      <w:r w:rsidR="00A61396" w:rsidRPr="00B960AC">
        <w:rPr>
          <w:rFonts w:ascii="Baskerville Old Face" w:hAnsi="Baskerville Old Face" w:cs="Arial"/>
          <w:sz w:val="20"/>
        </w:rPr>
        <w:t xml:space="preserve"> 2010, </w:t>
      </w:r>
      <w:proofErr w:type="spellStart"/>
      <w:r w:rsidR="00A61396" w:rsidRPr="00B960AC">
        <w:rPr>
          <w:rFonts w:ascii="Baskerville Old Face" w:hAnsi="Baskerville Old Face" w:cs="Arial"/>
          <w:sz w:val="20"/>
        </w:rPr>
        <w:t>Treichel</w:t>
      </w:r>
      <w:proofErr w:type="spellEnd"/>
      <w:r w:rsidR="00A61396" w:rsidRPr="00B960AC">
        <w:rPr>
          <w:rFonts w:ascii="Baskerville Old Face" w:hAnsi="Baskerville Old Face" w:cs="Arial"/>
          <w:sz w:val="20"/>
        </w:rPr>
        <w:t xml:space="preserve"> et al. 2012). A broad competitiveness strategy, rather than sector specific trade protection, is more likely to provide the framework that will drive job creation over the medium term. The following policies could assist different stakeholders adapt to this new trade policy environment, taking advantage of the long implementation period:</w:t>
      </w:r>
    </w:p>
    <w:p w:rsidR="00A61396" w:rsidRPr="00B960AC" w:rsidRDefault="00A61396" w:rsidP="00B960AC">
      <w:pPr>
        <w:pStyle w:val="ListParagraph"/>
        <w:numPr>
          <w:ilvl w:val="0"/>
          <w:numId w:val="30"/>
        </w:numPr>
        <w:spacing w:after="120"/>
        <w:ind w:left="284" w:hanging="284"/>
        <w:jc w:val="both"/>
        <w:rPr>
          <w:rFonts w:ascii="Baskerville Old Face" w:hAnsi="Baskerville Old Face" w:cs="Arial"/>
          <w:sz w:val="20"/>
        </w:rPr>
      </w:pPr>
      <w:r w:rsidRPr="00B960AC">
        <w:rPr>
          <w:rFonts w:ascii="Baskerville Old Face" w:hAnsi="Baskerville Old Face" w:cs="Arial"/>
          <w:b/>
          <w:i/>
          <w:sz w:val="20"/>
        </w:rPr>
        <w:t>Public revenue:</w:t>
      </w:r>
      <w:r w:rsidRPr="00B960AC">
        <w:rPr>
          <w:rFonts w:ascii="Baskerville Old Face" w:hAnsi="Baskerville Old Face" w:cs="Arial"/>
          <w:sz w:val="20"/>
        </w:rPr>
        <w:t xml:space="preserve"> Most studies agree that applying the CET and EPA will lead to a significant decline of tariff revenue, although reliance on tariffs is limited in Nigeria compared to other West African countries. The authorities could nonetheless compensate this loss by improving the low duty collection rate through better control over duty exemptions, corruption and smuggling (</w:t>
      </w:r>
      <w:proofErr w:type="spellStart"/>
      <w:r w:rsidRPr="00B960AC">
        <w:rPr>
          <w:rFonts w:ascii="Baskerville Old Face" w:hAnsi="Baskerville Old Face" w:cs="Arial"/>
          <w:sz w:val="20"/>
        </w:rPr>
        <w:t>Raballand</w:t>
      </w:r>
      <w:proofErr w:type="spellEnd"/>
      <w:r w:rsidRPr="00B960AC">
        <w:rPr>
          <w:rFonts w:ascii="Baskerville Old Face" w:hAnsi="Baskerville Old Face" w:cs="Arial"/>
          <w:sz w:val="20"/>
        </w:rPr>
        <w:t xml:space="preserve"> and </w:t>
      </w:r>
      <w:proofErr w:type="spellStart"/>
      <w:r w:rsidRPr="00B960AC">
        <w:rPr>
          <w:rFonts w:ascii="Baskerville Old Face" w:hAnsi="Baskerville Old Face" w:cs="Arial"/>
          <w:sz w:val="20"/>
        </w:rPr>
        <w:t>Mjekiqi</w:t>
      </w:r>
      <w:proofErr w:type="spellEnd"/>
      <w:r w:rsidRPr="00B960AC">
        <w:rPr>
          <w:rFonts w:ascii="Baskerville Old Face" w:hAnsi="Baskerville Old Face" w:cs="Arial"/>
          <w:sz w:val="20"/>
        </w:rPr>
        <w:t xml:space="preserve"> 2010). Regarding the latter, the simplification of trade procedures and regional harmonization of tariffs in the context of the CET should reduce incentives to avoid formal trade channels and increase revenue-generating formal trade flows. Finally, reforms of the domestic tax system can also be used to compensate shortfalls of taxes on international trade.</w:t>
      </w:r>
    </w:p>
    <w:p w:rsidR="00A61396" w:rsidRPr="00B960AC" w:rsidRDefault="00A61396" w:rsidP="00B960AC">
      <w:pPr>
        <w:pStyle w:val="ListParagraph"/>
        <w:numPr>
          <w:ilvl w:val="0"/>
          <w:numId w:val="31"/>
        </w:numPr>
        <w:spacing w:after="120"/>
        <w:ind w:left="284" w:hanging="284"/>
        <w:jc w:val="both"/>
        <w:rPr>
          <w:rFonts w:ascii="Baskerville Old Face" w:hAnsi="Baskerville Old Face" w:cs="Arial"/>
          <w:sz w:val="20"/>
        </w:rPr>
      </w:pPr>
      <w:r w:rsidRPr="00B960AC">
        <w:rPr>
          <w:rFonts w:ascii="Baskerville Old Face" w:hAnsi="Baskerville Old Face" w:cs="Arial"/>
          <w:b/>
          <w:i/>
          <w:sz w:val="20"/>
        </w:rPr>
        <w:t>Consumer welfare:</w:t>
      </w:r>
      <w:r w:rsidRPr="00B960AC">
        <w:rPr>
          <w:rFonts w:ascii="Baskerville Old Face" w:hAnsi="Baskerville Old Face" w:cs="Arial"/>
          <w:sz w:val="20"/>
        </w:rPr>
        <w:t xml:space="preserve"> In cases where tariff reduction or the removal of import bans and levies are expected to lower the price of imports for certain products, an important accompanying measure would be to inform the public and promote competition in the distribution of these products, in order to ensure that importers pass the price reductions on to consumers rather than absorbing them as windfall profits. For some key </w:t>
      </w:r>
      <w:r w:rsidRPr="00B960AC">
        <w:rPr>
          <w:rFonts w:ascii="Baskerville Old Face" w:hAnsi="Baskerville Old Face" w:cs="Arial"/>
          <w:sz w:val="20"/>
        </w:rPr>
        <w:lastRenderedPageBreak/>
        <w:t>products for which the CET would actually increase tariffs, it will be important to monitor the impact on prices, notably for the poor, and to explore the possibility to adjust the CET to lower rates in the future.</w:t>
      </w:r>
    </w:p>
    <w:p w:rsidR="00A61396" w:rsidRPr="00B960AC" w:rsidRDefault="00A61396" w:rsidP="00B960AC">
      <w:pPr>
        <w:pStyle w:val="ListParagraph"/>
        <w:numPr>
          <w:ilvl w:val="0"/>
          <w:numId w:val="32"/>
        </w:numPr>
        <w:spacing w:after="120"/>
        <w:ind w:left="284" w:hanging="284"/>
        <w:jc w:val="both"/>
        <w:rPr>
          <w:rFonts w:ascii="Baskerville Old Face" w:hAnsi="Baskerville Old Face" w:cs="Arial"/>
          <w:sz w:val="20"/>
        </w:rPr>
      </w:pPr>
      <w:r w:rsidRPr="00B960AC">
        <w:rPr>
          <w:rFonts w:ascii="Baskerville Old Face" w:hAnsi="Baskerville Old Face" w:cs="Arial"/>
          <w:b/>
          <w:i/>
          <w:sz w:val="20"/>
        </w:rPr>
        <w:t>Firm profitability:</w:t>
      </w:r>
      <w:r w:rsidRPr="00B960AC">
        <w:rPr>
          <w:rFonts w:ascii="Baskerville Old Face" w:hAnsi="Baskerville Old Face" w:cs="Arial"/>
          <w:sz w:val="20"/>
        </w:rPr>
        <w:t xml:space="preserve"> Beside the fact that most firms are expected to reap competitive gains as a result from the CET and EPA, it is clear that losses would be small compared to any productivity gains that could be achieved through policy measures to boost competitiveness</w:t>
      </w:r>
      <w:r w:rsidR="002F3D81" w:rsidRPr="00B960AC">
        <w:rPr>
          <w:rFonts w:ascii="Baskerville Old Face" w:hAnsi="Baskerville Old Face" w:cs="Arial"/>
          <w:sz w:val="20"/>
        </w:rPr>
        <w:t xml:space="preserve"> and reduce supply side constraints</w:t>
      </w:r>
      <w:r w:rsidRPr="00B960AC">
        <w:rPr>
          <w:rFonts w:ascii="Baskerville Old Face" w:hAnsi="Baskerville Old Face" w:cs="Arial"/>
          <w:sz w:val="20"/>
        </w:rPr>
        <w:t xml:space="preserve">. An exogenous acceleration of annual productivity growth by 0.1 percentage point would not only more than offset any negative effects from the EPA, but also lead to substantial gains across the distribution of firms, with two thirds of them gaining over 2% in profitability. In order to illustrate this point with concrete examples, simulations were run using the detailed firm-level data to show the large positive impact on profitability </w:t>
      </w:r>
      <w:r w:rsidRPr="00B960AC">
        <w:rPr>
          <w:rFonts w:ascii="Baskerville Old Face" w:hAnsi="Baskerville Old Face" w:cs="Arial"/>
          <w:color w:val="auto"/>
          <w:sz w:val="20"/>
        </w:rPr>
        <w:t>of reducing power outages and transport costs (</w:t>
      </w:r>
      <w:r w:rsidR="00687BC4">
        <w:fldChar w:fldCharType="begin"/>
      </w:r>
      <w:r w:rsidR="00687BC4">
        <w:instrText xml:space="preserve"> REF _Ref406422314 \h  \* MERGEFORMAT </w:instrText>
      </w:r>
      <w:r w:rsidR="00687BC4">
        <w:fldChar w:fldCharType="separate"/>
      </w:r>
      <w:r w:rsidR="002C3AA7" w:rsidRPr="00B960AC">
        <w:rPr>
          <w:rFonts w:ascii="Baskerville Old Face" w:eastAsia="Times New Roman" w:hAnsi="Baskerville Old Face" w:cs="Arial"/>
          <w:color w:val="auto"/>
          <w:sz w:val="20"/>
          <w:szCs w:val="22"/>
        </w:rPr>
        <w:t>Figure 3</w:t>
      </w:r>
      <w:r w:rsidR="00687BC4">
        <w:fldChar w:fldCharType="end"/>
      </w:r>
      <w:r w:rsidRPr="00B960AC">
        <w:rPr>
          <w:rFonts w:ascii="Baskerville Old Face" w:hAnsi="Baskerville Old Face" w:cs="Arial"/>
          <w:color w:val="auto"/>
          <w:sz w:val="20"/>
        </w:rPr>
        <w:t xml:space="preserve">). Defining and implementing such a competitiveness </w:t>
      </w:r>
      <w:r w:rsidRPr="00B960AC">
        <w:rPr>
          <w:rFonts w:ascii="Baskerville Old Face" w:hAnsi="Baskerville Old Face" w:cs="Arial"/>
          <w:sz w:val="20"/>
        </w:rPr>
        <w:t>agenda, possibly with support from the PAPED, could be a key factor in maximizing benefits from the EPA for Nigerian firms and workers.</w:t>
      </w:r>
    </w:p>
    <w:p w:rsidR="00A61396" w:rsidRPr="00B960AC" w:rsidRDefault="00A61396" w:rsidP="00B960AC">
      <w:pPr>
        <w:pStyle w:val="ListParagraph"/>
        <w:numPr>
          <w:ilvl w:val="0"/>
          <w:numId w:val="33"/>
        </w:numPr>
        <w:spacing w:after="120"/>
        <w:ind w:left="284" w:hanging="284"/>
        <w:jc w:val="both"/>
        <w:rPr>
          <w:rFonts w:ascii="Baskerville Old Face" w:hAnsi="Baskerville Old Face" w:cs="Arial"/>
          <w:sz w:val="20"/>
        </w:rPr>
      </w:pPr>
      <w:r w:rsidRPr="00B960AC">
        <w:rPr>
          <w:rFonts w:ascii="Baskerville Old Face" w:hAnsi="Baskerville Old Face" w:cs="Arial"/>
          <w:b/>
          <w:i/>
          <w:sz w:val="20"/>
        </w:rPr>
        <w:t>Jobs:</w:t>
      </w:r>
      <w:r w:rsidRPr="00B960AC">
        <w:rPr>
          <w:rFonts w:ascii="Baskerville Old Face" w:hAnsi="Baskerville Old Face" w:cs="Arial"/>
          <w:sz w:val="20"/>
        </w:rPr>
        <w:t xml:space="preserve"> In sectors where increased competition due to the CET and EPA is expected to put pressure on jobs, policies could aim at providing affected workers with social assistance, training and support to find new jobs in firms and sectors which benefited from the reforms.</w:t>
      </w:r>
    </w:p>
    <w:p w:rsidR="00882812" w:rsidRPr="00B960AC" w:rsidRDefault="00A61396" w:rsidP="00B960AC">
      <w:pPr>
        <w:pStyle w:val="ListParagraph"/>
        <w:numPr>
          <w:ilvl w:val="0"/>
          <w:numId w:val="34"/>
        </w:numPr>
        <w:tabs>
          <w:tab w:val="left" w:pos="360"/>
        </w:tabs>
        <w:ind w:left="284" w:hanging="284"/>
        <w:contextualSpacing/>
        <w:jc w:val="both"/>
        <w:rPr>
          <w:rFonts w:ascii="Baskerville Old Face" w:hAnsi="Baskerville Old Face" w:cs="Arial"/>
          <w:sz w:val="20"/>
        </w:rPr>
      </w:pPr>
      <w:r w:rsidRPr="00B960AC">
        <w:rPr>
          <w:rFonts w:ascii="Baskerville Old Face" w:hAnsi="Baskerville Old Face" w:cs="Arial"/>
          <w:b/>
          <w:i/>
          <w:sz w:val="20"/>
        </w:rPr>
        <w:t>Regional integration:</w:t>
      </w:r>
      <w:r w:rsidRPr="00B960AC">
        <w:rPr>
          <w:rFonts w:ascii="Baskerville Old Face" w:hAnsi="Baskerville Old Face" w:cs="Arial"/>
          <w:sz w:val="20"/>
        </w:rPr>
        <w:t xml:space="preserve"> Most studies find that the EPA creates a risk of welfare-reducing trade diversion to EU producers from more efficient ones in third countries, including in West Africa. The appropriate strategy to minimize this risk would be to pursue trade liberalization on a non-discriminatory basis and step up efforts to reduce barriers to intra-regional trade. The linkages between the CET and EPA are clear in this regard. Again, financial and technical assistance, notably in the framework of the PAPED, could usefully be leveraged for this purpose.</w:t>
      </w:r>
    </w:p>
    <w:p w:rsidR="006718EF" w:rsidRPr="00B960AC" w:rsidRDefault="006718EF" w:rsidP="00741061">
      <w:pPr>
        <w:spacing w:after="0"/>
        <w:jc w:val="both"/>
        <w:rPr>
          <w:rFonts w:ascii="Baskerville Old Face" w:hAnsi="Baskerville Old Face" w:cs="Arial"/>
          <w:b/>
          <w:color w:val="943634" w:themeColor="accent2" w:themeShade="BF"/>
          <w:sz w:val="20"/>
        </w:rPr>
        <w:sectPr w:rsidR="006718EF" w:rsidRPr="00B960AC" w:rsidSect="009E0963">
          <w:footerReference w:type="default" r:id="rId18"/>
          <w:type w:val="continuous"/>
          <w:pgSz w:w="12240" w:h="15840"/>
          <w:pgMar w:top="1440" w:right="1440" w:bottom="1440" w:left="1440" w:header="720" w:footer="720" w:gutter="0"/>
          <w:cols w:num="2" w:space="180"/>
          <w:docGrid w:linePitch="360"/>
        </w:sectPr>
      </w:pPr>
    </w:p>
    <w:p w:rsidR="006718EF" w:rsidRPr="00B960AC" w:rsidRDefault="006718EF" w:rsidP="00D801C8">
      <w:pPr>
        <w:keepNext/>
        <w:jc w:val="both"/>
        <w:rPr>
          <w:rFonts w:ascii="Baskerville Old Face" w:hAnsi="Baskerville Old Face" w:cs="Arial"/>
          <w:b/>
          <w:color w:val="943634" w:themeColor="accent2" w:themeShade="BF"/>
          <w:szCs w:val="22"/>
        </w:rPr>
      </w:pPr>
      <w:r w:rsidRPr="00B960AC">
        <w:rPr>
          <w:rFonts w:ascii="Baskerville Old Face" w:hAnsi="Baskerville Old Face" w:cs="Arial"/>
          <w:b/>
          <w:color w:val="943634" w:themeColor="accent2" w:themeShade="BF"/>
          <w:szCs w:val="22"/>
        </w:rPr>
        <w:lastRenderedPageBreak/>
        <w:t>Conclusion</w:t>
      </w:r>
      <w:r w:rsidR="00B960AC">
        <w:rPr>
          <w:rFonts w:ascii="Baskerville Old Face" w:hAnsi="Baskerville Old Face" w:cs="Arial"/>
          <w:b/>
          <w:color w:val="943634" w:themeColor="accent2" w:themeShade="BF"/>
          <w:szCs w:val="22"/>
        </w:rPr>
        <w:t>s</w:t>
      </w:r>
    </w:p>
    <w:p w:rsidR="00D801C8" w:rsidRPr="00B960AC" w:rsidRDefault="00B960AC" w:rsidP="00D801C8">
      <w:pPr>
        <w:spacing w:before="120"/>
        <w:jc w:val="both"/>
        <w:rPr>
          <w:rFonts w:ascii="Baskerville Old Face" w:hAnsi="Baskerville Old Face" w:cs="Arial"/>
          <w:sz w:val="20"/>
        </w:rPr>
      </w:pPr>
      <w:r>
        <w:rPr>
          <w:rFonts w:ascii="Baskerville Old Face" w:hAnsi="Baskerville Old Face" w:cs="Arial"/>
          <w:sz w:val="20"/>
        </w:rPr>
        <w:tab/>
      </w:r>
      <w:r w:rsidR="00D801C8" w:rsidRPr="00B960AC">
        <w:rPr>
          <w:rFonts w:ascii="Baskerville Old Face" w:hAnsi="Baskerville Old Face" w:cs="Arial"/>
          <w:sz w:val="20"/>
        </w:rPr>
        <w:t xml:space="preserve">The conclusion of negotiations for the ECOWAS CET and EPA were important milestones for West Africa, but the way these agreements will now be implemented </w:t>
      </w:r>
      <w:r w:rsidR="008C519B" w:rsidRPr="00B960AC">
        <w:rPr>
          <w:rFonts w:ascii="Baskerville Old Face" w:hAnsi="Baskerville Old Face" w:cs="Arial"/>
          <w:sz w:val="20"/>
        </w:rPr>
        <w:t xml:space="preserve">and complemented with other reforms </w:t>
      </w:r>
      <w:r w:rsidR="00D801C8" w:rsidRPr="00B960AC">
        <w:rPr>
          <w:rFonts w:ascii="Baskerville Old Face" w:hAnsi="Baskerville Old Face" w:cs="Arial"/>
          <w:sz w:val="20"/>
        </w:rPr>
        <w:t xml:space="preserve">will largely determine </w:t>
      </w:r>
      <w:r w:rsidR="00D801C8" w:rsidRPr="00B960AC">
        <w:rPr>
          <w:rFonts w:ascii="Baskerville Old Face" w:hAnsi="Baskerville Old Face" w:cs="Arial"/>
          <w:sz w:val="20"/>
        </w:rPr>
        <w:lastRenderedPageBreak/>
        <w:t>the benefits that countries, firms and workers can expect from them, including in Nigeria.</w:t>
      </w:r>
    </w:p>
    <w:p w:rsidR="00D801C8" w:rsidRPr="00B960AC" w:rsidRDefault="00B960AC" w:rsidP="00D801C8">
      <w:pPr>
        <w:spacing w:before="120"/>
        <w:jc w:val="both"/>
        <w:rPr>
          <w:rFonts w:ascii="Baskerville Old Face" w:hAnsi="Baskerville Old Face" w:cs="Arial"/>
          <w:sz w:val="20"/>
        </w:rPr>
      </w:pPr>
      <w:r>
        <w:rPr>
          <w:rFonts w:ascii="Baskerville Old Face" w:hAnsi="Baskerville Old Face" w:cs="Arial"/>
          <w:sz w:val="20"/>
        </w:rPr>
        <w:t xml:space="preserve">      </w:t>
      </w:r>
      <w:r>
        <w:rPr>
          <w:rFonts w:ascii="Baskerville Old Face" w:hAnsi="Baskerville Old Face" w:cs="Arial"/>
          <w:sz w:val="20"/>
        </w:rPr>
        <w:tab/>
      </w:r>
      <w:r w:rsidR="00D801C8" w:rsidRPr="00B960AC">
        <w:rPr>
          <w:rFonts w:ascii="Baskerville Old Face" w:hAnsi="Baskerville Old Face" w:cs="Arial"/>
          <w:sz w:val="20"/>
        </w:rPr>
        <w:t xml:space="preserve">For Nigeria, the evidence presented here suggests that consumers, as well as a majority of manufacturing firms and workers, will experience small gains from the CET and EPA as the costs of consumption and of key material inputs fall. EPA-related losses are only expected in a limited </w:t>
      </w:r>
      <w:r w:rsidR="00D801C8" w:rsidRPr="00B960AC">
        <w:rPr>
          <w:rFonts w:ascii="Baskerville Old Face" w:hAnsi="Baskerville Old Face" w:cs="Arial"/>
          <w:sz w:val="20"/>
        </w:rPr>
        <w:lastRenderedPageBreak/>
        <w:t>number of sectors, which currently have above-average profitability levels. This is not to say however that these reforms will be entirely costless, and more research is needed to analyze the potential impacts on other groups, such as agricultural producers and service providers, and on poverty.</w:t>
      </w:r>
    </w:p>
    <w:p w:rsidR="00D801C8" w:rsidRPr="00B960AC" w:rsidRDefault="00B960AC" w:rsidP="00D801C8">
      <w:pPr>
        <w:spacing w:before="120"/>
        <w:jc w:val="both"/>
        <w:rPr>
          <w:rFonts w:ascii="Baskerville Old Face" w:hAnsi="Baskerville Old Face" w:cs="Arial"/>
          <w:sz w:val="20"/>
        </w:rPr>
      </w:pPr>
      <w:r>
        <w:rPr>
          <w:rFonts w:ascii="Baskerville Old Face" w:hAnsi="Baskerville Old Face" w:cs="Arial"/>
          <w:sz w:val="20"/>
        </w:rPr>
        <w:tab/>
      </w:r>
      <w:r w:rsidR="00D801C8" w:rsidRPr="00B960AC">
        <w:rPr>
          <w:rFonts w:ascii="Baskerville Old Face" w:hAnsi="Baskerville Old Face" w:cs="Arial"/>
          <w:sz w:val="20"/>
        </w:rPr>
        <w:t>Clearly, the debate is not purely economic but largely influenced by political economy dynamics and different stakeholders’ capacity to defend their perceived interests. While actors who fear negative repercussions legitimately express their concerns, it is important to have an understanding of the overall balance of costs and benefits and of the accompanying measures that can be adopted to minimize the former and maximize the latter. Policies to support the few who might lose need not curtail the opportunities for the many who could gain from an integrated West Africa region and more open trade regime. As argued above, combining trade policy reforms with an ambitious competitiveness agenda that truly addresses the most binding supply-side constraints would in fact benefit all firms.</w:t>
      </w:r>
    </w:p>
    <w:p w:rsidR="008610E7" w:rsidRPr="00B960AC" w:rsidRDefault="00B960AC" w:rsidP="00D801C8">
      <w:pPr>
        <w:keepNext/>
        <w:spacing w:after="120"/>
        <w:jc w:val="both"/>
        <w:rPr>
          <w:rFonts w:ascii="Baskerville Old Face" w:hAnsi="Baskerville Old Face" w:cs="Arial"/>
          <w:sz w:val="20"/>
        </w:rPr>
      </w:pPr>
      <w:r>
        <w:rPr>
          <w:rFonts w:ascii="Baskerville Old Face" w:hAnsi="Baskerville Old Face" w:cs="Arial"/>
          <w:sz w:val="20"/>
        </w:rPr>
        <w:tab/>
      </w:r>
      <w:r w:rsidR="00D801C8" w:rsidRPr="00B960AC">
        <w:rPr>
          <w:rFonts w:ascii="Baskerville Old Face" w:hAnsi="Baskerville Old Face" w:cs="Arial"/>
          <w:sz w:val="20"/>
        </w:rPr>
        <w:t xml:space="preserve">In this regard, it is worth reemphasizing that the CET and EPA are expected to have only moderate </w:t>
      </w:r>
      <w:r w:rsidR="008610E7" w:rsidRPr="00B960AC">
        <w:rPr>
          <w:rFonts w:ascii="Baskerville Old Face" w:hAnsi="Baskerville Old Face" w:cs="Arial"/>
          <w:sz w:val="20"/>
        </w:rPr>
        <w:t xml:space="preserve">direct </w:t>
      </w:r>
      <w:r w:rsidR="00D801C8" w:rsidRPr="00B960AC">
        <w:rPr>
          <w:rFonts w:ascii="Baskerville Old Face" w:hAnsi="Baskerville Old Face" w:cs="Arial"/>
          <w:sz w:val="20"/>
        </w:rPr>
        <w:t>impacts</w:t>
      </w:r>
      <w:r w:rsidR="008610E7" w:rsidRPr="00B960AC">
        <w:rPr>
          <w:rFonts w:ascii="Baskerville Old Face" w:hAnsi="Baskerville Old Face" w:cs="Arial"/>
          <w:sz w:val="20"/>
        </w:rPr>
        <w:t xml:space="preserve"> on firms and consumers</w:t>
      </w:r>
      <w:r w:rsidR="00D801C8" w:rsidRPr="00B960AC">
        <w:rPr>
          <w:rFonts w:ascii="Baskerville Old Face" w:hAnsi="Baskerville Old Face" w:cs="Arial"/>
          <w:sz w:val="20"/>
        </w:rPr>
        <w:t xml:space="preserve">. These agreements are illustrative of classic trade integration with a narrow focus on tariff issues, although there is mounting evidence that </w:t>
      </w:r>
      <w:r w:rsidR="00D801C8" w:rsidRPr="00B960AC">
        <w:rPr>
          <w:rFonts w:ascii="Baskerville Old Face" w:hAnsi="Baskerville Old Face" w:cs="Arial"/>
          <w:sz w:val="20"/>
        </w:rPr>
        <w:lastRenderedPageBreak/>
        <w:t>this approach</w:t>
      </w:r>
      <w:r w:rsidR="002F3D81" w:rsidRPr="00B960AC">
        <w:rPr>
          <w:rFonts w:ascii="Baskerville Old Face" w:hAnsi="Baskerville Old Face" w:cs="Arial"/>
          <w:sz w:val="20"/>
        </w:rPr>
        <w:t xml:space="preserve"> alone</w:t>
      </w:r>
      <w:r w:rsidR="00D801C8" w:rsidRPr="00B960AC">
        <w:rPr>
          <w:rFonts w:ascii="Baskerville Old Face" w:hAnsi="Baskerville Old Face" w:cs="Arial"/>
          <w:sz w:val="20"/>
        </w:rPr>
        <w:t xml:space="preserve"> is unlikely to radically enhance the trade competitiveness of West African countries. While the conclusion of negotiations on the CET and EPA is an encouraging first step, policy makers should aim at complementing and deepening them in the future to address the critical </w:t>
      </w:r>
      <w:r w:rsidR="00626DC9" w:rsidRPr="00B960AC">
        <w:rPr>
          <w:rFonts w:ascii="Baskerville Old Face" w:hAnsi="Baskerville Old Face" w:cs="Arial"/>
          <w:sz w:val="20"/>
        </w:rPr>
        <w:t xml:space="preserve">barriers to trade and </w:t>
      </w:r>
      <w:r w:rsidR="00D801C8" w:rsidRPr="00B960AC">
        <w:rPr>
          <w:rFonts w:ascii="Baskerville Old Face" w:hAnsi="Baskerville Old Face" w:cs="Arial"/>
          <w:sz w:val="20"/>
        </w:rPr>
        <w:t xml:space="preserve">regulatory reforms in </w:t>
      </w:r>
      <w:r w:rsidR="00626DC9" w:rsidRPr="00B960AC">
        <w:rPr>
          <w:rFonts w:ascii="Baskerville Old Face" w:hAnsi="Baskerville Old Face" w:cs="Arial"/>
          <w:sz w:val="20"/>
        </w:rPr>
        <w:t xml:space="preserve">both </w:t>
      </w:r>
      <w:r w:rsidR="00D801C8" w:rsidRPr="00B960AC">
        <w:rPr>
          <w:rFonts w:ascii="Baskerville Old Face" w:hAnsi="Baskerville Old Face" w:cs="Arial"/>
          <w:sz w:val="20"/>
        </w:rPr>
        <w:t>goods and services that will be required if broad-based improvements in competitiveness are to be achieved.</w:t>
      </w:r>
    </w:p>
    <w:p w:rsidR="008610E7" w:rsidRPr="00B960AC" w:rsidRDefault="00B960AC" w:rsidP="00D801C8">
      <w:pPr>
        <w:keepNext/>
        <w:spacing w:after="120"/>
        <w:jc w:val="both"/>
        <w:rPr>
          <w:rFonts w:ascii="Baskerville Old Face" w:hAnsi="Baskerville Old Face" w:cs="Arial"/>
          <w:sz w:val="20"/>
        </w:rPr>
      </w:pPr>
      <w:r>
        <w:rPr>
          <w:rFonts w:ascii="Baskerville Old Face" w:hAnsi="Baskerville Old Face" w:cs="Arial"/>
          <w:sz w:val="20"/>
        </w:rPr>
        <w:tab/>
      </w:r>
      <w:r w:rsidR="00D801C8" w:rsidRPr="00B960AC">
        <w:rPr>
          <w:rFonts w:ascii="Baskerville Old Face" w:hAnsi="Baskerville Old Face" w:cs="Arial"/>
          <w:sz w:val="20"/>
        </w:rPr>
        <w:t>Regarding tariffs and the CET, progressively reducing MFN tariffs and limiting the resort to additional protection measures will be necessary to minimize the risk of trade diversion in favor of European producers induced by the EPA and to promote integration in global markets and supply chains. This should be accompanied by renewed efforts to remove tariff and non-tariff barriers to intra-regional trade</w:t>
      </w:r>
      <w:r w:rsidR="008610E7" w:rsidRPr="00B960AC">
        <w:rPr>
          <w:rFonts w:ascii="Baskerville Old Face" w:hAnsi="Baskerville Old Face" w:cs="Arial"/>
          <w:sz w:val="20"/>
        </w:rPr>
        <w:t>,</w:t>
      </w:r>
      <w:r w:rsidR="00D801C8" w:rsidRPr="00B960AC">
        <w:rPr>
          <w:rFonts w:ascii="Baskerville Old Face" w:hAnsi="Baskerville Old Face" w:cs="Arial"/>
          <w:sz w:val="20"/>
        </w:rPr>
        <w:t xml:space="preserve"> so as to make the ECOWAS common market a reality.</w:t>
      </w:r>
    </w:p>
    <w:p w:rsidR="00987CE4" w:rsidRPr="00B960AC" w:rsidRDefault="00B960AC" w:rsidP="00D801C8">
      <w:pPr>
        <w:keepNext/>
        <w:spacing w:after="120"/>
        <w:jc w:val="both"/>
        <w:rPr>
          <w:rFonts w:ascii="Baskerville Old Face" w:hAnsi="Baskerville Old Face" w:cs="Arial"/>
          <w:b/>
          <w:sz w:val="20"/>
        </w:rPr>
      </w:pPr>
      <w:r>
        <w:rPr>
          <w:rFonts w:ascii="Baskerville Old Face" w:hAnsi="Baskerville Old Face" w:cs="Arial"/>
          <w:sz w:val="20"/>
        </w:rPr>
        <w:tab/>
      </w:r>
      <w:r w:rsidR="00D801C8" w:rsidRPr="00B960AC">
        <w:rPr>
          <w:rFonts w:ascii="Baskerville Old Face" w:hAnsi="Baskerville Old Face" w:cs="Arial"/>
          <w:sz w:val="20"/>
        </w:rPr>
        <w:t>Finally, the EPA and related aid for trade could be leveraged to help African countries integrate in global markets (the adoption of relatively flexible rules of origin is a positive sign</w:t>
      </w:r>
      <w:r w:rsidR="008610E7" w:rsidRPr="00B960AC">
        <w:rPr>
          <w:rFonts w:ascii="Baskerville Old Face" w:hAnsi="Baskerville Old Face" w:cs="Arial"/>
          <w:sz w:val="20"/>
        </w:rPr>
        <w:t xml:space="preserve"> in this regard</w:t>
      </w:r>
      <w:r w:rsidR="00390682" w:rsidRPr="00B960AC">
        <w:rPr>
          <w:rFonts w:ascii="Baskerville Old Face" w:hAnsi="Baskerville Old Face" w:cs="Arial"/>
          <w:sz w:val="20"/>
        </w:rPr>
        <w:t xml:space="preserve">). They should also </w:t>
      </w:r>
      <w:r w:rsidR="00D801C8" w:rsidRPr="00B960AC">
        <w:rPr>
          <w:rFonts w:ascii="Baskerville Old Face" w:hAnsi="Baskerville Old Face" w:cs="Arial"/>
          <w:sz w:val="20"/>
        </w:rPr>
        <w:t xml:space="preserve">support domestic and regional reforms that will be required in all cases to strengthen </w:t>
      </w:r>
      <w:r w:rsidR="00390682" w:rsidRPr="00B960AC">
        <w:rPr>
          <w:rFonts w:ascii="Baskerville Old Face" w:hAnsi="Baskerville Old Face" w:cs="Arial"/>
          <w:sz w:val="20"/>
        </w:rPr>
        <w:t>the</w:t>
      </w:r>
      <w:r w:rsidR="00D801C8" w:rsidRPr="00B960AC">
        <w:rPr>
          <w:rFonts w:ascii="Baskerville Old Face" w:hAnsi="Baskerville Old Face" w:cs="Arial"/>
          <w:sz w:val="20"/>
        </w:rPr>
        <w:t xml:space="preserve"> competitiveness</w:t>
      </w:r>
      <w:r w:rsidR="00390682" w:rsidRPr="00B960AC">
        <w:rPr>
          <w:rFonts w:ascii="Baskerville Old Face" w:hAnsi="Baskerville Old Face" w:cs="Arial"/>
          <w:sz w:val="20"/>
        </w:rPr>
        <w:t xml:space="preserve"> of West African producers by mitigating supply-side constraints</w:t>
      </w:r>
      <w:r w:rsidR="00D801C8" w:rsidRPr="00B960AC">
        <w:rPr>
          <w:rFonts w:ascii="Baskerville Old Face" w:hAnsi="Baskerville Old Face" w:cs="Arial"/>
          <w:sz w:val="20"/>
        </w:rPr>
        <w:t>.</w:t>
      </w:r>
    </w:p>
    <w:p w:rsidR="00150EC3" w:rsidRPr="00B960AC" w:rsidRDefault="00150EC3">
      <w:pPr>
        <w:spacing w:after="0" w:line="240" w:lineRule="auto"/>
        <w:rPr>
          <w:rFonts w:ascii="Baskerville Old Face" w:hAnsi="Baskerville Old Face" w:cs="Arial"/>
          <w:b/>
          <w:color w:val="943634" w:themeColor="accent2" w:themeShade="BF"/>
          <w:sz w:val="20"/>
        </w:rPr>
      </w:pPr>
      <w:r w:rsidRPr="00B960AC">
        <w:rPr>
          <w:rFonts w:ascii="Baskerville Old Face" w:hAnsi="Baskerville Old Face" w:cs="Arial"/>
          <w:b/>
          <w:color w:val="943634" w:themeColor="accent2" w:themeShade="BF"/>
          <w:sz w:val="20"/>
        </w:rPr>
        <w:br w:type="page"/>
      </w:r>
    </w:p>
    <w:p w:rsidR="00150EC3" w:rsidRPr="00B960AC" w:rsidRDefault="00150EC3" w:rsidP="00741061">
      <w:pPr>
        <w:keepNext/>
        <w:spacing w:before="600" w:after="120"/>
        <w:jc w:val="both"/>
        <w:rPr>
          <w:rFonts w:ascii="Baskerville Old Face" w:hAnsi="Baskerville Old Face" w:cs="Arial"/>
          <w:b/>
          <w:color w:val="943634" w:themeColor="accent2" w:themeShade="BF"/>
          <w:sz w:val="20"/>
        </w:rPr>
        <w:sectPr w:rsidR="00150EC3" w:rsidRPr="00B960AC" w:rsidSect="00D801C8">
          <w:headerReference w:type="even" r:id="rId19"/>
          <w:headerReference w:type="default" r:id="rId20"/>
          <w:footerReference w:type="even" r:id="rId21"/>
          <w:footerReference w:type="default" r:id="rId22"/>
          <w:type w:val="continuous"/>
          <w:pgSz w:w="12240" w:h="15840"/>
          <w:pgMar w:top="1440" w:right="1440" w:bottom="1440" w:left="1440" w:header="720" w:footer="720" w:gutter="0"/>
          <w:cols w:num="2" w:space="180"/>
          <w:docGrid w:linePitch="360"/>
        </w:sectPr>
      </w:pPr>
    </w:p>
    <w:p w:rsidR="00987CE4" w:rsidRDefault="00B960AC" w:rsidP="00B960AC">
      <w:pPr>
        <w:keepNext/>
        <w:spacing w:after="120"/>
        <w:jc w:val="center"/>
        <w:rPr>
          <w:rFonts w:ascii="Baskerville Old Face" w:hAnsi="Baskerville Old Face" w:cs="Arial"/>
          <w:b/>
          <w:color w:val="943634" w:themeColor="accent2" w:themeShade="BF"/>
          <w:szCs w:val="22"/>
        </w:rPr>
      </w:pPr>
      <w:r w:rsidRPr="00B960AC">
        <w:rPr>
          <w:rFonts w:ascii="Baskerville Old Face" w:hAnsi="Baskerville Old Face" w:cs="Arial"/>
          <w:b/>
          <w:color w:val="943634" w:themeColor="accent2" w:themeShade="BF"/>
          <w:szCs w:val="22"/>
        </w:rPr>
        <w:lastRenderedPageBreak/>
        <w:t>R</w:t>
      </w:r>
      <w:r>
        <w:rPr>
          <w:rFonts w:ascii="Baskerville Old Face" w:hAnsi="Baskerville Old Face" w:cs="Arial"/>
          <w:b/>
          <w:color w:val="943634" w:themeColor="accent2" w:themeShade="BF"/>
          <w:szCs w:val="22"/>
        </w:rPr>
        <w:t xml:space="preserve"> </w:t>
      </w:r>
      <w:r w:rsidRPr="00B960AC">
        <w:rPr>
          <w:rFonts w:ascii="Baskerville Old Face" w:hAnsi="Baskerville Old Face" w:cs="Arial"/>
          <w:b/>
          <w:color w:val="943634" w:themeColor="accent2" w:themeShade="BF"/>
          <w:szCs w:val="22"/>
        </w:rPr>
        <w:t>E</w:t>
      </w:r>
      <w:r>
        <w:rPr>
          <w:rFonts w:ascii="Baskerville Old Face" w:hAnsi="Baskerville Old Face" w:cs="Arial"/>
          <w:b/>
          <w:color w:val="943634" w:themeColor="accent2" w:themeShade="BF"/>
          <w:szCs w:val="22"/>
        </w:rPr>
        <w:t xml:space="preserve"> </w:t>
      </w:r>
      <w:r w:rsidRPr="00B960AC">
        <w:rPr>
          <w:rFonts w:ascii="Baskerville Old Face" w:hAnsi="Baskerville Old Face" w:cs="Arial"/>
          <w:b/>
          <w:color w:val="943634" w:themeColor="accent2" w:themeShade="BF"/>
          <w:szCs w:val="22"/>
        </w:rPr>
        <w:t>F</w:t>
      </w:r>
      <w:r>
        <w:rPr>
          <w:rFonts w:ascii="Baskerville Old Face" w:hAnsi="Baskerville Old Face" w:cs="Arial"/>
          <w:b/>
          <w:color w:val="943634" w:themeColor="accent2" w:themeShade="BF"/>
          <w:szCs w:val="22"/>
        </w:rPr>
        <w:t xml:space="preserve"> </w:t>
      </w:r>
      <w:r w:rsidRPr="00B960AC">
        <w:rPr>
          <w:rFonts w:ascii="Baskerville Old Face" w:hAnsi="Baskerville Old Face" w:cs="Arial"/>
          <w:b/>
          <w:color w:val="943634" w:themeColor="accent2" w:themeShade="BF"/>
          <w:szCs w:val="22"/>
        </w:rPr>
        <w:t>E</w:t>
      </w:r>
      <w:r>
        <w:rPr>
          <w:rFonts w:ascii="Baskerville Old Face" w:hAnsi="Baskerville Old Face" w:cs="Arial"/>
          <w:b/>
          <w:color w:val="943634" w:themeColor="accent2" w:themeShade="BF"/>
          <w:szCs w:val="22"/>
        </w:rPr>
        <w:t xml:space="preserve"> </w:t>
      </w:r>
      <w:r w:rsidRPr="00B960AC">
        <w:rPr>
          <w:rFonts w:ascii="Baskerville Old Face" w:hAnsi="Baskerville Old Face" w:cs="Arial"/>
          <w:b/>
          <w:color w:val="943634" w:themeColor="accent2" w:themeShade="BF"/>
          <w:szCs w:val="22"/>
        </w:rPr>
        <w:t>R</w:t>
      </w:r>
      <w:r>
        <w:rPr>
          <w:rFonts w:ascii="Baskerville Old Face" w:hAnsi="Baskerville Old Face" w:cs="Arial"/>
          <w:b/>
          <w:color w:val="943634" w:themeColor="accent2" w:themeShade="BF"/>
          <w:szCs w:val="22"/>
        </w:rPr>
        <w:t xml:space="preserve"> </w:t>
      </w:r>
      <w:r w:rsidRPr="00B960AC">
        <w:rPr>
          <w:rFonts w:ascii="Baskerville Old Face" w:hAnsi="Baskerville Old Face" w:cs="Arial"/>
          <w:b/>
          <w:color w:val="943634" w:themeColor="accent2" w:themeShade="BF"/>
          <w:szCs w:val="22"/>
        </w:rPr>
        <w:t>E</w:t>
      </w:r>
      <w:r>
        <w:rPr>
          <w:rFonts w:ascii="Baskerville Old Face" w:hAnsi="Baskerville Old Face" w:cs="Arial"/>
          <w:b/>
          <w:color w:val="943634" w:themeColor="accent2" w:themeShade="BF"/>
          <w:szCs w:val="22"/>
        </w:rPr>
        <w:t xml:space="preserve"> </w:t>
      </w:r>
      <w:r w:rsidRPr="00B960AC">
        <w:rPr>
          <w:rFonts w:ascii="Baskerville Old Face" w:hAnsi="Baskerville Old Face" w:cs="Arial"/>
          <w:b/>
          <w:color w:val="943634" w:themeColor="accent2" w:themeShade="BF"/>
          <w:szCs w:val="22"/>
        </w:rPr>
        <w:t>N</w:t>
      </w:r>
      <w:r>
        <w:rPr>
          <w:rFonts w:ascii="Baskerville Old Face" w:hAnsi="Baskerville Old Face" w:cs="Arial"/>
          <w:b/>
          <w:color w:val="943634" w:themeColor="accent2" w:themeShade="BF"/>
          <w:szCs w:val="22"/>
        </w:rPr>
        <w:t xml:space="preserve"> </w:t>
      </w:r>
      <w:r w:rsidRPr="00B960AC">
        <w:rPr>
          <w:rFonts w:ascii="Baskerville Old Face" w:hAnsi="Baskerville Old Face" w:cs="Arial"/>
          <w:b/>
          <w:color w:val="943634" w:themeColor="accent2" w:themeShade="BF"/>
          <w:szCs w:val="22"/>
        </w:rPr>
        <w:t>C</w:t>
      </w:r>
      <w:r>
        <w:rPr>
          <w:rFonts w:ascii="Baskerville Old Face" w:hAnsi="Baskerville Old Face" w:cs="Arial"/>
          <w:b/>
          <w:color w:val="943634" w:themeColor="accent2" w:themeShade="BF"/>
          <w:szCs w:val="22"/>
        </w:rPr>
        <w:t xml:space="preserve"> </w:t>
      </w:r>
      <w:r w:rsidRPr="00B960AC">
        <w:rPr>
          <w:rFonts w:ascii="Baskerville Old Face" w:hAnsi="Baskerville Old Face" w:cs="Arial"/>
          <w:b/>
          <w:color w:val="943634" w:themeColor="accent2" w:themeShade="BF"/>
          <w:szCs w:val="22"/>
        </w:rPr>
        <w:t>E</w:t>
      </w:r>
      <w:r>
        <w:rPr>
          <w:rFonts w:ascii="Baskerville Old Face" w:hAnsi="Baskerville Old Face" w:cs="Arial"/>
          <w:b/>
          <w:color w:val="943634" w:themeColor="accent2" w:themeShade="BF"/>
          <w:szCs w:val="22"/>
        </w:rPr>
        <w:t xml:space="preserve"> </w:t>
      </w:r>
      <w:r w:rsidRPr="00B960AC">
        <w:rPr>
          <w:rFonts w:ascii="Baskerville Old Face" w:hAnsi="Baskerville Old Face" w:cs="Arial"/>
          <w:b/>
          <w:color w:val="943634" w:themeColor="accent2" w:themeShade="BF"/>
          <w:szCs w:val="22"/>
        </w:rPr>
        <w:t>S</w:t>
      </w:r>
    </w:p>
    <w:p w:rsidR="00B960AC" w:rsidRPr="00B960AC" w:rsidRDefault="00B960AC" w:rsidP="00B960AC">
      <w:pPr>
        <w:keepNext/>
        <w:spacing w:after="120"/>
        <w:jc w:val="center"/>
        <w:rPr>
          <w:rFonts w:ascii="Baskerville Old Face" w:hAnsi="Baskerville Old Face" w:cs="Arial"/>
          <w:b/>
          <w:color w:val="943634" w:themeColor="accent2" w:themeShade="BF"/>
          <w:szCs w:val="22"/>
        </w:rPr>
      </w:pPr>
    </w:p>
    <w:p w:rsidR="00D801C8" w:rsidRPr="00B960AC" w:rsidRDefault="00D801C8" w:rsidP="005043D2">
      <w:pPr>
        <w:spacing w:line="240" w:lineRule="auto"/>
        <w:ind w:left="180" w:hanging="180"/>
        <w:jc w:val="both"/>
        <w:rPr>
          <w:rFonts w:ascii="Baskerville Old Face" w:hAnsi="Baskerville Old Face" w:cs="Arial"/>
          <w:sz w:val="20"/>
        </w:rPr>
      </w:pPr>
      <w:r w:rsidRPr="00B960AC">
        <w:rPr>
          <w:rFonts w:ascii="Baskerville Old Face" w:hAnsi="Baskerville Old Face" w:cs="Arial"/>
          <w:sz w:val="20"/>
        </w:rPr>
        <w:t xml:space="preserve">Brenton, Paul, </w:t>
      </w:r>
      <w:proofErr w:type="spellStart"/>
      <w:r w:rsidRPr="00B960AC">
        <w:rPr>
          <w:rFonts w:ascii="Baskerville Old Face" w:hAnsi="Baskerville Old Face" w:cs="Arial"/>
          <w:sz w:val="20"/>
        </w:rPr>
        <w:t>Mombert</w:t>
      </w:r>
      <w:proofErr w:type="spellEnd"/>
      <w:r w:rsidRPr="00B960AC">
        <w:rPr>
          <w:rFonts w:ascii="Baskerville Old Face" w:hAnsi="Baskerville Old Face" w:cs="Arial"/>
          <w:sz w:val="20"/>
        </w:rPr>
        <w:t xml:space="preserve"> Hoppe and Richard </w:t>
      </w:r>
      <w:proofErr w:type="spellStart"/>
      <w:r w:rsidRPr="00B960AC">
        <w:rPr>
          <w:rFonts w:ascii="Baskerville Old Face" w:hAnsi="Baskerville Old Face" w:cs="Arial"/>
          <w:sz w:val="20"/>
        </w:rPr>
        <w:t>Newfarmer</w:t>
      </w:r>
      <w:proofErr w:type="spellEnd"/>
      <w:r w:rsidRPr="00B960AC">
        <w:rPr>
          <w:rFonts w:ascii="Baskerville Old Face" w:hAnsi="Baskerville Old Face" w:cs="Arial"/>
          <w:sz w:val="20"/>
        </w:rPr>
        <w:t>. 2008. Economic Partnership Agreements and the Export Competitiveness of Africa. Policy Research Working Paper No. 4627. Washington DC: The World Bank.</w:t>
      </w:r>
    </w:p>
    <w:p w:rsidR="00D801C8" w:rsidRPr="00B960AC" w:rsidRDefault="00D801C8" w:rsidP="005043D2">
      <w:pPr>
        <w:spacing w:line="240" w:lineRule="auto"/>
        <w:ind w:left="180" w:hanging="180"/>
        <w:jc w:val="both"/>
        <w:rPr>
          <w:rFonts w:ascii="Baskerville Old Face" w:hAnsi="Baskerville Old Face" w:cs="Arial"/>
          <w:sz w:val="20"/>
        </w:rPr>
      </w:pPr>
      <w:proofErr w:type="spellStart"/>
      <w:r w:rsidRPr="00B960AC">
        <w:rPr>
          <w:rFonts w:ascii="Baskerville Old Face" w:hAnsi="Baskerville Old Face" w:cs="Arial"/>
          <w:sz w:val="20"/>
        </w:rPr>
        <w:t>Czapbnik</w:t>
      </w:r>
      <w:proofErr w:type="spellEnd"/>
      <w:r w:rsidRPr="00B960AC">
        <w:rPr>
          <w:rFonts w:ascii="Baskerville Old Face" w:hAnsi="Baskerville Old Face" w:cs="Arial"/>
          <w:sz w:val="20"/>
        </w:rPr>
        <w:t xml:space="preserve">, Ben, 2014. Côte d’Ivoire’s EPA: Between a rock and a hard place. </w:t>
      </w:r>
      <w:r w:rsidRPr="00B960AC">
        <w:rPr>
          <w:rFonts w:ascii="Baskerville Old Face" w:hAnsi="Baskerville Old Face" w:cs="Arial"/>
          <w:i/>
          <w:sz w:val="20"/>
        </w:rPr>
        <w:t>Bridges Africa</w:t>
      </w:r>
      <w:r w:rsidRPr="00B960AC">
        <w:rPr>
          <w:rFonts w:ascii="Baskerville Old Face" w:hAnsi="Baskerville Old Face" w:cs="Arial"/>
          <w:sz w:val="20"/>
        </w:rPr>
        <w:t xml:space="preserve"> 3(5). Geneva: ICTSD.</w:t>
      </w:r>
    </w:p>
    <w:p w:rsidR="00D801C8" w:rsidRPr="00B960AC" w:rsidRDefault="00D801C8" w:rsidP="005043D2">
      <w:pPr>
        <w:spacing w:line="240" w:lineRule="auto"/>
        <w:ind w:left="180" w:hanging="180"/>
        <w:jc w:val="both"/>
        <w:rPr>
          <w:rFonts w:ascii="Baskerville Old Face" w:hAnsi="Baskerville Old Face" w:cs="Arial"/>
          <w:sz w:val="20"/>
        </w:rPr>
      </w:pPr>
      <w:r w:rsidRPr="00B960AC">
        <w:rPr>
          <w:rFonts w:ascii="Baskerville Old Face" w:hAnsi="Baskerville Old Face" w:cs="Arial"/>
          <w:sz w:val="20"/>
        </w:rPr>
        <w:t xml:space="preserve">De </w:t>
      </w:r>
      <w:proofErr w:type="spellStart"/>
      <w:r w:rsidRPr="00B960AC">
        <w:rPr>
          <w:rFonts w:ascii="Baskerville Old Face" w:hAnsi="Baskerville Old Face" w:cs="Arial"/>
          <w:sz w:val="20"/>
        </w:rPr>
        <w:t>Melo</w:t>
      </w:r>
      <w:proofErr w:type="spellEnd"/>
      <w:r w:rsidRPr="00B960AC">
        <w:rPr>
          <w:rFonts w:ascii="Baskerville Old Face" w:hAnsi="Baskerville Old Face" w:cs="Arial"/>
          <w:sz w:val="20"/>
        </w:rPr>
        <w:t xml:space="preserve">, Jaime and Cristian </w:t>
      </w:r>
      <w:proofErr w:type="spellStart"/>
      <w:r w:rsidRPr="00B960AC">
        <w:rPr>
          <w:rFonts w:ascii="Baskerville Old Face" w:hAnsi="Baskerville Old Face" w:cs="Arial"/>
          <w:sz w:val="20"/>
        </w:rPr>
        <w:t>Ugarte</w:t>
      </w:r>
      <w:proofErr w:type="spellEnd"/>
      <w:r w:rsidRPr="00B960AC">
        <w:rPr>
          <w:rFonts w:ascii="Baskerville Old Face" w:hAnsi="Baskerville Old Face" w:cs="Arial"/>
          <w:sz w:val="20"/>
        </w:rPr>
        <w:t>. 2013. Nigeria: Time to Take the Lead on Regional and Global Trade Integration in West Africa. Working Paper No. 66. Clermont-Ferrand: FERDI.</w:t>
      </w:r>
    </w:p>
    <w:p w:rsidR="00D801C8" w:rsidRPr="00B960AC" w:rsidRDefault="00D801C8" w:rsidP="005043D2">
      <w:pPr>
        <w:spacing w:line="240" w:lineRule="auto"/>
        <w:ind w:left="180" w:hanging="180"/>
        <w:jc w:val="both"/>
        <w:rPr>
          <w:rFonts w:ascii="Baskerville Old Face" w:hAnsi="Baskerville Old Face" w:cs="Arial"/>
          <w:sz w:val="20"/>
        </w:rPr>
      </w:pPr>
      <w:r w:rsidRPr="00B960AC">
        <w:rPr>
          <w:rFonts w:ascii="Baskerville Old Face" w:hAnsi="Baskerville Old Face" w:cs="Arial"/>
          <w:sz w:val="20"/>
        </w:rPr>
        <w:t xml:space="preserve">De </w:t>
      </w:r>
      <w:proofErr w:type="spellStart"/>
      <w:r w:rsidRPr="00B960AC">
        <w:rPr>
          <w:rFonts w:ascii="Baskerville Old Face" w:hAnsi="Baskerville Old Face" w:cs="Arial"/>
          <w:sz w:val="20"/>
        </w:rPr>
        <w:t>Roquefeuil</w:t>
      </w:r>
      <w:proofErr w:type="spellEnd"/>
      <w:r w:rsidRPr="00B960AC">
        <w:rPr>
          <w:rFonts w:ascii="Baskerville Old Face" w:hAnsi="Baskerville Old Face" w:cs="Arial"/>
          <w:sz w:val="20"/>
        </w:rPr>
        <w:t xml:space="preserve">, Quentin. 2013. Initial Reflections on the ECOWAS Common External Tariff. </w:t>
      </w:r>
      <w:r w:rsidRPr="00B960AC">
        <w:rPr>
          <w:rFonts w:ascii="Baskerville Old Face" w:hAnsi="Baskerville Old Face" w:cs="Arial"/>
          <w:i/>
          <w:sz w:val="20"/>
        </w:rPr>
        <w:t>GREAT Insights</w:t>
      </w:r>
      <w:r w:rsidRPr="00B960AC">
        <w:rPr>
          <w:rFonts w:ascii="Baskerville Old Face" w:hAnsi="Baskerville Old Face" w:cs="Arial"/>
          <w:sz w:val="20"/>
        </w:rPr>
        <w:t xml:space="preserve"> 2(8). Maastricht: ECDPM.</w:t>
      </w:r>
    </w:p>
    <w:p w:rsidR="00D801C8" w:rsidRPr="00B960AC" w:rsidRDefault="00D801C8" w:rsidP="005043D2">
      <w:pPr>
        <w:spacing w:line="240" w:lineRule="auto"/>
        <w:ind w:left="180" w:hanging="180"/>
        <w:jc w:val="both"/>
        <w:rPr>
          <w:rFonts w:ascii="Baskerville Old Face" w:hAnsi="Baskerville Old Face" w:cs="Arial"/>
          <w:sz w:val="20"/>
        </w:rPr>
      </w:pPr>
      <w:r w:rsidRPr="00B960AC">
        <w:rPr>
          <w:rFonts w:ascii="Baskerville Old Face" w:hAnsi="Baskerville Old Face" w:cs="Arial"/>
          <w:sz w:val="20"/>
        </w:rPr>
        <w:t xml:space="preserve">De </w:t>
      </w:r>
      <w:proofErr w:type="spellStart"/>
      <w:r w:rsidRPr="00B960AC">
        <w:rPr>
          <w:rFonts w:ascii="Baskerville Old Face" w:hAnsi="Baskerville Old Face" w:cs="Arial"/>
          <w:sz w:val="20"/>
        </w:rPr>
        <w:t>Roquefeuil</w:t>
      </w:r>
      <w:proofErr w:type="spellEnd"/>
      <w:r w:rsidRPr="00B960AC">
        <w:rPr>
          <w:rFonts w:ascii="Baskerville Old Face" w:hAnsi="Baskerville Old Face" w:cs="Arial"/>
          <w:sz w:val="20"/>
        </w:rPr>
        <w:t xml:space="preserve">, Quentin. Daniel Plunkett and Frank </w:t>
      </w:r>
      <w:proofErr w:type="spellStart"/>
      <w:r w:rsidRPr="00B960AC">
        <w:rPr>
          <w:rFonts w:ascii="Baskerville Old Face" w:hAnsi="Baskerville Old Face" w:cs="Arial"/>
          <w:sz w:val="20"/>
        </w:rPr>
        <w:t>Ofei</w:t>
      </w:r>
      <w:proofErr w:type="spellEnd"/>
      <w:r w:rsidRPr="00B960AC">
        <w:rPr>
          <w:rFonts w:ascii="Baskerville Old Face" w:hAnsi="Baskerville Old Face" w:cs="Arial"/>
          <w:sz w:val="20"/>
        </w:rPr>
        <w:t>. The impact of closer regional economic integration on food security in West Africa – Focus on the ECOWAS Common External Tariff. Discussion Paper no. 154. Maastricht: ECDPM.</w:t>
      </w:r>
    </w:p>
    <w:p w:rsidR="00D801C8" w:rsidRPr="00B960AC" w:rsidRDefault="00D801C8" w:rsidP="005043D2">
      <w:pPr>
        <w:spacing w:line="240" w:lineRule="auto"/>
        <w:ind w:left="180" w:hanging="180"/>
        <w:jc w:val="both"/>
        <w:rPr>
          <w:rFonts w:ascii="Baskerville Old Face" w:hAnsi="Baskerville Old Face" w:cs="Arial"/>
          <w:sz w:val="20"/>
        </w:rPr>
      </w:pPr>
      <w:r w:rsidRPr="00B960AC">
        <w:rPr>
          <w:rFonts w:ascii="Baskerville Old Face" w:hAnsi="Baskerville Old Face" w:cs="Arial"/>
          <w:sz w:val="20"/>
        </w:rPr>
        <w:t xml:space="preserve">ECOWAS. 2014a. Extraordinary Session of the ECOWAS Authority of Heads of State and Government (Dakar, 25 October 2013) – Final Communiqué. </w:t>
      </w:r>
    </w:p>
    <w:p w:rsidR="00D801C8" w:rsidRPr="00B960AC" w:rsidRDefault="00D801C8" w:rsidP="005043D2">
      <w:pPr>
        <w:spacing w:line="240" w:lineRule="auto"/>
        <w:ind w:left="180" w:hanging="180"/>
        <w:jc w:val="both"/>
        <w:rPr>
          <w:rFonts w:ascii="Baskerville Old Face" w:hAnsi="Baskerville Old Face" w:cs="Arial"/>
          <w:sz w:val="20"/>
        </w:rPr>
      </w:pPr>
      <w:r w:rsidRPr="00B960AC">
        <w:rPr>
          <w:rFonts w:ascii="Baskerville Old Face" w:hAnsi="Baskerville Old Face" w:cs="Arial"/>
          <w:sz w:val="20"/>
        </w:rPr>
        <w:t>ECOWAS. 2014b. 16</w:t>
      </w:r>
      <w:r w:rsidRPr="00B960AC">
        <w:rPr>
          <w:rFonts w:ascii="Baskerville Old Face" w:hAnsi="Baskerville Old Face" w:cs="Arial"/>
          <w:sz w:val="20"/>
          <w:vertAlign w:val="superscript"/>
        </w:rPr>
        <w:t>th</w:t>
      </w:r>
      <w:r w:rsidRPr="00B960AC">
        <w:rPr>
          <w:rFonts w:ascii="Baskerville Old Face" w:hAnsi="Baskerville Old Face" w:cs="Arial"/>
          <w:sz w:val="20"/>
        </w:rPr>
        <w:t xml:space="preserve"> Meeting of the Joint ECOWAS-UEMOA Committee for the Management of the ECOWAS Common External Tariff (Accra, 24 to 26 November 2014) – Final Report.</w:t>
      </w:r>
    </w:p>
    <w:p w:rsidR="00D801C8" w:rsidRPr="00B960AC" w:rsidRDefault="00D801C8" w:rsidP="005043D2">
      <w:pPr>
        <w:spacing w:line="240" w:lineRule="auto"/>
        <w:ind w:left="180" w:hanging="180"/>
        <w:jc w:val="both"/>
        <w:rPr>
          <w:rFonts w:ascii="Baskerville Old Face" w:hAnsi="Baskerville Old Face" w:cs="Arial"/>
          <w:sz w:val="20"/>
        </w:rPr>
      </w:pPr>
      <w:r w:rsidRPr="00B960AC">
        <w:rPr>
          <w:rFonts w:ascii="Baskerville Old Face" w:hAnsi="Baskerville Old Face" w:cs="Arial"/>
          <w:sz w:val="20"/>
        </w:rPr>
        <w:t>ECOWAS. 2014c. Meeting of Ministers of Finance and Directors General of Customs on the Implementation of the ECOWAS Common External Tariff (Accra, 27 November 2014) – Summary of Conclusions.</w:t>
      </w:r>
    </w:p>
    <w:p w:rsidR="00D801C8" w:rsidRPr="00B960AC" w:rsidRDefault="00D801C8" w:rsidP="005043D2">
      <w:pPr>
        <w:spacing w:line="240" w:lineRule="auto"/>
        <w:ind w:left="180" w:hanging="180"/>
        <w:jc w:val="both"/>
        <w:rPr>
          <w:rFonts w:ascii="Baskerville Old Face" w:hAnsi="Baskerville Old Face" w:cs="Arial"/>
          <w:sz w:val="20"/>
        </w:rPr>
      </w:pPr>
      <w:r w:rsidRPr="00B960AC">
        <w:rPr>
          <w:rFonts w:ascii="Baskerville Old Face" w:hAnsi="Baskerville Old Face" w:cs="Arial"/>
          <w:sz w:val="20"/>
        </w:rPr>
        <w:t xml:space="preserve">European Commission. 2014. Economic Partnership Agreement with West Africa – Facts and Figures. Available at: </w:t>
      </w:r>
      <w:hyperlink r:id="rId23" w:history="1">
        <w:r w:rsidRPr="00B960AC">
          <w:rPr>
            <w:rStyle w:val="Hyperlink"/>
            <w:rFonts w:ascii="Baskerville Old Face" w:hAnsi="Baskerville Old Face" w:cs="Arial"/>
            <w:sz w:val="20"/>
          </w:rPr>
          <w:t>http://trade.ec.europa.eu/doclib/docs/2014/july/tradoc_152694.pdf</w:t>
        </w:r>
      </w:hyperlink>
      <w:r w:rsidRPr="00B960AC">
        <w:rPr>
          <w:rFonts w:ascii="Baskerville Old Face" w:hAnsi="Baskerville Old Face" w:cs="Arial"/>
          <w:sz w:val="20"/>
        </w:rPr>
        <w:t xml:space="preserve"> </w:t>
      </w:r>
    </w:p>
    <w:p w:rsidR="00F74D36" w:rsidRPr="00B960AC" w:rsidRDefault="00F74D36" w:rsidP="005043D2">
      <w:pPr>
        <w:spacing w:line="240" w:lineRule="auto"/>
        <w:ind w:left="180" w:hanging="180"/>
        <w:jc w:val="both"/>
        <w:rPr>
          <w:rFonts w:ascii="Baskerville Old Face" w:hAnsi="Baskerville Old Face" w:cs="Arial"/>
          <w:sz w:val="20"/>
        </w:rPr>
      </w:pPr>
      <w:r w:rsidRPr="00B960AC">
        <w:rPr>
          <w:rFonts w:ascii="Baskerville Old Face" w:hAnsi="Baskerville Old Face" w:cs="Arial"/>
          <w:sz w:val="20"/>
        </w:rPr>
        <w:t xml:space="preserve">Nielsen, </w:t>
      </w:r>
      <w:proofErr w:type="spellStart"/>
      <w:r w:rsidRPr="00B960AC">
        <w:rPr>
          <w:rFonts w:ascii="Baskerville Old Face" w:hAnsi="Baskerville Old Face" w:cs="Arial"/>
          <w:sz w:val="20"/>
        </w:rPr>
        <w:t>Lynge</w:t>
      </w:r>
      <w:proofErr w:type="spellEnd"/>
      <w:r w:rsidRPr="00B960AC">
        <w:rPr>
          <w:rFonts w:ascii="Baskerville Old Face" w:hAnsi="Baskerville Old Face" w:cs="Arial"/>
          <w:sz w:val="20"/>
        </w:rPr>
        <w:t xml:space="preserve"> and </w:t>
      </w:r>
      <w:proofErr w:type="spellStart"/>
      <w:r w:rsidRPr="00B960AC">
        <w:rPr>
          <w:rFonts w:ascii="Baskerville Old Face" w:hAnsi="Baskerville Old Face" w:cs="Arial"/>
          <w:sz w:val="20"/>
        </w:rPr>
        <w:t>Simplice</w:t>
      </w:r>
      <w:proofErr w:type="spellEnd"/>
      <w:r w:rsidRPr="00B960AC">
        <w:rPr>
          <w:rFonts w:ascii="Baskerville Old Face" w:hAnsi="Baskerville Old Face" w:cs="Arial"/>
          <w:sz w:val="20"/>
        </w:rPr>
        <w:t xml:space="preserve"> </w:t>
      </w:r>
      <w:proofErr w:type="spellStart"/>
      <w:r w:rsidRPr="00B960AC">
        <w:rPr>
          <w:rFonts w:ascii="Baskerville Old Face" w:hAnsi="Baskerville Old Face" w:cs="Arial"/>
          <w:sz w:val="20"/>
        </w:rPr>
        <w:t>Zouhon</w:t>
      </w:r>
      <w:proofErr w:type="spellEnd"/>
      <w:r w:rsidRPr="00B960AC">
        <w:rPr>
          <w:rFonts w:ascii="Baskerville Old Face" w:hAnsi="Baskerville Old Face" w:cs="Arial"/>
          <w:sz w:val="20"/>
        </w:rPr>
        <w:t>-Bi. 2007. ECOWAS – Fiscal Revenue Implications of the Prospective Economic Partnership Agreement with the EU. Africa Region Working Paper No. 103. Washington DC: The World Bank.</w:t>
      </w:r>
    </w:p>
    <w:p w:rsidR="00D801C8" w:rsidRPr="00B960AC" w:rsidRDefault="00D801C8" w:rsidP="005043D2">
      <w:pPr>
        <w:spacing w:line="240" w:lineRule="auto"/>
        <w:ind w:left="180" w:hanging="180"/>
        <w:jc w:val="both"/>
        <w:rPr>
          <w:rFonts w:ascii="Baskerville Old Face" w:hAnsi="Baskerville Old Face" w:cs="Arial"/>
          <w:sz w:val="20"/>
        </w:rPr>
      </w:pPr>
      <w:proofErr w:type="spellStart"/>
      <w:r w:rsidRPr="00B960AC">
        <w:rPr>
          <w:rFonts w:ascii="Baskerville Old Face" w:hAnsi="Baskerville Old Face" w:cs="Arial"/>
          <w:sz w:val="20"/>
        </w:rPr>
        <w:t>Raballand</w:t>
      </w:r>
      <w:proofErr w:type="spellEnd"/>
      <w:r w:rsidRPr="00B960AC">
        <w:rPr>
          <w:rFonts w:ascii="Baskerville Old Face" w:hAnsi="Baskerville Old Face" w:cs="Arial"/>
          <w:sz w:val="20"/>
        </w:rPr>
        <w:t xml:space="preserve">, </w:t>
      </w:r>
      <w:proofErr w:type="spellStart"/>
      <w:r w:rsidRPr="00B960AC">
        <w:rPr>
          <w:rFonts w:ascii="Baskerville Old Face" w:hAnsi="Baskerville Old Face" w:cs="Arial"/>
          <w:sz w:val="20"/>
        </w:rPr>
        <w:t>Gaël</w:t>
      </w:r>
      <w:proofErr w:type="spellEnd"/>
      <w:r w:rsidRPr="00B960AC">
        <w:rPr>
          <w:rFonts w:ascii="Baskerville Old Face" w:hAnsi="Baskerville Old Face" w:cs="Arial"/>
          <w:sz w:val="20"/>
        </w:rPr>
        <w:t xml:space="preserve"> and Edmond </w:t>
      </w:r>
      <w:proofErr w:type="spellStart"/>
      <w:r w:rsidRPr="00B960AC">
        <w:rPr>
          <w:rFonts w:ascii="Baskerville Old Face" w:hAnsi="Baskerville Old Face" w:cs="Arial"/>
          <w:sz w:val="20"/>
        </w:rPr>
        <w:t>Mjekiqi</w:t>
      </w:r>
      <w:proofErr w:type="spellEnd"/>
      <w:r w:rsidRPr="00B960AC">
        <w:rPr>
          <w:rFonts w:ascii="Baskerville Old Face" w:hAnsi="Baskerville Old Face" w:cs="Arial"/>
          <w:sz w:val="20"/>
        </w:rPr>
        <w:t xml:space="preserve">. 2010. Nigeria’s Trade Policy Facilitates Unofficial Trade but Not Manufacturing. Chapter 6 in </w:t>
      </w:r>
      <w:r w:rsidRPr="00B960AC">
        <w:rPr>
          <w:rFonts w:ascii="Baskerville Old Face" w:hAnsi="Baskerville Old Face" w:cs="Arial"/>
          <w:i/>
          <w:sz w:val="20"/>
        </w:rPr>
        <w:t>Putting Nigeria to Work – A Strategy for Employment and Growth</w:t>
      </w:r>
      <w:r w:rsidRPr="00B960AC">
        <w:rPr>
          <w:rFonts w:ascii="Baskerville Old Face" w:hAnsi="Baskerville Old Face" w:cs="Arial"/>
          <w:sz w:val="20"/>
        </w:rPr>
        <w:t xml:space="preserve">, ed. Volker </w:t>
      </w:r>
      <w:proofErr w:type="spellStart"/>
      <w:r w:rsidRPr="00B960AC">
        <w:rPr>
          <w:rFonts w:ascii="Baskerville Old Face" w:hAnsi="Baskerville Old Face" w:cs="Arial"/>
          <w:sz w:val="20"/>
        </w:rPr>
        <w:t>Treichel</w:t>
      </w:r>
      <w:proofErr w:type="spellEnd"/>
      <w:r w:rsidRPr="00B960AC">
        <w:rPr>
          <w:rFonts w:ascii="Baskerville Old Face" w:hAnsi="Baskerville Old Face" w:cs="Arial"/>
          <w:sz w:val="20"/>
        </w:rPr>
        <w:t>, pp. 203-228. Washington DC: The World Bank.</w:t>
      </w:r>
    </w:p>
    <w:p w:rsidR="00D801C8" w:rsidRPr="00B960AC" w:rsidRDefault="00D801C8" w:rsidP="005043D2">
      <w:pPr>
        <w:spacing w:line="240" w:lineRule="auto"/>
        <w:ind w:left="180" w:hanging="180"/>
        <w:jc w:val="both"/>
        <w:rPr>
          <w:rFonts w:ascii="Baskerville Old Face" w:hAnsi="Baskerville Old Face" w:cs="Arial"/>
          <w:sz w:val="20"/>
          <w:lang w:val="fr-FR"/>
        </w:rPr>
      </w:pPr>
      <w:proofErr w:type="spellStart"/>
      <w:r w:rsidRPr="00B960AC">
        <w:rPr>
          <w:rFonts w:ascii="Baskerville Old Face" w:hAnsi="Baskerville Old Face" w:cs="Arial"/>
          <w:sz w:val="20"/>
        </w:rPr>
        <w:t>Treichel</w:t>
      </w:r>
      <w:proofErr w:type="spellEnd"/>
      <w:r w:rsidRPr="00B960AC">
        <w:rPr>
          <w:rFonts w:ascii="Baskerville Old Face" w:hAnsi="Baskerville Old Face" w:cs="Arial"/>
          <w:sz w:val="20"/>
        </w:rPr>
        <w:t xml:space="preserve">, Volker, </w:t>
      </w:r>
      <w:proofErr w:type="spellStart"/>
      <w:r w:rsidRPr="00B960AC">
        <w:rPr>
          <w:rFonts w:ascii="Baskerville Old Face" w:hAnsi="Baskerville Old Face" w:cs="Arial"/>
          <w:sz w:val="20"/>
        </w:rPr>
        <w:t>Mombert</w:t>
      </w:r>
      <w:proofErr w:type="spellEnd"/>
      <w:r w:rsidRPr="00B960AC">
        <w:rPr>
          <w:rFonts w:ascii="Baskerville Old Face" w:hAnsi="Baskerville Old Face" w:cs="Arial"/>
          <w:sz w:val="20"/>
        </w:rPr>
        <w:t xml:space="preserve"> Hoppe, Olivier </w:t>
      </w:r>
      <w:proofErr w:type="spellStart"/>
      <w:r w:rsidRPr="00B960AC">
        <w:rPr>
          <w:rFonts w:ascii="Baskerville Old Face" w:hAnsi="Baskerville Old Face" w:cs="Arial"/>
          <w:sz w:val="20"/>
        </w:rPr>
        <w:t>Cadot</w:t>
      </w:r>
      <w:proofErr w:type="spellEnd"/>
      <w:r w:rsidRPr="00B960AC">
        <w:rPr>
          <w:rFonts w:ascii="Baskerville Old Face" w:hAnsi="Baskerville Old Face" w:cs="Arial"/>
          <w:sz w:val="20"/>
        </w:rPr>
        <w:t xml:space="preserve"> and Julien </w:t>
      </w:r>
      <w:proofErr w:type="spellStart"/>
      <w:r w:rsidRPr="00B960AC">
        <w:rPr>
          <w:rFonts w:ascii="Baskerville Old Face" w:hAnsi="Baskerville Old Face" w:cs="Arial"/>
          <w:sz w:val="20"/>
        </w:rPr>
        <w:t>Gourdon</w:t>
      </w:r>
      <w:proofErr w:type="spellEnd"/>
      <w:r w:rsidRPr="00B960AC">
        <w:rPr>
          <w:rFonts w:ascii="Baskerville Old Face" w:hAnsi="Baskerville Old Face" w:cs="Arial"/>
          <w:sz w:val="20"/>
        </w:rPr>
        <w:t xml:space="preserve">. 2012. Import Bans in Nigeria Increase Poverty. Africa Trade Policy Note No. 28. </w:t>
      </w:r>
      <w:r w:rsidRPr="00B960AC">
        <w:rPr>
          <w:rFonts w:ascii="Baskerville Old Face" w:hAnsi="Baskerville Old Face" w:cs="Arial"/>
          <w:sz w:val="20"/>
          <w:lang w:val="fr-FR"/>
        </w:rPr>
        <w:t>Washington DC: The World Bank.</w:t>
      </w:r>
    </w:p>
    <w:p w:rsidR="00D801C8" w:rsidRPr="00B960AC" w:rsidRDefault="00D801C8" w:rsidP="005043D2">
      <w:pPr>
        <w:spacing w:line="240" w:lineRule="auto"/>
        <w:ind w:left="180" w:hanging="180"/>
        <w:jc w:val="both"/>
        <w:rPr>
          <w:rFonts w:ascii="Baskerville Old Face" w:hAnsi="Baskerville Old Face" w:cs="Arial"/>
          <w:sz w:val="20"/>
          <w:lang w:val="fr-FR"/>
        </w:rPr>
      </w:pPr>
      <w:r w:rsidRPr="00B960AC">
        <w:rPr>
          <w:rFonts w:ascii="Baskerville Old Face" w:hAnsi="Baskerville Old Face" w:cs="Arial"/>
          <w:sz w:val="20"/>
          <w:lang w:val="fr-FR"/>
        </w:rPr>
        <w:t xml:space="preserve">UEMOA. 2014. Rapport annuel 2013 sur la surveillance commerciale. Ouagadougou: UEMOA. </w:t>
      </w:r>
    </w:p>
    <w:p w:rsidR="00D801C8" w:rsidRPr="00B960AC" w:rsidRDefault="00D801C8" w:rsidP="005043D2">
      <w:pPr>
        <w:spacing w:line="240" w:lineRule="auto"/>
        <w:ind w:left="180" w:hanging="180"/>
        <w:jc w:val="both"/>
        <w:rPr>
          <w:rFonts w:ascii="Baskerville Old Face" w:hAnsi="Baskerville Old Face" w:cs="Arial"/>
          <w:sz w:val="20"/>
        </w:rPr>
      </w:pPr>
      <w:r w:rsidRPr="00B960AC">
        <w:rPr>
          <w:rFonts w:ascii="Baskerville Old Face" w:hAnsi="Baskerville Old Face" w:cs="Arial"/>
          <w:sz w:val="20"/>
        </w:rPr>
        <w:t xml:space="preserve">Von </w:t>
      </w:r>
      <w:proofErr w:type="spellStart"/>
      <w:r w:rsidRPr="00B960AC">
        <w:rPr>
          <w:rFonts w:ascii="Baskerville Old Face" w:hAnsi="Baskerville Old Face" w:cs="Arial"/>
          <w:sz w:val="20"/>
        </w:rPr>
        <w:t>Uexkull</w:t>
      </w:r>
      <w:proofErr w:type="spellEnd"/>
      <w:r w:rsidRPr="00B960AC">
        <w:rPr>
          <w:rFonts w:ascii="Baskerville Old Face" w:hAnsi="Baskerville Old Face" w:cs="Arial"/>
          <w:sz w:val="20"/>
        </w:rPr>
        <w:t xml:space="preserve">, Erik and Lulu </w:t>
      </w:r>
      <w:proofErr w:type="spellStart"/>
      <w:r w:rsidRPr="00B960AC">
        <w:rPr>
          <w:rFonts w:ascii="Baskerville Old Face" w:hAnsi="Baskerville Old Face" w:cs="Arial"/>
          <w:sz w:val="20"/>
        </w:rPr>
        <w:t>Shui</w:t>
      </w:r>
      <w:proofErr w:type="spellEnd"/>
      <w:r w:rsidRPr="00B960AC">
        <w:rPr>
          <w:rFonts w:ascii="Baskerville Old Face" w:hAnsi="Baskerville Old Face" w:cs="Arial"/>
          <w:sz w:val="20"/>
        </w:rPr>
        <w:t>. 2014a. Implementing the ECOWAS Common External Tariff – Challenges and Opportunities for Nigeria. Africa Trade Practice Working Paper Series No. 5. Washington DC: The World Bank.</w:t>
      </w:r>
    </w:p>
    <w:p w:rsidR="00D801C8" w:rsidRPr="00B960AC" w:rsidRDefault="00D801C8" w:rsidP="005043D2">
      <w:pPr>
        <w:spacing w:line="240" w:lineRule="auto"/>
        <w:ind w:left="180" w:hanging="180"/>
        <w:jc w:val="both"/>
        <w:rPr>
          <w:rFonts w:ascii="Baskerville Old Face" w:hAnsi="Baskerville Old Face" w:cs="Arial"/>
          <w:sz w:val="20"/>
        </w:rPr>
      </w:pPr>
      <w:r w:rsidRPr="00B960AC">
        <w:rPr>
          <w:rFonts w:ascii="Baskerville Old Face" w:hAnsi="Baskerville Old Face" w:cs="Arial"/>
          <w:sz w:val="20"/>
        </w:rPr>
        <w:t xml:space="preserve">Von </w:t>
      </w:r>
      <w:proofErr w:type="spellStart"/>
      <w:r w:rsidRPr="00B960AC">
        <w:rPr>
          <w:rFonts w:ascii="Baskerville Old Face" w:hAnsi="Baskerville Old Face" w:cs="Arial"/>
          <w:sz w:val="20"/>
        </w:rPr>
        <w:t>Uexkull</w:t>
      </w:r>
      <w:proofErr w:type="spellEnd"/>
      <w:r w:rsidRPr="00B960AC">
        <w:rPr>
          <w:rFonts w:ascii="Baskerville Old Face" w:hAnsi="Baskerville Old Face" w:cs="Arial"/>
          <w:sz w:val="20"/>
        </w:rPr>
        <w:t xml:space="preserve">, Erik and Lulu </w:t>
      </w:r>
      <w:proofErr w:type="spellStart"/>
      <w:r w:rsidRPr="00B960AC">
        <w:rPr>
          <w:rFonts w:ascii="Baskerville Old Face" w:hAnsi="Baskerville Old Face" w:cs="Arial"/>
          <w:sz w:val="20"/>
        </w:rPr>
        <w:t>Shui</w:t>
      </w:r>
      <w:proofErr w:type="spellEnd"/>
      <w:r w:rsidRPr="00B960AC">
        <w:rPr>
          <w:rFonts w:ascii="Baskerville Old Face" w:hAnsi="Baskerville Old Face" w:cs="Arial"/>
          <w:sz w:val="20"/>
        </w:rPr>
        <w:t>. 2014b. ECOWAS Economic Partnership Agreement with the EU and Nigerian Trade and Development. Washington DC: The World Bank.</w:t>
      </w:r>
    </w:p>
    <w:p w:rsidR="00D801C8" w:rsidRPr="00B960AC" w:rsidRDefault="00D801C8" w:rsidP="005043D2">
      <w:pPr>
        <w:spacing w:line="240" w:lineRule="auto"/>
        <w:ind w:left="180" w:hanging="180"/>
        <w:jc w:val="both"/>
        <w:rPr>
          <w:rFonts w:ascii="Baskerville Old Face" w:hAnsi="Baskerville Old Face" w:cs="Arial"/>
          <w:sz w:val="20"/>
        </w:rPr>
      </w:pPr>
      <w:r w:rsidRPr="00B960AC">
        <w:rPr>
          <w:rFonts w:ascii="Baskerville Old Face" w:hAnsi="Baskerville Old Face" w:cs="Arial"/>
          <w:sz w:val="20"/>
        </w:rPr>
        <w:t xml:space="preserve">World Bank. 2010. Putting Nigeria to Work – A Strategy for Employment and Growth. Ed. Volker </w:t>
      </w:r>
      <w:proofErr w:type="spellStart"/>
      <w:r w:rsidRPr="00B960AC">
        <w:rPr>
          <w:rFonts w:ascii="Baskerville Old Face" w:hAnsi="Baskerville Old Face" w:cs="Arial"/>
          <w:sz w:val="20"/>
        </w:rPr>
        <w:t>Treichel</w:t>
      </w:r>
      <w:proofErr w:type="spellEnd"/>
      <w:r w:rsidRPr="00B960AC">
        <w:rPr>
          <w:rFonts w:ascii="Baskerville Old Face" w:hAnsi="Baskerville Old Face" w:cs="Arial"/>
          <w:sz w:val="20"/>
        </w:rPr>
        <w:t>. Washington DC: The World Bank.</w:t>
      </w:r>
    </w:p>
    <w:p w:rsidR="00372A00" w:rsidRPr="00B960AC" w:rsidRDefault="00D801C8" w:rsidP="005043D2">
      <w:pPr>
        <w:spacing w:line="240" w:lineRule="auto"/>
        <w:ind w:left="180" w:hanging="180"/>
        <w:jc w:val="both"/>
        <w:rPr>
          <w:rFonts w:ascii="Baskerville Old Face" w:eastAsia="Times New Roman" w:hAnsi="Baskerville Old Face" w:cs="Arial"/>
          <w:color w:val="auto"/>
          <w:sz w:val="2"/>
          <w:szCs w:val="2"/>
        </w:rPr>
      </w:pPr>
      <w:r w:rsidRPr="00B960AC">
        <w:rPr>
          <w:rFonts w:ascii="Baskerville Old Face" w:hAnsi="Baskerville Old Face" w:cs="Arial"/>
          <w:sz w:val="20"/>
        </w:rPr>
        <w:t>WTO. 2005. Trade Policy Review – Nigeria – Report by the Secretariat. Report WT/TPR/S/147. Geneva: World Trade Organization.</w:t>
      </w:r>
    </w:p>
    <w:sectPr w:rsidR="00372A00" w:rsidRPr="00B960AC" w:rsidSect="00150EC3">
      <w:type w:val="continuous"/>
      <w:pgSz w:w="12240" w:h="15840"/>
      <w:pgMar w:top="1440" w:right="1440" w:bottom="1440" w:left="1440" w:header="720" w:footer="720"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A87" w:rsidRDefault="00715A87" w:rsidP="00554BEC">
      <w:pPr>
        <w:spacing w:after="0" w:line="240" w:lineRule="auto"/>
      </w:pPr>
      <w:r>
        <w:separator/>
      </w:r>
    </w:p>
  </w:endnote>
  <w:endnote w:type="continuationSeparator" w:id="0">
    <w:p w:rsidR="00715A87" w:rsidRDefault="00715A87" w:rsidP="0055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Gill Sans MT"/>
    <w:charset w:val="00"/>
    <w:family w:val="auto"/>
    <w:pitch w:val="variable"/>
    <w:sig w:usb0="80000267" w:usb1="00000000" w:usb2="00000000" w:usb3="00000000" w:csb0="000001F7" w:csb1="00000000"/>
  </w:font>
  <w:font w:name="Calibri Bold">
    <w:panose1 w:val="020F07020304040302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1542816181"/>
      <w:docPartObj>
        <w:docPartGallery w:val="Page Numbers (Bottom of Page)"/>
        <w:docPartUnique/>
      </w:docPartObj>
    </w:sdtPr>
    <w:sdtEndPr>
      <w:rPr>
        <w:noProof/>
      </w:rPr>
    </w:sdtEndPr>
    <w:sdtContent>
      <w:p w:rsidR="00C93604" w:rsidRPr="00194228" w:rsidRDefault="00B45330">
        <w:pPr>
          <w:pStyle w:val="Footer"/>
          <w:jc w:val="center"/>
          <w:rPr>
            <w:rFonts w:ascii="Arial" w:hAnsi="Arial" w:cs="Arial"/>
            <w:sz w:val="18"/>
          </w:rPr>
        </w:pPr>
        <w:r w:rsidRPr="00194228">
          <w:rPr>
            <w:rFonts w:ascii="Arial" w:hAnsi="Arial" w:cs="Arial"/>
            <w:sz w:val="18"/>
          </w:rPr>
          <w:fldChar w:fldCharType="begin"/>
        </w:r>
        <w:r w:rsidR="00C93604" w:rsidRPr="00194228">
          <w:rPr>
            <w:rFonts w:ascii="Arial" w:hAnsi="Arial" w:cs="Arial"/>
            <w:sz w:val="18"/>
          </w:rPr>
          <w:instrText xml:space="preserve"> PAGE   \* MERGEFORMAT </w:instrText>
        </w:r>
        <w:r w:rsidRPr="00194228">
          <w:rPr>
            <w:rFonts w:ascii="Arial" w:hAnsi="Arial" w:cs="Arial"/>
            <w:sz w:val="18"/>
          </w:rPr>
          <w:fldChar w:fldCharType="separate"/>
        </w:r>
        <w:r w:rsidR="009E0963">
          <w:rPr>
            <w:rFonts w:ascii="Arial" w:hAnsi="Arial" w:cs="Arial"/>
            <w:noProof/>
            <w:sz w:val="18"/>
          </w:rPr>
          <w:t>8</w:t>
        </w:r>
        <w:r w:rsidRPr="00194228">
          <w:rPr>
            <w:rFonts w:ascii="Arial" w:hAnsi="Arial" w:cs="Arial"/>
            <w:noProof/>
            <w:sz w:val="18"/>
          </w:rPr>
          <w:fldChar w:fldCharType="end"/>
        </w:r>
      </w:p>
    </w:sdtContent>
  </w:sdt>
  <w:p w:rsidR="00C93604" w:rsidRPr="00194228" w:rsidRDefault="00C93604">
    <w:pPr>
      <w:pStyle w:val="Footer"/>
      <w:rPr>
        <w:rFonts w:ascii="Arial" w:hAnsi="Arial" w:cs="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816980628"/>
      <w:docPartObj>
        <w:docPartGallery w:val="Page Numbers (Bottom of Page)"/>
        <w:docPartUnique/>
      </w:docPartObj>
    </w:sdtPr>
    <w:sdtEndPr>
      <w:rPr>
        <w:noProof/>
      </w:rPr>
    </w:sdtEndPr>
    <w:sdtContent>
      <w:p w:rsidR="00C93604" w:rsidRPr="00D801C8" w:rsidRDefault="00B45330">
        <w:pPr>
          <w:pStyle w:val="Footer"/>
          <w:jc w:val="center"/>
          <w:rPr>
            <w:rFonts w:ascii="Arial" w:hAnsi="Arial" w:cs="Arial"/>
            <w:sz w:val="20"/>
          </w:rPr>
        </w:pPr>
        <w:r w:rsidRPr="00D801C8">
          <w:rPr>
            <w:rFonts w:ascii="Arial" w:hAnsi="Arial" w:cs="Arial"/>
            <w:sz w:val="20"/>
          </w:rPr>
          <w:fldChar w:fldCharType="begin"/>
        </w:r>
        <w:r w:rsidR="00C93604" w:rsidRPr="00D801C8">
          <w:rPr>
            <w:rFonts w:ascii="Arial" w:hAnsi="Arial" w:cs="Arial"/>
            <w:sz w:val="20"/>
          </w:rPr>
          <w:instrText xml:space="preserve"> PAGE   \* MERGEFORMAT </w:instrText>
        </w:r>
        <w:r w:rsidRPr="00D801C8">
          <w:rPr>
            <w:rFonts w:ascii="Arial" w:hAnsi="Arial" w:cs="Arial"/>
            <w:sz w:val="20"/>
          </w:rPr>
          <w:fldChar w:fldCharType="separate"/>
        </w:r>
        <w:r w:rsidR="00687BC4">
          <w:rPr>
            <w:rFonts w:ascii="Arial" w:hAnsi="Arial" w:cs="Arial"/>
            <w:noProof/>
            <w:sz w:val="20"/>
          </w:rPr>
          <w:t>1</w:t>
        </w:r>
        <w:r w:rsidRPr="00D801C8">
          <w:rPr>
            <w:rFonts w:ascii="Arial" w:hAnsi="Arial" w:cs="Arial"/>
            <w:noProof/>
            <w:sz w:val="20"/>
          </w:rPr>
          <w:fldChar w:fldCharType="end"/>
        </w:r>
      </w:p>
    </w:sdtContent>
  </w:sdt>
  <w:p w:rsidR="00C93604" w:rsidRPr="00D801C8" w:rsidRDefault="00C93604">
    <w:pPr>
      <w:pStyle w:val="Footer"/>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199130787"/>
      <w:docPartObj>
        <w:docPartGallery w:val="Page Numbers (Bottom of Page)"/>
        <w:docPartUnique/>
      </w:docPartObj>
    </w:sdtPr>
    <w:sdtEndPr>
      <w:rPr>
        <w:noProof/>
      </w:rPr>
    </w:sdtEndPr>
    <w:sdtContent>
      <w:p w:rsidR="00C93604" w:rsidRPr="00D801C8" w:rsidRDefault="00B45330">
        <w:pPr>
          <w:pStyle w:val="Footer"/>
          <w:jc w:val="center"/>
          <w:rPr>
            <w:rFonts w:ascii="Arial" w:hAnsi="Arial" w:cs="Arial"/>
            <w:sz w:val="20"/>
          </w:rPr>
        </w:pPr>
        <w:r w:rsidRPr="00D801C8">
          <w:rPr>
            <w:rFonts w:ascii="Arial" w:hAnsi="Arial" w:cs="Arial"/>
            <w:sz w:val="20"/>
          </w:rPr>
          <w:fldChar w:fldCharType="begin"/>
        </w:r>
        <w:r w:rsidR="00C93604" w:rsidRPr="00D801C8">
          <w:rPr>
            <w:rFonts w:ascii="Arial" w:hAnsi="Arial" w:cs="Arial"/>
            <w:sz w:val="20"/>
          </w:rPr>
          <w:instrText xml:space="preserve"> PAGE   \* MERGEFORMAT </w:instrText>
        </w:r>
        <w:r w:rsidRPr="00D801C8">
          <w:rPr>
            <w:rFonts w:ascii="Arial" w:hAnsi="Arial" w:cs="Arial"/>
            <w:sz w:val="20"/>
          </w:rPr>
          <w:fldChar w:fldCharType="separate"/>
        </w:r>
        <w:r w:rsidR="00687BC4">
          <w:rPr>
            <w:rFonts w:ascii="Arial" w:hAnsi="Arial" w:cs="Arial"/>
            <w:noProof/>
            <w:sz w:val="20"/>
          </w:rPr>
          <w:t>9</w:t>
        </w:r>
        <w:r w:rsidRPr="00D801C8">
          <w:rPr>
            <w:rFonts w:ascii="Arial" w:hAnsi="Arial" w:cs="Arial"/>
            <w:noProof/>
            <w:sz w:val="20"/>
          </w:rPr>
          <w:fldChar w:fldCharType="end"/>
        </w:r>
      </w:p>
    </w:sdtContent>
  </w:sdt>
  <w:p w:rsidR="00C93604" w:rsidRPr="00D801C8" w:rsidRDefault="00C93604">
    <w:pPr>
      <w:pStyle w:val="Footer"/>
      <w:rPr>
        <w:rFonts w:ascii="Arial" w:hAnsi="Arial" w:cs="Arial"/>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04" w:rsidRPr="00220E3A" w:rsidRDefault="00C93604" w:rsidP="00220E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02775792"/>
      <w:docPartObj>
        <w:docPartGallery w:val="Page Numbers (Bottom of Page)"/>
        <w:docPartUnique/>
      </w:docPartObj>
    </w:sdtPr>
    <w:sdtEndPr>
      <w:rPr>
        <w:noProof/>
      </w:rPr>
    </w:sdtEndPr>
    <w:sdtContent>
      <w:p w:rsidR="009E0963" w:rsidRPr="009E0963" w:rsidRDefault="00B45330">
        <w:pPr>
          <w:pStyle w:val="Footer"/>
          <w:jc w:val="center"/>
          <w:rPr>
            <w:rFonts w:ascii="Arial" w:hAnsi="Arial" w:cs="Arial"/>
            <w:sz w:val="20"/>
          </w:rPr>
        </w:pPr>
        <w:r w:rsidRPr="009E0963">
          <w:rPr>
            <w:rFonts w:ascii="Arial" w:hAnsi="Arial" w:cs="Arial"/>
            <w:sz w:val="20"/>
          </w:rPr>
          <w:fldChar w:fldCharType="begin"/>
        </w:r>
        <w:r w:rsidR="009E0963" w:rsidRPr="009E0963">
          <w:rPr>
            <w:rFonts w:ascii="Arial" w:hAnsi="Arial" w:cs="Arial"/>
            <w:sz w:val="20"/>
          </w:rPr>
          <w:instrText xml:space="preserve"> PAGE   \* MERGEFORMAT </w:instrText>
        </w:r>
        <w:r w:rsidRPr="009E0963">
          <w:rPr>
            <w:rFonts w:ascii="Arial" w:hAnsi="Arial" w:cs="Arial"/>
            <w:sz w:val="20"/>
          </w:rPr>
          <w:fldChar w:fldCharType="separate"/>
        </w:r>
        <w:r w:rsidR="00687BC4">
          <w:rPr>
            <w:rFonts w:ascii="Arial" w:hAnsi="Arial" w:cs="Arial"/>
            <w:noProof/>
            <w:sz w:val="20"/>
          </w:rPr>
          <w:t>11</w:t>
        </w:r>
        <w:r w:rsidRPr="009E0963">
          <w:rPr>
            <w:rFonts w:ascii="Arial" w:hAnsi="Arial" w:cs="Arial"/>
            <w:noProof/>
            <w:sz w:val="20"/>
          </w:rPr>
          <w:fldChar w:fldCharType="end"/>
        </w:r>
      </w:p>
    </w:sdtContent>
  </w:sdt>
  <w:p w:rsidR="00C93604" w:rsidRPr="009E0963" w:rsidRDefault="00C93604" w:rsidP="00220E3A">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A87" w:rsidRDefault="00715A87" w:rsidP="00554BEC">
      <w:pPr>
        <w:spacing w:after="0" w:line="240" w:lineRule="auto"/>
      </w:pPr>
      <w:r>
        <w:separator/>
      </w:r>
    </w:p>
  </w:footnote>
  <w:footnote w:type="continuationSeparator" w:id="0">
    <w:p w:rsidR="00715A87" w:rsidRDefault="00715A87" w:rsidP="00554BEC">
      <w:pPr>
        <w:spacing w:after="0" w:line="240" w:lineRule="auto"/>
      </w:pPr>
      <w:r>
        <w:continuationSeparator/>
      </w:r>
    </w:p>
  </w:footnote>
  <w:footnote w:id="1">
    <w:p w:rsidR="00C93604" w:rsidRPr="00B960AC" w:rsidRDefault="00C93604" w:rsidP="00D801C8">
      <w:pPr>
        <w:pStyle w:val="FootnoteText"/>
        <w:spacing w:after="60"/>
        <w:ind w:left="2790"/>
        <w:jc w:val="both"/>
        <w:rPr>
          <w:rFonts w:ascii="Baskerville Old Face" w:hAnsi="Baskerville Old Face"/>
          <w:sz w:val="18"/>
          <w:szCs w:val="18"/>
        </w:rPr>
      </w:pPr>
      <w:r w:rsidRPr="00B960AC">
        <w:rPr>
          <w:rStyle w:val="FootnoteReference"/>
          <w:rFonts w:ascii="Baskerville Old Face" w:hAnsi="Baskerville Old Face"/>
          <w:sz w:val="18"/>
          <w:szCs w:val="18"/>
        </w:rPr>
        <w:t>*</w:t>
      </w:r>
      <w:r w:rsidRPr="00B960AC">
        <w:rPr>
          <w:rFonts w:ascii="Baskerville Old Face" w:hAnsi="Baskerville Old Face"/>
          <w:sz w:val="18"/>
          <w:szCs w:val="18"/>
        </w:rPr>
        <w:t xml:space="preserve"> </w:t>
      </w:r>
      <w:r w:rsidRPr="00B960AC">
        <w:rPr>
          <w:rFonts w:ascii="Baskerville Old Face" w:hAnsi="Baskerville Old Face" w:cs="Arial"/>
          <w:sz w:val="18"/>
          <w:szCs w:val="18"/>
        </w:rPr>
        <w:t>Trade Analyst, Trade &amp; Competitiveness Global Practice (</w:t>
      </w:r>
      <w:hyperlink r:id="rId1" w:history="1">
        <w:r w:rsidRPr="00B960AC">
          <w:rPr>
            <w:rStyle w:val="Hyperlink"/>
            <w:rFonts w:ascii="Baskerville Old Face" w:hAnsi="Baskerville Old Face" w:cs="Arial"/>
            <w:sz w:val="18"/>
            <w:szCs w:val="18"/>
          </w:rPr>
          <w:t>acoste@worldbank.org</w:t>
        </w:r>
      </w:hyperlink>
      <w:r w:rsidRPr="00B960AC">
        <w:rPr>
          <w:rFonts w:ascii="Baskerville Old Face" w:hAnsi="Baskerville Old Face" w:cs="Arial"/>
          <w:sz w:val="18"/>
          <w:szCs w:val="18"/>
        </w:rPr>
        <w:t>) and Country Economist, Macroeconomics &amp; Fiscal Management Global Practice (</w:t>
      </w:r>
      <w:hyperlink r:id="rId2" w:history="1">
        <w:r w:rsidRPr="00B960AC">
          <w:rPr>
            <w:rStyle w:val="Hyperlink"/>
            <w:rFonts w:ascii="Baskerville Old Face" w:hAnsi="Baskerville Old Face" w:cs="Arial"/>
            <w:sz w:val="18"/>
            <w:szCs w:val="18"/>
          </w:rPr>
          <w:t>jvonuexkull@worldbank.org</w:t>
        </w:r>
      </w:hyperlink>
      <w:r w:rsidRPr="00B960AC">
        <w:rPr>
          <w:rFonts w:ascii="Baskerville Old Face" w:hAnsi="Baskerville Old Face" w:cs="Arial"/>
          <w:sz w:val="18"/>
          <w:szCs w:val="18"/>
        </w:rPr>
        <w:t>).</w:t>
      </w:r>
    </w:p>
  </w:footnote>
  <w:footnote w:id="2">
    <w:p w:rsidR="00C93604" w:rsidRPr="00987CE4" w:rsidRDefault="00C93604" w:rsidP="00D801C8">
      <w:pPr>
        <w:pStyle w:val="FootnoteText"/>
        <w:tabs>
          <w:tab w:val="left" w:pos="2880"/>
        </w:tabs>
        <w:spacing w:after="60"/>
        <w:ind w:left="2790"/>
        <w:jc w:val="both"/>
        <w:rPr>
          <w:rFonts w:ascii="Arial" w:hAnsi="Arial" w:cs="Arial"/>
          <w:sz w:val="18"/>
          <w:szCs w:val="18"/>
        </w:rPr>
      </w:pPr>
      <w:r w:rsidRPr="00B960AC">
        <w:rPr>
          <w:rStyle w:val="FootnoteReference"/>
          <w:rFonts w:ascii="Baskerville Old Face" w:hAnsi="Baskerville Old Face" w:cs="Arial"/>
          <w:sz w:val="18"/>
          <w:szCs w:val="18"/>
        </w:rPr>
        <w:footnoteRef/>
      </w:r>
      <w:r w:rsidRPr="00B960AC">
        <w:rPr>
          <w:rFonts w:ascii="Baskerville Old Face" w:hAnsi="Baskerville Old Face" w:cs="Arial"/>
          <w:sz w:val="18"/>
          <w:szCs w:val="18"/>
        </w:rPr>
        <w:t xml:space="preserve"> Different stakeholders often have divergent positions within countries as well. For instance, producer organizations in UEMOA countries have lobbied to use the ECOWAS CET as a way to increase tariffs for agricultural products compared to the preexisting WAEMU CET, while importers of food staples in the same countries pushed to keep rates low (De </w:t>
      </w:r>
      <w:proofErr w:type="spellStart"/>
      <w:r w:rsidRPr="00B960AC">
        <w:rPr>
          <w:rFonts w:ascii="Baskerville Old Face" w:hAnsi="Baskerville Old Face" w:cs="Arial"/>
          <w:sz w:val="18"/>
          <w:szCs w:val="18"/>
        </w:rPr>
        <w:t>Roquefeuil</w:t>
      </w:r>
      <w:proofErr w:type="spellEnd"/>
      <w:r w:rsidRPr="00B960AC">
        <w:rPr>
          <w:rFonts w:ascii="Baskerville Old Face" w:hAnsi="Baskerville Old Face" w:cs="Arial"/>
          <w:sz w:val="18"/>
          <w:szCs w:val="18"/>
        </w:rPr>
        <w:t xml:space="preserve"> 2013).</w:t>
      </w:r>
    </w:p>
  </w:footnote>
  <w:footnote w:id="3">
    <w:p w:rsidR="00C93604" w:rsidRPr="00B960AC" w:rsidRDefault="00C93604" w:rsidP="00D801C8">
      <w:pPr>
        <w:pStyle w:val="FootnoteText"/>
        <w:spacing w:after="60"/>
        <w:jc w:val="both"/>
        <w:rPr>
          <w:rFonts w:ascii="Baskerville Old Face" w:hAnsi="Baskerville Old Face" w:cs="Arial"/>
          <w:sz w:val="18"/>
          <w:szCs w:val="18"/>
        </w:rPr>
      </w:pPr>
      <w:r w:rsidRPr="00B960AC">
        <w:rPr>
          <w:rStyle w:val="FootnoteReference"/>
          <w:rFonts w:ascii="Baskerville Old Face" w:hAnsi="Baskerville Old Face" w:cs="Arial"/>
          <w:sz w:val="18"/>
          <w:szCs w:val="18"/>
        </w:rPr>
        <w:footnoteRef/>
      </w:r>
      <w:r w:rsidRPr="00B960AC">
        <w:rPr>
          <w:rFonts w:ascii="Baskerville Old Face" w:hAnsi="Baskerville Old Face" w:cs="Arial"/>
          <w:sz w:val="18"/>
          <w:szCs w:val="18"/>
        </w:rPr>
        <w:t xml:space="preserve"> As argued by Von </w:t>
      </w:r>
      <w:proofErr w:type="spellStart"/>
      <w:r w:rsidRPr="00B960AC">
        <w:rPr>
          <w:rFonts w:ascii="Baskerville Old Face" w:hAnsi="Baskerville Old Face" w:cs="Arial"/>
          <w:sz w:val="18"/>
          <w:szCs w:val="18"/>
        </w:rPr>
        <w:t>Uexkull</w:t>
      </w:r>
      <w:proofErr w:type="spellEnd"/>
      <w:r w:rsidRPr="00B960AC">
        <w:rPr>
          <w:rFonts w:ascii="Baskerville Old Face" w:hAnsi="Baskerville Old Face" w:cs="Arial"/>
          <w:sz w:val="18"/>
          <w:szCs w:val="18"/>
        </w:rPr>
        <w:t xml:space="preserve"> and </w:t>
      </w:r>
      <w:proofErr w:type="spellStart"/>
      <w:r w:rsidRPr="00B960AC">
        <w:rPr>
          <w:rFonts w:ascii="Baskerville Old Face" w:hAnsi="Baskerville Old Face" w:cs="Arial"/>
          <w:sz w:val="18"/>
          <w:szCs w:val="18"/>
        </w:rPr>
        <w:t>Shui</w:t>
      </w:r>
      <w:proofErr w:type="spellEnd"/>
      <w:r w:rsidRPr="00B960AC">
        <w:rPr>
          <w:rFonts w:ascii="Baskerville Old Face" w:hAnsi="Baskerville Old Face" w:cs="Arial"/>
          <w:sz w:val="18"/>
          <w:szCs w:val="18"/>
        </w:rPr>
        <w:t xml:space="preserve"> (2014b), substantial tariff barriers remain under the GSP for some non-oil products already exported by Nigeria to the EU (e.g. agricultural products, food and beverages, leather products, textiles, tobacco), implying that producers in these sectors would gain market access with an EPA.</w:t>
      </w:r>
    </w:p>
  </w:footnote>
  <w:footnote w:id="4">
    <w:p w:rsidR="00C93604" w:rsidRPr="00B960AC" w:rsidRDefault="00C93604" w:rsidP="00D801C8">
      <w:pPr>
        <w:pStyle w:val="FootnoteText"/>
        <w:spacing w:after="60"/>
        <w:jc w:val="both"/>
        <w:rPr>
          <w:rFonts w:ascii="Baskerville Old Face" w:hAnsi="Baskerville Old Face" w:cs="Arial"/>
          <w:sz w:val="18"/>
          <w:szCs w:val="18"/>
        </w:rPr>
      </w:pPr>
      <w:r w:rsidRPr="00B960AC">
        <w:rPr>
          <w:rStyle w:val="FootnoteReference"/>
          <w:rFonts w:ascii="Baskerville Old Face" w:hAnsi="Baskerville Old Face" w:cs="Arial"/>
          <w:sz w:val="18"/>
          <w:szCs w:val="18"/>
        </w:rPr>
        <w:footnoteRef/>
      </w:r>
      <w:r w:rsidRPr="00B960AC">
        <w:rPr>
          <w:rFonts w:ascii="Baskerville Old Face" w:hAnsi="Baskerville Old Face" w:cs="Arial"/>
          <w:sz w:val="18"/>
          <w:szCs w:val="18"/>
        </w:rPr>
        <w:t xml:space="preserve"> This work </w:t>
      </w:r>
      <w:proofErr w:type="spellStart"/>
      <w:r w:rsidRPr="00B960AC">
        <w:rPr>
          <w:rFonts w:ascii="Baskerville Old Face" w:hAnsi="Baskerville Old Face" w:cs="Arial"/>
          <w:sz w:val="18"/>
          <w:szCs w:val="18"/>
        </w:rPr>
        <w:t>programme</w:t>
      </w:r>
      <w:proofErr w:type="spellEnd"/>
      <w:r w:rsidRPr="00B960AC">
        <w:rPr>
          <w:rFonts w:ascii="Baskerville Old Face" w:hAnsi="Baskerville Old Face" w:cs="Arial"/>
          <w:sz w:val="18"/>
          <w:szCs w:val="18"/>
        </w:rPr>
        <w:t xml:space="preserve"> is currently being expanded to analyze the impact of the CET and EPA on other ECOWAS countries.</w:t>
      </w:r>
    </w:p>
  </w:footnote>
  <w:footnote w:id="5">
    <w:p w:rsidR="00A61396" w:rsidRPr="00B960AC" w:rsidRDefault="00A61396" w:rsidP="00D801C8">
      <w:pPr>
        <w:pStyle w:val="FootnoteText"/>
        <w:spacing w:after="60"/>
        <w:jc w:val="both"/>
        <w:rPr>
          <w:rFonts w:ascii="Baskerville Old Face" w:hAnsi="Baskerville Old Face" w:cs="Arial"/>
          <w:sz w:val="18"/>
          <w:szCs w:val="18"/>
        </w:rPr>
      </w:pPr>
      <w:r w:rsidRPr="00B960AC">
        <w:rPr>
          <w:rStyle w:val="FootnoteReference"/>
          <w:rFonts w:ascii="Baskerville Old Face" w:hAnsi="Baskerville Old Face" w:cs="Arial"/>
          <w:sz w:val="18"/>
          <w:szCs w:val="18"/>
        </w:rPr>
        <w:footnoteRef/>
      </w:r>
      <w:r w:rsidRPr="00B960AC">
        <w:rPr>
          <w:rFonts w:ascii="Baskerville Old Face" w:hAnsi="Baskerville Old Face" w:cs="Arial"/>
          <w:sz w:val="18"/>
          <w:szCs w:val="18"/>
        </w:rPr>
        <w:t xml:space="preserve"> </w:t>
      </w:r>
      <w:r w:rsidR="00F74D36" w:rsidRPr="00B960AC">
        <w:rPr>
          <w:rFonts w:ascii="Baskerville Old Face" w:hAnsi="Baskerville Old Face" w:cs="Arial"/>
          <w:sz w:val="18"/>
          <w:szCs w:val="18"/>
        </w:rPr>
        <w:t xml:space="preserve">More than a decade after the entry into force of the WAEMU CET, national tariffs have not all been aligned, additional taxes not planned by the CET continue to be applied, and the temporary </w:t>
      </w:r>
      <w:proofErr w:type="spellStart"/>
      <w:r w:rsidR="00F74D36" w:rsidRPr="00B960AC">
        <w:rPr>
          <w:rFonts w:ascii="Baskerville Old Face" w:hAnsi="Baskerville Old Face" w:cs="Arial"/>
          <w:i/>
          <w:sz w:val="18"/>
          <w:szCs w:val="18"/>
        </w:rPr>
        <w:t>Taxe</w:t>
      </w:r>
      <w:proofErr w:type="spellEnd"/>
      <w:r w:rsidR="00F74D36" w:rsidRPr="00B960AC">
        <w:rPr>
          <w:rFonts w:ascii="Baskerville Old Face" w:hAnsi="Baskerville Old Face" w:cs="Arial"/>
          <w:i/>
          <w:sz w:val="18"/>
          <w:szCs w:val="18"/>
        </w:rPr>
        <w:t xml:space="preserve"> </w:t>
      </w:r>
      <w:proofErr w:type="spellStart"/>
      <w:r w:rsidR="00F74D36" w:rsidRPr="00B960AC">
        <w:rPr>
          <w:rFonts w:ascii="Baskerville Old Face" w:hAnsi="Baskerville Old Face" w:cs="Arial"/>
          <w:i/>
          <w:sz w:val="18"/>
          <w:szCs w:val="18"/>
        </w:rPr>
        <w:t>Dégressive</w:t>
      </w:r>
      <w:proofErr w:type="spellEnd"/>
      <w:r w:rsidR="00F74D36" w:rsidRPr="00B960AC">
        <w:rPr>
          <w:rFonts w:ascii="Baskerville Old Face" w:hAnsi="Baskerville Old Face" w:cs="Arial"/>
          <w:i/>
          <w:sz w:val="18"/>
          <w:szCs w:val="18"/>
        </w:rPr>
        <w:t xml:space="preserve"> de Protection</w:t>
      </w:r>
      <w:r w:rsidR="00F74D36" w:rsidRPr="00B960AC">
        <w:rPr>
          <w:rFonts w:ascii="Baskerville Old Face" w:hAnsi="Baskerville Old Face" w:cs="Arial"/>
          <w:sz w:val="18"/>
          <w:szCs w:val="18"/>
        </w:rPr>
        <w:t xml:space="preserve"> continues to be applied by certain countries when it should have been phased out by end-2006 (UEMOA 2014).</w:t>
      </w:r>
      <w:r w:rsidRPr="00B960AC">
        <w:rPr>
          <w:rFonts w:ascii="Baskerville Old Face" w:hAnsi="Baskerville Old Face" w:cs="Arial"/>
          <w:sz w:val="18"/>
          <w:szCs w:val="18"/>
        </w:rPr>
        <w:t xml:space="preserve"> </w:t>
      </w:r>
    </w:p>
  </w:footnote>
  <w:footnote w:id="6">
    <w:p w:rsidR="00A61396" w:rsidRPr="007E1FA2" w:rsidRDefault="00A61396" w:rsidP="00D801C8">
      <w:pPr>
        <w:pStyle w:val="FootnoteText"/>
        <w:spacing w:after="60"/>
        <w:jc w:val="both"/>
        <w:rPr>
          <w:rFonts w:ascii="Arial" w:hAnsi="Arial" w:cs="Arial"/>
          <w:sz w:val="18"/>
          <w:szCs w:val="18"/>
        </w:rPr>
      </w:pPr>
      <w:r w:rsidRPr="00B960AC">
        <w:rPr>
          <w:rStyle w:val="FootnoteReference"/>
          <w:rFonts w:ascii="Baskerville Old Face" w:hAnsi="Baskerville Old Face" w:cs="Arial"/>
          <w:sz w:val="18"/>
          <w:szCs w:val="18"/>
        </w:rPr>
        <w:footnoteRef/>
      </w:r>
      <w:r w:rsidRPr="00B960AC">
        <w:rPr>
          <w:rFonts w:ascii="Baskerville Old Face" w:hAnsi="Baskerville Old Face" w:cs="Arial"/>
          <w:sz w:val="18"/>
          <w:szCs w:val="18"/>
        </w:rPr>
        <w:t xml:space="preserve"> In 2005, Nigeria undertook a major reform of its tariff structure to simplify it and partially align it with the proposed ECOWAS CET, although an additional 50% band was introduced. While this reform reduced the average level of tariff protection, it did not remove import bans and increased levies on a number of products, maintaining their overall level of protection (Nielsen and </w:t>
      </w:r>
      <w:proofErr w:type="spellStart"/>
      <w:r w:rsidRPr="00B960AC">
        <w:rPr>
          <w:rFonts w:ascii="Baskerville Old Face" w:hAnsi="Baskerville Old Face" w:cs="Arial"/>
          <w:sz w:val="18"/>
          <w:szCs w:val="18"/>
        </w:rPr>
        <w:t>Zouhon</w:t>
      </w:r>
      <w:proofErr w:type="spellEnd"/>
      <w:r w:rsidRPr="00B960AC">
        <w:rPr>
          <w:rFonts w:ascii="Baskerville Old Face" w:hAnsi="Baskerville Old Face" w:cs="Arial"/>
          <w:sz w:val="18"/>
          <w:szCs w:val="18"/>
        </w:rPr>
        <w:t>-Bi (2007).</w:t>
      </w:r>
    </w:p>
  </w:footnote>
  <w:footnote w:id="7">
    <w:p w:rsidR="00A61396" w:rsidRPr="00B960AC" w:rsidRDefault="00A61396" w:rsidP="00D801C8">
      <w:pPr>
        <w:pStyle w:val="FootnoteText"/>
        <w:spacing w:after="60"/>
        <w:jc w:val="both"/>
        <w:rPr>
          <w:rFonts w:ascii="Baskerville Old Face" w:hAnsi="Baskerville Old Face" w:cs="Arial"/>
          <w:sz w:val="18"/>
          <w:szCs w:val="18"/>
        </w:rPr>
      </w:pPr>
      <w:r w:rsidRPr="00B960AC">
        <w:rPr>
          <w:rStyle w:val="FootnoteReference"/>
          <w:rFonts w:ascii="Baskerville Old Face" w:hAnsi="Baskerville Old Face" w:cs="Arial"/>
          <w:sz w:val="18"/>
          <w:szCs w:val="18"/>
        </w:rPr>
        <w:footnoteRef/>
      </w:r>
      <w:r w:rsidRPr="00B960AC">
        <w:rPr>
          <w:rFonts w:ascii="Baskerville Old Face" w:hAnsi="Baskerville Old Face" w:cs="Arial"/>
          <w:sz w:val="18"/>
          <w:szCs w:val="18"/>
        </w:rPr>
        <w:t xml:space="preserve"> The West Africa-EU EPA is negotiated by the 15 ECOWAS countries plus Mauritania.</w:t>
      </w:r>
    </w:p>
  </w:footnote>
  <w:footnote w:id="8">
    <w:p w:rsidR="00A61396" w:rsidRPr="007E1FA2" w:rsidRDefault="00A61396" w:rsidP="00D801C8">
      <w:pPr>
        <w:pStyle w:val="FootnoteText"/>
        <w:spacing w:after="60"/>
        <w:jc w:val="both"/>
        <w:rPr>
          <w:rFonts w:ascii="Arial" w:hAnsi="Arial" w:cs="Arial"/>
          <w:sz w:val="18"/>
          <w:szCs w:val="18"/>
        </w:rPr>
      </w:pPr>
      <w:r w:rsidRPr="00B960AC">
        <w:rPr>
          <w:rStyle w:val="FootnoteReference"/>
          <w:rFonts w:ascii="Baskerville Old Face" w:hAnsi="Baskerville Old Face" w:cs="Arial"/>
          <w:sz w:val="18"/>
          <w:szCs w:val="18"/>
        </w:rPr>
        <w:footnoteRef/>
      </w:r>
      <w:r w:rsidRPr="00B960AC">
        <w:rPr>
          <w:rFonts w:ascii="Baskerville Old Face" w:hAnsi="Baskerville Old Face" w:cs="Arial"/>
          <w:sz w:val="18"/>
          <w:szCs w:val="18"/>
        </w:rPr>
        <w:t xml:space="preserve"> It has been argued that the EPA’s more flexible rules of origin and binding nature would make DFQF market access both easier to use and more predictable for LDCs, and would thus be more interesting for them than EBA status. Moreover, LDCs interest is to graduate from this status, which implies losing EBA eligibility.</w:t>
      </w:r>
    </w:p>
  </w:footnote>
  <w:footnote w:id="9">
    <w:p w:rsidR="00A61396" w:rsidRPr="00B960AC" w:rsidRDefault="00A61396" w:rsidP="00D801C8">
      <w:pPr>
        <w:pStyle w:val="FootnoteText"/>
        <w:spacing w:after="60"/>
        <w:jc w:val="both"/>
        <w:rPr>
          <w:rFonts w:ascii="Baskerville Old Face" w:hAnsi="Baskerville Old Face" w:cs="Arial"/>
          <w:sz w:val="18"/>
          <w:szCs w:val="18"/>
        </w:rPr>
      </w:pPr>
      <w:r w:rsidRPr="00B960AC">
        <w:rPr>
          <w:rStyle w:val="FootnoteReference"/>
          <w:rFonts w:ascii="Baskerville Old Face" w:hAnsi="Baskerville Old Face" w:cs="Arial"/>
          <w:sz w:val="18"/>
          <w:szCs w:val="18"/>
        </w:rPr>
        <w:footnoteRef/>
      </w:r>
      <w:r w:rsidRPr="00B960AC">
        <w:rPr>
          <w:rFonts w:ascii="Baskerville Old Face" w:hAnsi="Baskerville Old Face" w:cs="Arial"/>
          <w:sz w:val="18"/>
          <w:szCs w:val="18"/>
        </w:rPr>
        <w:t xml:space="preserve"> Detailed discussions of the methodology, its hypotheses, advantages and limitations relative to methodologies used in other existing studies can be found in Von </w:t>
      </w:r>
      <w:proofErr w:type="spellStart"/>
      <w:r w:rsidRPr="00B960AC">
        <w:rPr>
          <w:rFonts w:ascii="Baskerville Old Face" w:hAnsi="Baskerville Old Face" w:cs="Arial"/>
          <w:sz w:val="18"/>
          <w:szCs w:val="18"/>
        </w:rPr>
        <w:t>Uexkull</w:t>
      </w:r>
      <w:proofErr w:type="spellEnd"/>
      <w:r w:rsidRPr="00B960AC">
        <w:rPr>
          <w:rFonts w:ascii="Baskerville Old Face" w:hAnsi="Baskerville Old Face" w:cs="Arial"/>
          <w:sz w:val="18"/>
          <w:szCs w:val="18"/>
        </w:rPr>
        <w:t xml:space="preserve"> and </w:t>
      </w:r>
      <w:proofErr w:type="spellStart"/>
      <w:r w:rsidRPr="00B960AC">
        <w:rPr>
          <w:rFonts w:ascii="Baskerville Old Face" w:hAnsi="Baskerville Old Face" w:cs="Arial"/>
          <w:sz w:val="18"/>
          <w:szCs w:val="18"/>
        </w:rPr>
        <w:t>Shui</w:t>
      </w:r>
      <w:proofErr w:type="spellEnd"/>
      <w:r w:rsidRPr="00B960AC">
        <w:rPr>
          <w:rFonts w:ascii="Baskerville Old Face" w:hAnsi="Baskerville Old Face" w:cs="Arial"/>
          <w:sz w:val="18"/>
          <w:szCs w:val="18"/>
        </w:rPr>
        <w:t xml:space="preserve"> (2014a, 2014b).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04" w:rsidRDefault="00C93604">
    <w:pPr>
      <w:pStyle w:val="FreeForm"/>
      <w:rPr>
        <w:rFonts w:ascii="Times New Roman" w:eastAsia="Times New Roman" w:hAnsi="Times New Roman"/>
        <w:color w:val="auto"/>
        <w:sz w:val="20"/>
      </w:rPr>
    </w:pPr>
  </w:p>
  <w:p w:rsidR="00C93604" w:rsidRDefault="00C936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04" w:rsidRDefault="00C93604">
    <w:pPr>
      <w:pStyle w:val="FreeForm"/>
      <w:rPr>
        <w:rFonts w:ascii="Times New Roman" w:eastAsia="Times New Roman" w:hAnsi="Times New Roman"/>
        <w:color w:val="auto"/>
        <w:sz w:val="20"/>
      </w:rPr>
    </w:pPr>
  </w:p>
  <w:p w:rsidR="00C93604" w:rsidRDefault="00C936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DA5FC4"/>
    <w:multiLevelType w:val="hybridMultilevel"/>
    <w:tmpl w:val="B490663A"/>
    <w:lvl w:ilvl="0" w:tplc="3418DFA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844F03"/>
    <w:multiLevelType w:val="hybridMultilevel"/>
    <w:tmpl w:val="CE9E0E60"/>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14D147EA"/>
    <w:multiLevelType w:val="hybridMultilevel"/>
    <w:tmpl w:val="799E2A4C"/>
    <w:lvl w:ilvl="0" w:tplc="ED6CCE60">
      <w:start w:val="1"/>
      <w:numFmt w:val="lowerRoman"/>
      <w:lvlText w:val="%1."/>
      <w:lvlJc w:val="left"/>
      <w:pPr>
        <w:ind w:left="126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8519F"/>
    <w:multiLevelType w:val="hybridMultilevel"/>
    <w:tmpl w:val="6EA2AEFA"/>
    <w:lvl w:ilvl="0" w:tplc="3CE8F7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C3520"/>
    <w:multiLevelType w:val="hybridMultilevel"/>
    <w:tmpl w:val="BA8E8034"/>
    <w:lvl w:ilvl="0" w:tplc="0410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0688C"/>
    <w:multiLevelType w:val="hybridMultilevel"/>
    <w:tmpl w:val="15B062CA"/>
    <w:lvl w:ilvl="0" w:tplc="36920EE0">
      <w:numFmt w:val="bullet"/>
      <w:lvlText w:val=""/>
      <w:lvlJc w:val="left"/>
      <w:pPr>
        <w:ind w:left="720" w:hanging="360"/>
      </w:pPr>
      <w:rPr>
        <w:rFonts w:ascii="Wingdings" w:eastAsiaTheme="minorHAnsi" w:hAnsi="Wingdings" w:cstheme="minorBidi"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F13A3"/>
    <w:multiLevelType w:val="hybridMultilevel"/>
    <w:tmpl w:val="43E63F58"/>
    <w:lvl w:ilvl="0" w:tplc="40264706">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62343F6"/>
    <w:multiLevelType w:val="multilevel"/>
    <w:tmpl w:val="E7DCA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79D7230"/>
    <w:multiLevelType w:val="multilevel"/>
    <w:tmpl w:val="EEEA2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F981297"/>
    <w:multiLevelType w:val="hybridMultilevel"/>
    <w:tmpl w:val="9E0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92008E"/>
    <w:multiLevelType w:val="hybridMultilevel"/>
    <w:tmpl w:val="C794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825AF"/>
    <w:multiLevelType w:val="hybridMultilevel"/>
    <w:tmpl w:val="CB40E504"/>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10F35"/>
    <w:multiLevelType w:val="hybridMultilevel"/>
    <w:tmpl w:val="51DA7CC0"/>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9663B"/>
    <w:multiLevelType w:val="hybridMultilevel"/>
    <w:tmpl w:val="57F4A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CA43FF"/>
    <w:multiLevelType w:val="hybridMultilevel"/>
    <w:tmpl w:val="91B65F3E"/>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D71C7"/>
    <w:multiLevelType w:val="multilevel"/>
    <w:tmpl w:val="A86EF9D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F215871"/>
    <w:multiLevelType w:val="hybridMultilevel"/>
    <w:tmpl w:val="FAD44018"/>
    <w:lvl w:ilvl="0" w:tplc="9CA4B3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12357"/>
    <w:multiLevelType w:val="hybridMultilevel"/>
    <w:tmpl w:val="F4ECC622"/>
    <w:lvl w:ilvl="0" w:tplc="849E22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24BCC"/>
    <w:multiLevelType w:val="hybridMultilevel"/>
    <w:tmpl w:val="F894076C"/>
    <w:lvl w:ilvl="0" w:tplc="0DD651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D0EE7"/>
    <w:multiLevelType w:val="hybridMultilevel"/>
    <w:tmpl w:val="4B4CF316"/>
    <w:lvl w:ilvl="0" w:tplc="CD829D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B71D9"/>
    <w:multiLevelType w:val="hybridMultilevel"/>
    <w:tmpl w:val="E4F8AB72"/>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1908C4"/>
    <w:multiLevelType w:val="multilevel"/>
    <w:tmpl w:val="261C78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Bidi" w:hint="default"/>
        <w:color w:val="1F497D"/>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CE45816"/>
    <w:multiLevelType w:val="hybridMultilevel"/>
    <w:tmpl w:val="897A7D22"/>
    <w:lvl w:ilvl="0" w:tplc="11847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EB51A5"/>
    <w:multiLevelType w:val="hybridMultilevel"/>
    <w:tmpl w:val="24065DD0"/>
    <w:lvl w:ilvl="0" w:tplc="A43ABC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D758B9"/>
    <w:multiLevelType w:val="hybridMultilevel"/>
    <w:tmpl w:val="09BEFF48"/>
    <w:lvl w:ilvl="0" w:tplc="2180A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22055D"/>
    <w:multiLevelType w:val="hybridMultilevel"/>
    <w:tmpl w:val="CBE6C6B4"/>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A31DC3"/>
    <w:multiLevelType w:val="hybridMultilevel"/>
    <w:tmpl w:val="CD7A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F667A0"/>
    <w:multiLevelType w:val="hybridMultilevel"/>
    <w:tmpl w:val="858A5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D36CF0"/>
    <w:multiLevelType w:val="multilevel"/>
    <w:tmpl w:val="26F4D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B2A40F9"/>
    <w:multiLevelType w:val="multilevel"/>
    <w:tmpl w:val="1876E27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C743639"/>
    <w:multiLevelType w:val="hybridMultilevel"/>
    <w:tmpl w:val="F214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D245B5"/>
    <w:multiLevelType w:val="hybridMultilevel"/>
    <w:tmpl w:val="DE0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1"/>
  </w:num>
  <w:num w:numId="5">
    <w:abstractNumId w:val="24"/>
  </w:num>
  <w:num w:numId="6">
    <w:abstractNumId w:val="26"/>
  </w:num>
  <w:num w:numId="7">
    <w:abstractNumId w:val="29"/>
  </w:num>
  <w:num w:numId="8">
    <w:abstractNumId w:val="32"/>
  </w:num>
  <w:num w:numId="9">
    <w:abstractNumId w:val="17"/>
  </w:num>
  <w:num w:numId="10">
    <w:abstractNumId w:val="5"/>
  </w:num>
  <w:num w:numId="11">
    <w:abstractNumId w:val="30"/>
  </w:num>
  <w:num w:numId="12">
    <w:abstractNumId w:val="2"/>
  </w:num>
  <w:num w:numId="13">
    <w:abstractNumId w:val="21"/>
  </w:num>
  <w:num w:numId="14">
    <w:abstractNumId w:val="8"/>
  </w:num>
  <w:num w:numId="15">
    <w:abstractNumId w:val="18"/>
  </w:num>
  <w:num w:numId="16">
    <w:abstractNumId w:val="28"/>
  </w:num>
  <w:num w:numId="17">
    <w:abstractNumId w:val="25"/>
  </w:num>
  <w:num w:numId="18">
    <w:abstractNumId w:val="31"/>
  </w:num>
  <w:num w:numId="19">
    <w:abstractNumId w:val="10"/>
  </w:num>
  <w:num w:numId="20">
    <w:abstractNumId w:val="9"/>
  </w:num>
  <w:num w:numId="21">
    <w:abstractNumId w:val="23"/>
  </w:num>
  <w:num w:numId="22">
    <w:abstractNumId w:val="12"/>
  </w:num>
  <w:num w:numId="23">
    <w:abstractNumId w:val="33"/>
  </w:num>
  <w:num w:numId="24">
    <w:abstractNumId w:val="7"/>
  </w:num>
  <w:num w:numId="25">
    <w:abstractNumId w:val="20"/>
  </w:num>
  <w:num w:numId="26">
    <w:abstractNumId w:val="19"/>
  </w:num>
  <w:num w:numId="27">
    <w:abstractNumId w:val="4"/>
  </w:num>
  <w:num w:numId="28">
    <w:abstractNumId w:val="3"/>
  </w:num>
  <w:num w:numId="29">
    <w:abstractNumId w:val="6"/>
  </w:num>
  <w:num w:numId="30">
    <w:abstractNumId w:val="27"/>
  </w:num>
  <w:num w:numId="31">
    <w:abstractNumId w:val="16"/>
  </w:num>
  <w:num w:numId="32">
    <w:abstractNumId w:val="22"/>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AE"/>
    <w:rsid w:val="000018C2"/>
    <w:rsid w:val="00023E84"/>
    <w:rsid w:val="000621CF"/>
    <w:rsid w:val="00071FD2"/>
    <w:rsid w:val="00075854"/>
    <w:rsid w:val="000925CF"/>
    <w:rsid w:val="000B3BDF"/>
    <w:rsid w:val="000D1BF9"/>
    <w:rsid w:val="000D39C1"/>
    <w:rsid w:val="000F1DB0"/>
    <w:rsid w:val="0014543E"/>
    <w:rsid w:val="00150EC3"/>
    <w:rsid w:val="001664AA"/>
    <w:rsid w:val="00186B85"/>
    <w:rsid w:val="00194228"/>
    <w:rsid w:val="001C15F5"/>
    <w:rsid w:val="001E0A37"/>
    <w:rsid w:val="001E6381"/>
    <w:rsid w:val="00220E3A"/>
    <w:rsid w:val="002319CC"/>
    <w:rsid w:val="00233E81"/>
    <w:rsid w:val="002402D9"/>
    <w:rsid w:val="00255F4B"/>
    <w:rsid w:val="00264D64"/>
    <w:rsid w:val="002732B7"/>
    <w:rsid w:val="0027630C"/>
    <w:rsid w:val="00296924"/>
    <w:rsid w:val="002A4F38"/>
    <w:rsid w:val="002C3AA7"/>
    <w:rsid w:val="002F3D81"/>
    <w:rsid w:val="0032517C"/>
    <w:rsid w:val="00325FCC"/>
    <w:rsid w:val="00334AEF"/>
    <w:rsid w:val="00344E90"/>
    <w:rsid w:val="00355661"/>
    <w:rsid w:val="00362716"/>
    <w:rsid w:val="00365FE6"/>
    <w:rsid w:val="00372A00"/>
    <w:rsid w:val="0037315B"/>
    <w:rsid w:val="00390682"/>
    <w:rsid w:val="003C3BC8"/>
    <w:rsid w:val="003F2346"/>
    <w:rsid w:val="003F308F"/>
    <w:rsid w:val="0040758F"/>
    <w:rsid w:val="004153A3"/>
    <w:rsid w:val="004157F0"/>
    <w:rsid w:val="00461085"/>
    <w:rsid w:val="00496019"/>
    <w:rsid w:val="004A2F70"/>
    <w:rsid w:val="004B7741"/>
    <w:rsid w:val="004D5BC5"/>
    <w:rsid w:val="005043D2"/>
    <w:rsid w:val="005064B7"/>
    <w:rsid w:val="00512911"/>
    <w:rsid w:val="00515C97"/>
    <w:rsid w:val="0052477B"/>
    <w:rsid w:val="00525B20"/>
    <w:rsid w:val="00542A7A"/>
    <w:rsid w:val="0055234D"/>
    <w:rsid w:val="00554BEC"/>
    <w:rsid w:val="00556364"/>
    <w:rsid w:val="00577205"/>
    <w:rsid w:val="005851C2"/>
    <w:rsid w:val="005A16E9"/>
    <w:rsid w:val="005A3711"/>
    <w:rsid w:val="005B7A83"/>
    <w:rsid w:val="005F3562"/>
    <w:rsid w:val="006017A9"/>
    <w:rsid w:val="00601889"/>
    <w:rsid w:val="00605C9C"/>
    <w:rsid w:val="00606EC3"/>
    <w:rsid w:val="00611E16"/>
    <w:rsid w:val="00621229"/>
    <w:rsid w:val="00626DC9"/>
    <w:rsid w:val="00652896"/>
    <w:rsid w:val="0066427C"/>
    <w:rsid w:val="00670020"/>
    <w:rsid w:val="00670AB5"/>
    <w:rsid w:val="006718EF"/>
    <w:rsid w:val="00672AD8"/>
    <w:rsid w:val="0068311C"/>
    <w:rsid w:val="00687BC4"/>
    <w:rsid w:val="00692E57"/>
    <w:rsid w:val="006B6584"/>
    <w:rsid w:val="006C4A55"/>
    <w:rsid w:val="006C4A64"/>
    <w:rsid w:val="006D319B"/>
    <w:rsid w:val="006E1EE8"/>
    <w:rsid w:val="006E3E79"/>
    <w:rsid w:val="006E4CAA"/>
    <w:rsid w:val="007055AE"/>
    <w:rsid w:val="00715A87"/>
    <w:rsid w:val="00715DEC"/>
    <w:rsid w:val="00717A7E"/>
    <w:rsid w:val="00741061"/>
    <w:rsid w:val="007638F5"/>
    <w:rsid w:val="007655C3"/>
    <w:rsid w:val="007A253D"/>
    <w:rsid w:val="007A5778"/>
    <w:rsid w:val="007D0BD0"/>
    <w:rsid w:val="007F7611"/>
    <w:rsid w:val="008073B6"/>
    <w:rsid w:val="00847E7A"/>
    <w:rsid w:val="00860956"/>
    <w:rsid w:val="008610E7"/>
    <w:rsid w:val="008640A5"/>
    <w:rsid w:val="008716B7"/>
    <w:rsid w:val="00882812"/>
    <w:rsid w:val="008A190E"/>
    <w:rsid w:val="008B42BB"/>
    <w:rsid w:val="008C519B"/>
    <w:rsid w:val="008D1B28"/>
    <w:rsid w:val="008D3D4A"/>
    <w:rsid w:val="008F2379"/>
    <w:rsid w:val="008F6CF5"/>
    <w:rsid w:val="0094156D"/>
    <w:rsid w:val="00965D41"/>
    <w:rsid w:val="00980011"/>
    <w:rsid w:val="00987CE4"/>
    <w:rsid w:val="00995C2C"/>
    <w:rsid w:val="009B4250"/>
    <w:rsid w:val="009E0226"/>
    <w:rsid w:val="009E0963"/>
    <w:rsid w:val="00A5057C"/>
    <w:rsid w:val="00A61396"/>
    <w:rsid w:val="00A64685"/>
    <w:rsid w:val="00A74B1B"/>
    <w:rsid w:val="00AA69BD"/>
    <w:rsid w:val="00AB1DE1"/>
    <w:rsid w:val="00AF6B46"/>
    <w:rsid w:val="00B0008F"/>
    <w:rsid w:val="00B005D5"/>
    <w:rsid w:val="00B16340"/>
    <w:rsid w:val="00B344A2"/>
    <w:rsid w:val="00B45330"/>
    <w:rsid w:val="00B4647D"/>
    <w:rsid w:val="00B4709C"/>
    <w:rsid w:val="00B51440"/>
    <w:rsid w:val="00B5195A"/>
    <w:rsid w:val="00B63259"/>
    <w:rsid w:val="00B63E96"/>
    <w:rsid w:val="00B70E3C"/>
    <w:rsid w:val="00B960AC"/>
    <w:rsid w:val="00BE6DE3"/>
    <w:rsid w:val="00BF2752"/>
    <w:rsid w:val="00C21088"/>
    <w:rsid w:val="00C214DF"/>
    <w:rsid w:val="00C539B5"/>
    <w:rsid w:val="00C542AE"/>
    <w:rsid w:val="00C67708"/>
    <w:rsid w:val="00C728F1"/>
    <w:rsid w:val="00C82396"/>
    <w:rsid w:val="00C93604"/>
    <w:rsid w:val="00CA1F3E"/>
    <w:rsid w:val="00CD3713"/>
    <w:rsid w:val="00CF1B59"/>
    <w:rsid w:val="00D030B3"/>
    <w:rsid w:val="00D0360E"/>
    <w:rsid w:val="00D1707C"/>
    <w:rsid w:val="00D2326B"/>
    <w:rsid w:val="00D2661B"/>
    <w:rsid w:val="00D27121"/>
    <w:rsid w:val="00D53AB4"/>
    <w:rsid w:val="00D6305C"/>
    <w:rsid w:val="00D63706"/>
    <w:rsid w:val="00D801C8"/>
    <w:rsid w:val="00D8261A"/>
    <w:rsid w:val="00D93D76"/>
    <w:rsid w:val="00D9568A"/>
    <w:rsid w:val="00DA74E4"/>
    <w:rsid w:val="00DB66EA"/>
    <w:rsid w:val="00DC4C34"/>
    <w:rsid w:val="00DC4F51"/>
    <w:rsid w:val="00DC7CD2"/>
    <w:rsid w:val="00DD549A"/>
    <w:rsid w:val="00DE1D32"/>
    <w:rsid w:val="00DE1F3C"/>
    <w:rsid w:val="00E11814"/>
    <w:rsid w:val="00E32CA9"/>
    <w:rsid w:val="00E45AB0"/>
    <w:rsid w:val="00E4644F"/>
    <w:rsid w:val="00E50E0C"/>
    <w:rsid w:val="00E625F2"/>
    <w:rsid w:val="00E76265"/>
    <w:rsid w:val="00EC088E"/>
    <w:rsid w:val="00F13173"/>
    <w:rsid w:val="00F206E1"/>
    <w:rsid w:val="00F21458"/>
    <w:rsid w:val="00F21E70"/>
    <w:rsid w:val="00F44A49"/>
    <w:rsid w:val="00F54E10"/>
    <w:rsid w:val="00F6542A"/>
    <w:rsid w:val="00F74D36"/>
    <w:rsid w:val="00F951A8"/>
    <w:rsid w:val="00F958B9"/>
    <w:rsid w:val="00FD67D7"/>
    <w:rsid w:val="00FF06BD"/>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oNotEmbedSmartTags/>
  <w:decimalSymbol w:val="."/>
  <w:listSeparator w:val=","/>
  <w15:docId w15:val="{AEC3962D-C531-4748-B0ED-7168F14D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EC3"/>
    <w:pPr>
      <w:spacing w:after="200" w:line="276" w:lineRule="auto"/>
    </w:pPr>
    <w:rPr>
      <w:rFonts w:ascii="Calibri" w:eastAsia="ヒラギノ角ゴ Pro W3" w:hAnsi="Calibri"/>
      <w:color w:val="000000"/>
      <w:sz w:val="22"/>
      <w:szCs w:val="24"/>
    </w:rPr>
  </w:style>
  <w:style w:type="paragraph" w:styleId="Heading1">
    <w:name w:val="heading 1"/>
    <w:basedOn w:val="NormalWeb"/>
    <w:next w:val="Normal"/>
    <w:link w:val="Heading1Char"/>
    <w:uiPriority w:val="9"/>
    <w:qFormat/>
    <w:locked/>
    <w:rsid w:val="00847E7A"/>
    <w:pPr>
      <w:numPr>
        <w:numId w:val="9"/>
      </w:numPr>
      <w:shd w:val="clear" w:color="auto" w:fill="FFFFFF"/>
      <w:spacing w:before="480" w:after="225" w:line="300" w:lineRule="atLeast"/>
      <w:jc w:val="both"/>
      <w:textAlignment w:val="baseline"/>
      <w:outlineLvl w:val="0"/>
    </w:pPr>
    <w:rPr>
      <w:rFonts w:asciiTheme="minorHAnsi" w:eastAsiaTheme="majorEastAsia" w:hAnsiTheme="minorHAnsi" w:cstheme="minorHAnsi"/>
      <w:b/>
      <w:color w:val="auto"/>
      <w:sz w:val="22"/>
      <w:szCs w:val="22"/>
      <w:shd w:val="clear" w:color="auto" w:fill="FFFFFF"/>
    </w:rPr>
  </w:style>
  <w:style w:type="paragraph" w:styleId="Heading2">
    <w:name w:val="heading 2"/>
    <w:basedOn w:val="NormalWeb"/>
    <w:next w:val="Normal"/>
    <w:link w:val="Heading2Char"/>
    <w:uiPriority w:val="9"/>
    <w:unhideWhenUsed/>
    <w:qFormat/>
    <w:locked/>
    <w:rsid w:val="00847E7A"/>
    <w:pPr>
      <w:numPr>
        <w:ilvl w:val="1"/>
        <w:numId w:val="9"/>
      </w:numPr>
      <w:shd w:val="clear" w:color="auto" w:fill="FFFFFF"/>
      <w:tabs>
        <w:tab w:val="left" w:pos="720"/>
      </w:tabs>
      <w:spacing w:before="360" w:after="120" w:line="300" w:lineRule="atLeast"/>
      <w:jc w:val="both"/>
      <w:textAlignment w:val="baseline"/>
      <w:outlineLvl w:val="1"/>
    </w:pPr>
    <w:rPr>
      <w:rFonts w:asciiTheme="minorHAnsi" w:eastAsiaTheme="majorEastAsia" w:hAnsiTheme="minorHAnsi" w:cstheme="minorHAnsi"/>
      <w:b/>
      <w:i/>
      <w:color w:val="auto"/>
      <w:sz w:val="22"/>
      <w:szCs w:val="22"/>
    </w:rPr>
  </w:style>
  <w:style w:type="paragraph" w:styleId="Heading3">
    <w:name w:val="heading 3"/>
    <w:basedOn w:val="NormalWeb"/>
    <w:next w:val="Normal"/>
    <w:link w:val="Heading3Char"/>
    <w:uiPriority w:val="9"/>
    <w:unhideWhenUsed/>
    <w:qFormat/>
    <w:locked/>
    <w:rsid w:val="00847E7A"/>
    <w:pPr>
      <w:numPr>
        <w:ilvl w:val="2"/>
        <w:numId w:val="9"/>
      </w:numPr>
      <w:shd w:val="clear" w:color="auto" w:fill="FFFFFF"/>
      <w:spacing w:before="480" w:after="120" w:line="300" w:lineRule="atLeast"/>
      <w:jc w:val="both"/>
      <w:textAlignment w:val="baseline"/>
      <w:outlineLvl w:val="2"/>
    </w:pPr>
    <w:rPr>
      <w:rFonts w:asciiTheme="minorHAnsi" w:eastAsiaTheme="majorEastAsia" w:hAnsiTheme="minorHAnsi" w:cstheme="minorHAnsi"/>
      <w:i/>
      <w:color w:val="auto"/>
      <w:sz w:val="22"/>
      <w:szCs w:val="22"/>
    </w:rPr>
  </w:style>
  <w:style w:type="paragraph" w:styleId="Heading4">
    <w:name w:val="heading 4"/>
    <w:basedOn w:val="Normal"/>
    <w:next w:val="Normal"/>
    <w:link w:val="Heading4Char"/>
    <w:uiPriority w:val="9"/>
    <w:semiHidden/>
    <w:unhideWhenUsed/>
    <w:locked/>
    <w:rsid w:val="00847E7A"/>
    <w:pPr>
      <w:keepNext/>
      <w:keepLines/>
      <w:spacing w:before="200" w:after="0"/>
      <w:ind w:firstLine="270"/>
      <w:jc w:val="both"/>
      <w:outlineLvl w:val="3"/>
    </w:pPr>
    <w:rPr>
      <w:rFonts w:asciiTheme="majorHAnsi" w:eastAsiaTheme="majorEastAsia" w:hAnsiTheme="majorHAnsi" w:cstheme="majorBidi"/>
      <w:b/>
      <w:bCs/>
      <w:i/>
      <w:iCs/>
      <w:color w:val="4F81BD" w:themeColor="accent1"/>
      <w:szCs w:val="22"/>
      <w:lang w:bidi="en-US"/>
    </w:rPr>
  </w:style>
  <w:style w:type="paragraph" w:styleId="Heading5">
    <w:name w:val="heading 5"/>
    <w:basedOn w:val="Normal"/>
    <w:next w:val="Normal"/>
    <w:link w:val="Heading5Char"/>
    <w:uiPriority w:val="9"/>
    <w:semiHidden/>
    <w:unhideWhenUsed/>
    <w:qFormat/>
    <w:locked/>
    <w:rsid w:val="00847E7A"/>
    <w:pPr>
      <w:keepNext/>
      <w:keepLines/>
      <w:spacing w:before="200" w:after="0"/>
      <w:ind w:firstLine="270"/>
      <w:jc w:val="both"/>
      <w:outlineLvl w:val="4"/>
    </w:pPr>
    <w:rPr>
      <w:rFonts w:asciiTheme="majorHAnsi" w:eastAsiaTheme="majorEastAsia" w:hAnsiTheme="majorHAnsi" w:cstheme="majorBidi"/>
      <w:color w:val="243F60" w:themeColor="accent1" w:themeShade="7F"/>
      <w:szCs w:val="22"/>
      <w:lang w:bidi="en-US"/>
    </w:rPr>
  </w:style>
  <w:style w:type="paragraph" w:styleId="Heading6">
    <w:name w:val="heading 6"/>
    <w:basedOn w:val="Normal"/>
    <w:next w:val="Normal"/>
    <w:link w:val="Heading6Char"/>
    <w:uiPriority w:val="9"/>
    <w:semiHidden/>
    <w:unhideWhenUsed/>
    <w:qFormat/>
    <w:locked/>
    <w:rsid w:val="00847E7A"/>
    <w:pPr>
      <w:keepNext/>
      <w:keepLines/>
      <w:spacing w:before="200" w:after="0"/>
      <w:ind w:firstLine="270"/>
      <w:jc w:val="both"/>
      <w:outlineLvl w:val="5"/>
    </w:pPr>
    <w:rPr>
      <w:rFonts w:asciiTheme="majorHAnsi" w:eastAsiaTheme="majorEastAsia" w:hAnsiTheme="majorHAnsi" w:cstheme="majorBidi"/>
      <w:i/>
      <w:iCs/>
      <w:color w:val="243F60" w:themeColor="accent1" w:themeShade="7F"/>
      <w:szCs w:val="22"/>
      <w:lang w:bidi="en-US"/>
    </w:rPr>
  </w:style>
  <w:style w:type="paragraph" w:styleId="Heading7">
    <w:name w:val="heading 7"/>
    <w:basedOn w:val="Normal"/>
    <w:next w:val="Normal"/>
    <w:link w:val="Heading7Char"/>
    <w:uiPriority w:val="9"/>
    <w:semiHidden/>
    <w:unhideWhenUsed/>
    <w:qFormat/>
    <w:locked/>
    <w:rsid w:val="00847E7A"/>
    <w:pPr>
      <w:keepNext/>
      <w:keepLines/>
      <w:spacing w:before="200" w:after="0"/>
      <w:ind w:firstLine="270"/>
      <w:jc w:val="both"/>
      <w:outlineLvl w:val="6"/>
    </w:pPr>
    <w:rPr>
      <w:rFonts w:asciiTheme="majorHAnsi" w:eastAsiaTheme="majorEastAsia" w:hAnsiTheme="majorHAnsi" w:cstheme="majorBidi"/>
      <w:i/>
      <w:iCs/>
      <w:color w:val="404040" w:themeColor="text1" w:themeTint="BF"/>
      <w:szCs w:val="22"/>
      <w:lang w:bidi="en-US"/>
    </w:rPr>
  </w:style>
  <w:style w:type="paragraph" w:styleId="Heading8">
    <w:name w:val="heading 8"/>
    <w:basedOn w:val="Normal"/>
    <w:next w:val="Normal"/>
    <w:link w:val="Heading8Char"/>
    <w:uiPriority w:val="9"/>
    <w:semiHidden/>
    <w:unhideWhenUsed/>
    <w:qFormat/>
    <w:locked/>
    <w:rsid w:val="00847E7A"/>
    <w:pPr>
      <w:keepNext/>
      <w:keepLines/>
      <w:spacing w:before="200" w:after="0"/>
      <w:ind w:firstLine="270"/>
      <w:jc w:val="both"/>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locked/>
    <w:rsid w:val="00847E7A"/>
    <w:pPr>
      <w:keepNext/>
      <w:keepLines/>
      <w:spacing w:before="200" w:after="0"/>
      <w:ind w:firstLine="270"/>
      <w:jc w:val="both"/>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C2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C2C"/>
    <w:rPr>
      <w:rFonts w:ascii="Lucida Grande" w:hAnsi="Lucida Grande"/>
      <w:sz w:val="18"/>
      <w:szCs w:val="18"/>
    </w:rPr>
  </w:style>
  <w:style w:type="paragraph" w:customStyle="1" w:styleId="FreeForm">
    <w:name w:val="Free Form"/>
    <w:rsid w:val="00606EC3"/>
    <w:pPr>
      <w:spacing w:after="200" w:line="276" w:lineRule="auto"/>
    </w:pPr>
    <w:rPr>
      <w:rFonts w:ascii="Calibri" w:eastAsia="ヒラギノ角ゴ Pro W3" w:hAnsi="Calibri"/>
      <w:color w:val="000000"/>
      <w:sz w:val="22"/>
    </w:rPr>
  </w:style>
  <w:style w:type="paragraph" w:customStyle="1" w:styleId="Footer1">
    <w:name w:val="Footer1"/>
    <w:rsid w:val="00606EC3"/>
    <w:pPr>
      <w:tabs>
        <w:tab w:val="center" w:pos="4680"/>
        <w:tab w:val="right" w:pos="9360"/>
      </w:tabs>
    </w:pPr>
    <w:rPr>
      <w:rFonts w:ascii="Calibri" w:eastAsia="ヒラギノ角ゴ Pro W3" w:hAnsi="Calibri"/>
      <w:color w:val="000000"/>
      <w:sz w:val="22"/>
    </w:rPr>
  </w:style>
  <w:style w:type="character" w:styleId="Hyperlink">
    <w:name w:val="Hyperlink"/>
    <w:uiPriority w:val="99"/>
    <w:rsid w:val="00606EC3"/>
    <w:rPr>
      <w:color w:val="0000FF"/>
      <w:sz w:val="22"/>
      <w:u w:val="single"/>
    </w:rPr>
  </w:style>
  <w:style w:type="character" w:customStyle="1" w:styleId="FootnoteReference1">
    <w:name w:val="Footnote Reference1"/>
    <w:rsid w:val="00606EC3"/>
    <w:rPr>
      <w:color w:val="000000"/>
      <w:sz w:val="22"/>
      <w:vertAlign w:val="superscript"/>
    </w:rPr>
  </w:style>
  <w:style w:type="paragraph" w:customStyle="1" w:styleId="FootnoteText1">
    <w:name w:val="Footnote Text1"/>
    <w:rsid w:val="00606EC3"/>
    <w:pPr>
      <w:spacing w:after="200" w:line="276" w:lineRule="auto"/>
    </w:pPr>
    <w:rPr>
      <w:rFonts w:ascii="Calibri" w:eastAsia="ヒラギノ角ゴ Pro W3" w:hAnsi="Calibri"/>
      <w:color w:val="000000"/>
    </w:rPr>
  </w:style>
  <w:style w:type="paragraph" w:customStyle="1" w:styleId="TableGrid1">
    <w:name w:val="Table Grid1"/>
    <w:rsid w:val="00606EC3"/>
    <w:rPr>
      <w:rFonts w:ascii="Calibri" w:eastAsia="ヒラギノ角ゴ Pro W3" w:hAnsi="Calibri"/>
      <w:color w:val="000000"/>
      <w:sz w:val="22"/>
    </w:rPr>
  </w:style>
  <w:style w:type="paragraph" w:styleId="ListParagraph">
    <w:name w:val="List Paragraph"/>
    <w:aliases w:val="Bullets"/>
    <w:link w:val="ListParagraphChar"/>
    <w:uiPriority w:val="34"/>
    <w:qFormat/>
    <w:rsid w:val="00606EC3"/>
    <w:pPr>
      <w:spacing w:after="200" w:line="276" w:lineRule="auto"/>
      <w:ind w:left="720"/>
    </w:pPr>
    <w:rPr>
      <w:rFonts w:ascii="Calibri" w:eastAsia="ヒラギノ角ゴ Pro W3" w:hAnsi="Calibri"/>
      <w:color w:val="000000"/>
      <w:sz w:val="22"/>
    </w:rPr>
  </w:style>
  <w:style w:type="numbering" w:customStyle="1" w:styleId="List21">
    <w:name w:val="List 21"/>
    <w:rsid w:val="00606EC3"/>
  </w:style>
  <w:style w:type="paragraph" w:customStyle="1" w:styleId="SidebarHeadline1">
    <w:name w:val="Sidebar Headline 1"/>
    <w:next w:val="SidebarBody"/>
    <w:rsid w:val="00606EC3"/>
    <w:pPr>
      <w:keepNext/>
      <w:spacing w:line="288" w:lineRule="auto"/>
      <w:outlineLvl w:val="0"/>
    </w:pPr>
    <w:rPr>
      <w:rFonts w:ascii="Gill Sans" w:eastAsia="ヒラギノ角ゴ Pro W3" w:hAnsi="Gill Sans"/>
      <w:b/>
      <w:caps/>
      <w:color w:val="FEFFFE"/>
      <w:spacing w:val="17"/>
      <w:sz w:val="28"/>
    </w:rPr>
  </w:style>
  <w:style w:type="paragraph" w:customStyle="1" w:styleId="SidebarBody">
    <w:name w:val="Sidebar Body"/>
    <w:rsid w:val="00606EC3"/>
    <w:pPr>
      <w:spacing w:after="280" w:line="288" w:lineRule="auto"/>
      <w:outlineLvl w:val="0"/>
    </w:pPr>
    <w:rPr>
      <w:rFonts w:ascii="Gill Sans" w:eastAsia="ヒラギノ角ゴ Pro W3" w:hAnsi="Gill Sans"/>
      <w:color w:val="FEFFFE"/>
    </w:rPr>
  </w:style>
  <w:style w:type="paragraph" w:customStyle="1" w:styleId="SidebarHeadline2">
    <w:name w:val="Sidebar Headline 2"/>
    <w:next w:val="SidebarBody"/>
    <w:rsid w:val="00606EC3"/>
    <w:pPr>
      <w:keepNext/>
      <w:outlineLvl w:val="0"/>
    </w:pPr>
    <w:rPr>
      <w:rFonts w:ascii="Gill Sans" w:eastAsia="ヒラギノ角ゴ Pro W3" w:hAnsi="Gill Sans"/>
      <w:b/>
      <w:caps/>
      <w:color w:val="000000"/>
    </w:rPr>
  </w:style>
  <w:style w:type="paragraph" w:customStyle="1" w:styleId="Caption1">
    <w:name w:val="Caption1"/>
    <w:next w:val="Normal"/>
    <w:rsid w:val="00606EC3"/>
    <w:pPr>
      <w:keepNext/>
      <w:spacing w:after="120"/>
    </w:pPr>
    <w:rPr>
      <w:rFonts w:ascii="Calibri Bold" w:eastAsia="ヒラギノ角ゴ Pro W3" w:hAnsi="Calibri Bold"/>
      <w:color w:val="000000"/>
      <w:sz w:val="24"/>
    </w:rPr>
  </w:style>
  <w:style w:type="paragraph" w:customStyle="1" w:styleId="Header1">
    <w:name w:val="Header1"/>
    <w:rsid w:val="00606EC3"/>
    <w:pPr>
      <w:tabs>
        <w:tab w:val="right" w:pos="9792"/>
      </w:tabs>
      <w:ind w:firstLine="180"/>
      <w:outlineLvl w:val="0"/>
    </w:pPr>
    <w:rPr>
      <w:rFonts w:ascii="Gill Sans" w:eastAsia="ヒラギノ角ゴ Pro W3" w:hAnsi="Gill Sans"/>
      <w:caps/>
      <w:color w:val="FEFFFE"/>
      <w:sz w:val="18"/>
    </w:rPr>
  </w:style>
  <w:style w:type="table" w:styleId="TableGrid">
    <w:name w:val="Table Grid"/>
    <w:basedOn w:val="TableNormal"/>
    <w:uiPriority w:val="59"/>
    <w:locked/>
    <w:rsid w:val="00344E9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locked/>
    <w:rsid w:val="00344E90"/>
    <w:pPr>
      <w:keepNext/>
      <w:spacing w:after="240" w:line="240" w:lineRule="auto"/>
    </w:pPr>
    <w:rPr>
      <w:rFonts w:asciiTheme="minorHAnsi" w:eastAsiaTheme="minorHAnsi" w:hAnsiTheme="minorHAnsi" w:cstheme="minorBidi"/>
      <w:b/>
      <w:bCs/>
      <w:color w:val="4F81BD" w:themeColor="accent1"/>
      <w:szCs w:val="18"/>
    </w:rPr>
  </w:style>
  <w:style w:type="paragraph" w:customStyle="1" w:styleId="Biblio">
    <w:name w:val="Biblio"/>
    <w:basedOn w:val="Bibliography"/>
    <w:qFormat/>
    <w:rsid w:val="00525B20"/>
    <w:pPr>
      <w:spacing w:after="240" w:line="240" w:lineRule="auto"/>
      <w:ind w:left="720" w:hanging="720"/>
      <w:jc w:val="both"/>
    </w:pPr>
    <w:rPr>
      <w:rFonts w:asciiTheme="minorHAnsi" w:eastAsia="Times New Roman" w:hAnsiTheme="minorHAnsi"/>
      <w:color w:val="auto"/>
      <w:szCs w:val="20"/>
    </w:rPr>
  </w:style>
  <w:style w:type="paragraph" w:styleId="Bibliography">
    <w:name w:val="Bibliography"/>
    <w:basedOn w:val="Normal"/>
    <w:next w:val="Normal"/>
    <w:uiPriority w:val="37"/>
    <w:semiHidden/>
    <w:unhideWhenUsed/>
    <w:rsid w:val="00525B20"/>
  </w:style>
  <w:style w:type="character" w:styleId="CommentReference">
    <w:name w:val="annotation reference"/>
    <w:basedOn w:val="DefaultParagraphFont"/>
    <w:uiPriority w:val="99"/>
    <w:locked/>
    <w:rsid w:val="005851C2"/>
    <w:rPr>
      <w:sz w:val="16"/>
      <w:szCs w:val="16"/>
    </w:rPr>
  </w:style>
  <w:style w:type="paragraph" w:styleId="CommentText">
    <w:name w:val="annotation text"/>
    <w:basedOn w:val="Normal"/>
    <w:link w:val="CommentTextChar"/>
    <w:uiPriority w:val="99"/>
    <w:locked/>
    <w:rsid w:val="005851C2"/>
    <w:pPr>
      <w:spacing w:line="240" w:lineRule="auto"/>
    </w:pPr>
    <w:rPr>
      <w:sz w:val="20"/>
      <w:szCs w:val="20"/>
    </w:rPr>
  </w:style>
  <w:style w:type="character" w:customStyle="1" w:styleId="CommentTextChar">
    <w:name w:val="Comment Text Char"/>
    <w:basedOn w:val="DefaultParagraphFont"/>
    <w:link w:val="CommentText"/>
    <w:uiPriority w:val="99"/>
    <w:rsid w:val="005851C2"/>
    <w:rPr>
      <w:rFonts w:ascii="Calibri" w:eastAsia="ヒラギノ角ゴ Pro W3" w:hAnsi="Calibri"/>
      <w:color w:val="000000"/>
    </w:rPr>
  </w:style>
  <w:style w:type="paragraph" w:styleId="CommentSubject">
    <w:name w:val="annotation subject"/>
    <w:basedOn w:val="CommentText"/>
    <w:next w:val="CommentText"/>
    <w:link w:val="CommentSubjectChar"/>
    <w:uiPriority w:val="99"/>
    <w:locked/>
    <w:rsid w:val="005851C2"/>
    <w:rPr>
      <w:b/>
      <w:bCs/>
    </w:rPr>
  </w:style>
  <w:style w:type="character" w:customStyle="1" w:styleId="CommentSubjectChar">
    <w:name w:val="Comment Subject Char"/>
    <w:basedOn w:val="CommentTextChar"/>
    <w:link w:val="CommentSubject"/>
    <w:uiPriority w:val="99"/>
    <w:rsid w:val="005851C2"/>
    <w:rPr>
      <w:rFonts w:ascii="Calibri" w:eastAsia="ヒラギノ角ゴ Pro W3" w:hAnsi="Calibri"/>
      <w:b/>
      <w:bCs/>
      <w:color w:val="000000"/>
    </w:rPr>
  </w:style>
  <w:style w:type="paragraph" w:styleId="FootnoteText">
    <w:name w:val="footnote text"/>
    <w:aliases w:val="RG Footnote Text,single space,FOOTNOTES,fn,Footnote Text 1,Footnote Text Char Char,Footnote Text Char Char Char,Char Char Char Char Char,ALTS FOOTNOTE,Note de bas de page2,footnote,footnote text,ft,texto de nota al pie,Char,ft Char Char"/>
    <w:basedOn w:val="Normal"/>
    <w:link w:val="FootnoteTextChar"/>
    <w:uiPriority w:val="99"/>
    <w:qFormat/>
    <w:locked/>
    <w:rsid w:val="00715DEC"/>
    <w:pPr>
      <w:spacing w:after="0" w:line="240" w:lineRule="auto"/>
    </w:pPr>
    <w:rPr>
      <w:sz w:val="20"/>
      <w:szCs w:val="20"/>
    </w:rPr>
  </w:style>
  <w:style w:type="character" w:customStyle="1" w:styleId="FootnoteTextChar">
    <w:name w:val="Footnote Text Char"/>
    <w:aliases w:val="RG Footnote Text Char,single space Char,FOOTNOTES Char,fn Char,Footnote Text 1 Char,Footnote Text Char Char Char1,Footnote Text Char Char Char Char,Char Char Char Char Char Char,ALTS FOOTNOTE Char,Note de bas de page2 Char,ft Char"/>
    <w:basedOn w:val="DefaultParagraphFont"/>
    <w:link w:val="FootnoteText"/>
    <w:uiPriority w:val="99"/>
    <w:rsid w:val="00715DEC"/>
    <w:rPr>
      <w:rFonts w:ascii="Calibri" w:eastAsia="ヒラギノ角ゴ Pro W3" w:hAnsi="Calibri"/>
      <w:color w:val="000000"/>
    </w:rPr>
  </w:style>
  <w:style w:type="character" w:styleId="FootnoteReference">
    <w:name w:val="footnote reference"/>
    <w:aliases w:val="ftref,16 Point,Superscript 6 Point, BVI fnr,Ref,de nota al pie,BVI fnr,Error-Fußnotenzeichen5,Error-Fußnotenzeichen6,Error-Fußnotenzeichen3,Footnote Reference Number,referencia nota al pie,Footnote Reference_LVL6"/>
    <w:basedOn w:val="DefaultParagraphFont"/>
    <w:qFormat/>
    <w:locked/>
    <w:rsid w:val="00715DEC"/>
    <w:rPr>
      <w:vertAlign w:val="superscript"/>
    </w:rPr>
  </w:style>
  <w:style w:type="paragraph" w:styleId="EndnoteText">
    <w:name w:val="endnote text"/>
    <w:basedOn w:val="Normal"/>
    <w:link w:val="EndnoteTextChar"/>
    <w:locked/>
    <w:rsid w:val="00715DEC"/>
    <w:pPr>
      <w:spacing w:after="0" w:line="240" w:lineRule="auto"/>
    </w:pPr>
    <w:rPr>
      <w:sz w:val="20"/>
      <w:szCs w:val="20"/>
    </w:rPr>
  </w:style>
  <w:style w:type="character" w:customStyle="1" w:styleId="EndnoteTextChar">
    <w:name w:val="Endnote Text Char"/>
    <w:basedOn w:val="DefaultParagraphFont"/>
    <w:link w:val="EndnoteText"/>
    <w:rsid w:val="00715DEC"/>
    <w:rPr>
      <w:rFonts w:ascii="Calibri" w:eastAsia="ヒラギノ角ゴ Pro W3" w:hAnsi="Calibri"/>
      <w:color w:val="000000"/>
    </w:rPr>
  </w:style>
  <w:style w:type="character" w:styleId="EndnoteReference">
    <w:name w:val="endnote reference"/>
    <w:basedOn w:val="DefaultParagraphFont"/>
    <w:locked/>
    <w:rsid w:val="00715DEC"/>
    <w:rPr>
      <w:vertAlign w:val="superscript"/>
    </w:rPr>
  </w:style>
  <w:style w:type="paragraph" w:styleId="Title">
    <w:name w:val="Title"/>
    <w:basedOn w:val="Normal"/>
    <w:next w:val="Normal"/>
    <w:link w:val="TitleChar"/>
    <w:uiPriority w:val="10"/>
    <w:qFormat/>
    <w:locked/>
    <w:rsid w:val="00DC7CD2"/>
    <w:pPr>
      <w:spacing w:after="300" w:line="240" w:lineRule="auto"/>
      <w:ind w:firstLine="270"/>
      <w:jc w:val="center"/>
    </w:pPr>
    <w:rPr>
      <w:rFonts w:asciiTheme="majorHAnsi" w:eastAsiaTheme="majorEastAsia" w:hAnsiTheme="majorHAnsi" w:cstheme="majorBidi"/>
      <w:b/>
      <w:color w:val="auto"/>
      <w:spacing w:val="5"/>
      <w:kern w:val="28"/>
      <w:szCs w:val="52"/>
      <w:lang w:bidi="en-US"/>
    </w:rPr>
  </w:style>
  <w:style w:type="character" w:customStyle="1" w:styleId="TitleChar">
    <w:name w:val="Title Char"/>
    <w:basedOn w:val="DefaultParagraphFont"/>
    <w:link w:val="Title"/>
    <w:uiPriority w:val="10"/>
    <w:rsid w:val="00DC7CD2"/>
    <w:rPr>
      <w:rFonts w:asciiTheme="majorHAnsi" w:eastAsiaTheme="majorEastAsia" w:hAnsiTheme="majorHAnsi" w:cstheme="majorBidi"/>
      <w:b/>
      <w:spacing w:val="5"/>
      <w:kern w:val="28"/>
      <w:sz w:val="22"/>
      <w:szCs w:val="52"/>
      <w:lang w:bidi="en-US"/>
    </w:rPr>
  </w:style>
  <w:style w:type="character" w:customStyle="1" w:styleId="ListParagraphChar">
    <w:name w:val="List Paragraph Char"/>
    <w:aliases w:val="Bullets Char"/>
    <w:basedOn w:val="DefaultParagraphFont"/>
    <w:link w:val="ListParagraph"/>
    <w:uiPriority w:val="34"/>
    <w:rsid w:val="00DC7CD2"/>
    <w:rPr>
      <w:rFonts w:ascii="Calibri" w:eastAsia="ヒラギノ角ゴ Pro W3" w:hAnsi="Calibri"/>
      <w:color w:val="000000"/>
      <w:sz w:val="22"/>
    </w:rPr>
  </w:style>
  <w:style w:type="character" w:customStyle="1" w:styleId="Heading1Char">
    <w:name w:val="Heading 1 Char"/>
    <w:basedOn w:val="DefaultParagraphFont"/>
    <w:link w:val="Heading1"/>
    <w:uiPriority w:val="9"/>
    <w:rsid w:val="00847E7A"/>
    <w:rPr>
      <w:rFonts w:asciiTheme="minorHAnsi" w:eastAsiaTheme="majorEastAsia" w:hAnsiTheme="minorHAnsi" w:cstheme="minorHAnsi"/>
      <w:b/>
      <w:sz w:val="22"/>
      <w:szCs w:val="22"/>
      <w:shd w:val="clear" w:color="auto" w:fill="FFFFFF"/>
    </w:rPr>
  </w:style>
  <w:style w:type="character" w:customStyle="1" w:styleId="Heading2Char">
    <w:name w:val="Heading 2 Char"/>
    <w:basedOn w:val="DefaultParagraphFont"/>
    <w:link w:val="Heading2"/>
    <w:uiPriority w:val="9"/>
    <w:rsid w:val="00847E7A"/>
    <w:rPr>
      <w:rFonts w:asciiTheme="minorHAnsi" w:eastAsiaTheme="majorEastAsia" w:hAnsiTheme="minorHAnsi" w:cstheme="minorHAnsi"/>
      <w:b/>
      <w:i/>
      <w:sz w:val="22"/>
      <w:szCs w:val="22"/>
      <w:shd w:val="clear" w:color="auto" w:fill="FFFFFF"/>
    </w:rPr>
  </w:style>
  <w:style w:type="character" w:customStyle="1" w:styleId="Heading3Char">
    <w:name w:val="Heading 3 Char"/>
    <w:basedOn w:val="DefaultParagraphFont"/>
    <w:link w:val="Heading3"/>
    <w:uiPriority w:val="9"/>
    <w:rsid w:val="00847E7A"/>
    <w:rPr>
      <w:rFonts w:asciiTheme="minorHAnsi" w:eastAsiaTheme="majorEastAsia" w:hAnsiTheme="minorHAnsi" w:cstheme="minorHAnsi"/>
      <w:i/>
      <w:sz w:val="22"/>
      <w:szCs w:val="22"/>
      <w:shd w:val="clear" w:color="auto" w:fill="FFFFFF"/>
    </w:rPr>
  </w:style>
  <w:style w:type="paragraph" w:styleId="NormalWeb">
    <w:name w:val="Normal (Web)"/>
    <w:basedOn w:val="Normal"/>
    <w:uiPriority w:val="99"/>
    <w:locked/>
    <w:rsid w:val="00847E7A"/>
    <w:rPr>
      <w:rFonts w:ascii="Times New Roman" w:hAnsi="Times New Roman"/>
      <w:sz w:val="24"/>
    </w:rPr>
  </w:style>
  <w:style w:type="character" w:customStyle="1" w:styleId="Heading4Char">
    <w:name w:val="Heading 4 Char"/>
    <w:basedOn w:val="DefaultParagraphFont"/>
    <w:link w:val="Heading4"/>
    <w:uiPriority w:val="9"/>
    <w:semiHidden/>
    <w:rsid w:val="00847E7A"/>
    <w:rPr>
      <w:rFonts w:asciiTheme="majorHAnsi" w:eastAsiaTheme="majorEastAsia" w:hAnsiTheme="majorHAnsi" w:cstheme="majorBidi"/>
      <w:b/>
      <w:bCs/>
      <w:i/>
      <w:iCs/>
      <w:color w:val="4F81BD" w:themeColor="accent1"/>
      <w:sz w:val="22"/>
      <w:szCs w:val="22"/>
      <w:lang w:bidi="en-US"/>
    </w:rPr>
  </w:style>
  <w:style w:type="character" w:customStyle="1" w:styleId="Heading5Char">
    <w:name w:val="Heading 5 Char"/>
    <w:basedOn w:val="DefaultParagraphFont"/>
    <w:link w:val="Heading5"/>
    <w:uiPriority w:val="9"/>
    <w:semiHidden/>
    <w:rsid w:val="00847E7A"/>
    <w:rPr>
      <w:rFonts w:asciiTheme="majorHAnsi" w:eastAsiaTheme="majorEastAsia" w:hAnsiTheme="majorHAnsi" w:cstheme="majorBidi"/>
      <w:color w:val="243F60" w:themeColor="accent1" w:themeShade="7F"/>
      <w:sz w:val="22"/>
      <w:szCs w:val="22"/>
      <w:lang w:bidi="en-US"/>
    </w:rPr>
  </w:style>
  <w:style w:type="character" w:customStyle="1" w:styleId="Heading6Char">
    <w:name w:val="Heading 6 Char"/>
    <w:basedOn w:val="DefaultParagraphFont"/>
    <w:link w:val="Heading6"/>
    <w:uiPriority w:val="9"/>
    <w:semiHidden/>
    <w:rsid w:val="00847E7A"/>
    <w:rPr>
      <w:rFonts w:asciiTheme="majorHAnsi" w:eastAsiaTheme="majorEastAsia" w:hAnsiTheme="majorHAnsi" w:cstheme="majorBidi"/>
      <w:i/>
      <w:iCs/>
      <w:color w:val="243F60" w:themeColor="accent1" w:themeShade="7F"/>
      <w:sz w:val="22"/>
      <w:szCs w:val="22"/>
      <w:lang w:bidi="en-US"/>
    </w:rPr>
  </w:style>
  <w:style w:type="character" w:customStyle="1" w:styleId="Heading7Char">
    <w:name w:val="Heading 7 Char"/>
    <w:basedOn w:val="DefaultParagraphFont"/>
    <w:link w:val="Heading7"/>
    <w:uiPriority w:val="9"/>
    <w:semiHidden/>
    <w:rsid w:val="00847E7A"/>
    <w:rPr>
      <w:rFonts w:asciiTheme="majorHAnsi" w:eastAsiaTheme="majorEastAsia" w:hAnsiTheme="majorHAnsi" w:cstheme="majorBidi"/>
      <w:i/>
      <w:iCs/>
      <w:color w:val="404040" w:themeColor="text1" w:themeTint="BF"/>
      <w:sz w:val="22"/>
      <w:szCs w:val="22"/>
      <w:lang w:bidi="en-US"/>
    </w:rPr>
  </w:style>
  <w:style w:type="character" w:customStyle="1" w:styleId="Heading8Char">
    <w:name w:val="Heading 8 Char"/>
    <w:basedOn w:val="DefaultParagraphFont"/>
    <w:link w:val="Heading8"/>
    <w:uiPriority w:val="9"/>
    <w:semiHidden/>
    <w:rsid w:val="00847E7A"/>
    <w:rPr>
      <w:rFonts w:asciiTheme="majorHAnsi" w:eastAsiaTheme="majorEastAsia" w:hAnsiTheme="majorHAnsi" w:cstheme="majorBidi"/>
      <w:color w:val="4F81BD" w:themeColor="accent1"/>
      <w:lang w:bidi="en-US"/>
    </w:rPr>
  </w:style>
  <w:style w:type="character" w:customStyle="1" w:styleId="Heading9Char">
    <w:name w:val="Heading 9 Char"/>
    <w:basedOn w:val="DefaultParagraphFont"/>
    <w:link w:val="Heading9"/>
    <w:uiPriority w:val="9"/>
    <w:semiHidden/>
    <w:rsid w:val="00847E7A"/>
    <w:rPr>
      <w:rFonts w:asciiTheme="majorHAnsi" w:eastAsiaTheme="majorEastAsia" w:hAnsiTheme="majorHAnsi" w:cstheme="majorBidi"/>
      <w:i/>
      <w:iCs/>
      <w:color w:val="404040" w:themeColor="text1" w:themeTint="BF"/>
      <w:lang w:bidi="en-US"/>
    </w:rPr>
  </w:style>
  <w:style w:type="paragraph" w:styleId="Subtitle">
    <w:name w:val="Subtitle"/>
    <w:basedOn w:val="Normal"/>
    <w:next w:val="Normal"/>
    <w:link w:val="SubtitleChar"/>
    <w:uiPriority w:val="11"/>
    <w:qFormat/>
    <w:locked/>
    <w:rsid w:val="00847E7A"/>
    <w:pPr>
      <w:numPr>
        <w:ilvl w:val="1"/>
      </w:numPr>
      <w:ind w:firstLine="270"/>
      <w:jc w:val="both"/>
    </w:pPr>
    <w:rPr>
      <w:rFonts w:asciiTheme="majorHAnsi" w:eastAsiaTheme="majorEastAsia" w:hAnsiTheme="majorHAnsi" w:cstheme="majorBidi"/>
      <w:i/>
      <w:iCs/>
      <w:color w:val="4F81BD" w:themeColor="accent1"/>
      <w:spacing w:val="15"/>
      <w:sz w:val="24"/>
      <w:lang w:bidi="en-US"/>
    </w:rPr>
  </w:style>
  <w:style w:type="character" w:customStyle="1" w:styleId="SubtitleChar">
    <w:name w:val="Subtitle Char"/>
    <w:basedOn w:val="DefaultParagraphFont"/>
    <w:link w:val="Subtitle"/>
    <w:uiPriority w:val="11"/>
    <w:rsid w:val="00847E7A"/>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locked/>
    <w:rsid w:val="00847E7A"/>
    <w:rPr>
      <w:b/>
      <w:bCs/>
    </w:rPr>
  </w:style>
  <w:style w:type="character" w:styleId="Emphasis">
    <w:name w:val="Emphasis"/>
    <w:basedOn w:val="DefaultParagraphFont"/>
    <w:uiPriority w:val="20"/>
    <w:qFormat/>
    <w:locked/>
    <w:rsid w:val="00847E7A"/>
    <w:rPr>
      <w:i/>
      <w:iCs/>
    </w:rPr>
  </w:style>
  <w:style w:type="paragraph" w:styleId="NoSpacing">
    <w:name w:val="No Spacing"/>
    <w:uiPriority w:val="1"/>
    <w:qFormat/>
    <w:rsid w:val="00847E7A"/>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847E7A"/>
    <w:pPr>
      <w:ind w:firstLine="270"/>
      <w:jc w:val="both"/>
    </w:pPr>
    <w:rPr>
      <w:rFonts w:asciiTheme="minorHAnsi" w:eastAsiaTheme="minorHAnsi" w:hAnsiTheme="minorHAnsi" w:cstheme="minorBidi"/>
      <w:i/>
      <w:iCs/>
      <w:color w:val="000000" w:themeColor="text1"/>
      <w:szCs w:val="22"/>
      <w:lang w:bidi="en-US"/>
    </w:rPr>
  </w:style>
  <w:style w:type="character" w:customStyle="1" w:styleId="QuoteChar">
    <w:name w:val="Quote Char"/>
    <w:basedOn w:val="DefaultParagraphFont"/>
    <w:link w:val="Quote"/>
    <w:uiPriority w:val="29"/>
    <w:rsid w:val="00847E7A"/>
    <w:rPr>
      <w:rFonts w:asciiTheme="minorHAnsi" w:eastAsiaTheme="minorHAnsi" w:hAnsiTheme="minorHAnsi" w:cstheme="minorBidi"/>
      <w:i/>
      <w:iCs/>
      <w:color w:val="000000" w:themeColor="text1"/>
      <w:sz w:val="22"/>
      <w:szCs w:val="22"/>
      <w:lang w:bidi="en-US"/>
    </w:rPr>
  </w:style>
  <w:style w:type="paragraph" w:styleId="IntenseQuote">
    <w:name w:val="Intense Quote"/>
    <w:basedOn w:val="Normal"/>
    <w:next w:val="Normal"/>
    <w:link w:val="IntenseQuoteChar"/>
    <w:uiPriority w:val="30"/>
    <w:qFormat/>
    <w:rsid w:val="00847E7A"/>
    <w:pPr>
      <w:pBdr>
        <w:bottom w:val="single" w:sz="4" w:space="4" w:color="4F81BD" w:themeColor="accent1"/>
      </w:pBdr>
      <w:spacing w:before="200" w:after="280"/>
      <w:ind w:left="936" w:right="936" w:firstLine="270"/>
      <w:jc w:val="both"/>
    </w:pPr>
    <w:rPr>
      <w:rFonts w:asciiTheme="minorHAnsi" w:eastAsiaTheme="minorHAnsi" w:hAnsiTheme="minorHAnsi" w:cstheme="minorBidi"/>
      <w:b/>
      <w:bCs/>
      <w:i/>
      <w:iCs/>
      <w:color w:val="4F81BD" w:themeColor="accent1"/>
      <w:szCs w:val="22"/>
      <w:lang w:bidi="en-US"/>
    </w:rPr>
  </w:style>
  <w:style w:type="character" w:customStyle="1" w:styleId="IntenseQuoteChar">
    <w:name w:val="Intense Quote Char"/>
    <w:basedOn w:val="DefaultParagraphFont"/>
    <w:link w:val="IntenseQuote"/>
    <w:uiPriority w:val="30"/>
    <w:rsid w:val="00847E7A"/>
    <w:rPr>
      <w:rFonts w:asciiTheme="minorHAnsi" w:eastAsiaTheme="minorHAnsi" w:hAnsiTheme="minorHAnsi" w:cstheme="minorBidi"/>
      <w:b/>
      <w:bCs/>
      <w:i/>
      <w:iCs/>
      <w:color w:val="4F81BD" w:themeColor="accent1"/>
      <w:sz w:val="22"/>
      <w:szCs w:val="22"/>
      <w:lang w:bidi="en-US"/>
    </w:rPr>
  </w:style>
  <w:style w:type="character" w:styleId="SubtleEmphasis">
    <w:name w:val="Subtle Emphasis"/>
    <w:basedOn w:val="DefaultParagraphFont"/>
    <w:uiPriority w:val="19"/>
    <w:qFormat/>
    <w:rsid w:val="00847E7A"/>
    <w:rPr>
      <w:i/>
      <w:iCs/>
      <w:color w:val="808080" w:themeColor="text1" w:themeTint="7F"/>
    </w:rPr>
  </w:style>
  <w:style w:type="character" w:styleId="IntenseEmphasis">
    <w:name w:val="Intense Emphasis"/>
    <w:basedOn w:val="DefaultParagraphFont"/>
    <w:uiPriority w:val="21"/>
    <w:qFormat/>
    <w:rsid w:val="00847E7A"/>
    <w:rPr>
      <w:b/>
      <w:bCs/>
      <w:i/>
      <w:iCs/>
      <w:color w:val="4F81BD" w:themeColor="accent1"/>
    </w:rPr>
  </w:style>
  <w:style w:type="character" w:styleId="SubtleReference">
    <w:name w:val="Subtle Reference"/>
    <w:basedOn w:val="DefaultParagraphFont"/>
    <w:uiPriority w:val="31"/>
    <w:qFormat/>
    <w:rsid w:val="00847E7A"/>
    <w:rPr>
      <w:smallCaps/>
      <w:color w:val="C0504D" w:themeColor="accent2"/>
      <w:u w:val="single"/>
    </w:rPr>
  </w:style>
  <w:style w:type="character" w:styleId="IntenseReference">
    <w:name w:val="Intense Reference"/>
    <w:basedOn w:val="DefaultParagraphFont"/>
    <w:uiPriority w:val="32"/>
    <w:qFormat/>
    <w:rsid w:val="00847E7A"/>
    <w:rPr>
      <w:b/>
      <w:bCs/>
      <w:smallCaps/>
      <w:color w:val="C0504D" w:themeColor="accent2"/>
      <w:spacing w:val="5"/>
      <w:u w:val="single"/>
    </w:rPr>
  </w:style>
  <w:style w:type="character" w:styleId="BookTitle">
    <w:name w:val="Book Title"/>
    <w:basedOn w:val="DefaultParagraphFont"/>
    <w:uiPriority w:val="33"/>
    <w:qFormat/>
    <w:rsid w:val="00847E7A"/>
    <w:rPr>
      <w:b/>
      <w:bCs/>
      <w:smallCaps/>
      <w:spacing w:val="5"/>
    </w:rPr>
  </w:style>
  <w:style w:type="paragraph" w:styleId="TOCHeading">
    <w:name w:val="TOC Heading"/>
    <w:basedOn w:val="Heading1"/>
    <w:next w:val="Normal"/>
    <w:uiPriority w:val="39"/>
    <w:semiHidden/>
    <w:unhideWhenUsed/>
    <w:qFormat/>
    <w:rsid w:val="00847E7A"/>
    <w:pPr>
      <w:numPr>
        <w:numId w:val="0"/>
      </w:numPr>
      <w:outlineLvl w:val="9"/>
    </w:pPr>
  </w:style>
  <w:style w:type="paragraph" w:customStyle="1" w:styleId="AC">
    <w:name w:val="AC"/>
    <w:basedOn w:val="NormalWeb"/>
    <w:link w:val="ACChar"/>
    <w:rsid w:val="00847E7A"/>
    <w:pPr>
      <w:shd w:val="clear" w:color="auto" w:fill="FFFFFF"/>
      <w:spacing w:after="240" w:line="300" w:lineRule="atLeast"/>
      <w:ind w:firstLine="270"/>
      <w:jc w:val="both"/>
      <w:textAlignment w:val="baseline"/>
    </w:pPr>
    <w:rPr>
      <w:rFonts w:eastAsia="Times New Roman" w:cstheme="minorHAnsi"/>
      <w:color w:val="auto"/>
    </w:rPr>
  </w:style>
  <w:style w:type="character" w:customStyle="1" w:styleId="ACChar">
    <w:name w:val="AC Char"/>
    <w:basedOn w:val="DefaultParagraphFont"/>
    <w:link w:val="AC"/>
    <w:rsid w:val="00847E7A"/>
    <w:rPr>
      <w:rFonts w:cstheme="minorHAnsi"/>
      <w:sz w:val="24"/>
      <w:szCs w:val="24"/>
      <w:shd w:val="clear" w:color="auto" w:fill="FFFFFF"/>
    </w:rPr>
  </w:style>
  <w:style w:type="paragraph" w:styleId="TOC1">
    <w:name w:val="toc 1"/>
    <w:basedOn w:val="Normal"/>
    <w:next w:val="Normal"/>
    <w:autoRedefine/>
    <w:uiPriority w:val="39"/>
    <w:unhideWhenUsed/>
    <w:qFormat/>
    <w:locked/>
    <w:rsid w:val="00847E7A"/>
    <w:pPr>
      <w:spacing w:after="100"/>
      <w:ind w:firstLine="270"/>
      <w:jc w:val="both"/>
    </w:pPr>
    <w:rPr>
      <w:rFonts w:asciiTheme="minorHAnsi" w:eastAsiaTheme="minorHAnsi" w:hAnsiTheme="minorHAnsi" w:cstheme="minorBidi"/>
      <w:color w:val="auto"/>
      <w:szCs w:val="22"/>
      <w:lang w:bidi="en-US"/>
    </w:rPr>
  </w:style>
  <w:style w:type="paragraph" w:styleId="TOC2">
    <w:name w:val="toc 2"/>
    <w:basedOn w:val="Normal"/>
    <w:next w:val="Normal"/>
    <w:autoRedefine/>
    <w:uiPriority w:val="39"/>
    <w:unhideWhenUsed/>
    <w:qFormat/>
    <w:locked/>
    <w:rsid w:val="00847E7A"/>
    <w:pPr>
      <w:spacing w:after="100"/>
      <w:ind w:left="220" w:firstLine="270"/>
      <w:jc w:val="both"/>
    </w:pPr>
    <w:rPr>
      <w:rFonts w:asciiTheme="minorHAnsi" w:eastAsiaTheme="minorHAnsi" w:hAnsiTheme="minorHAnsi" w:cstheme="minorBidi"/>
      <w:color w:val="auto"/>
      <w:szCs w:val="22"/>
      <w:lang w:bidi="en-US"/>
    </w:rPr>
  </w:style>
  <w:style w:type="paragraph" w:styleId="TOC3">
    <w:name w:val="toc 3"/>
    <w:basedOn w:val="Normal"/>
    <w:next w:val="Normal"/>
    <w:autoRedefine/>
    <w:uiPriority w:val="39"/>
    <w:unhideWhenUsed/>
    <w:qFormat/>
    <w:locked/>
    <w:rsid w:val="00847E7A"/>
    <w:pPr>
      <w:spacing w:after="100"/>
      <w:ind w:left="440" w:firstLine="270"/>
      <w:jc w:val="both"/>
    </w:pPr>
    <w:rPr>
      <w:rFonts w:asciiTheme="minorHAnsi" w:eastAsiaTheme="minorHAnsi" w:hAnsiTheme="minorHAnsi" w:cstheme="minorBidi"/>
      <w:color w:val="auto"/>
      <w:szCs w:val="22"/>
      <w:lang w:bidi="en-US"/>
    </w:rPr>
  </w:style>
  <w:style w:type="paragraph" w:styleId="Header">
    <w:name w:val="header"/>
    <w:basedOn w:val="Normal"/>
    <w:link w:val="HeaderChar"/>
    <w:uiPriority w:val="99"/>
    <w:unhideWhenUsed/>
    <w:locked/>
    <w:rsid w:val="00847E7A"/>
    <w:pPr>
      <w:tabs>
        <w:tab w:val="center" w:pos="4680"/>
        <w:tab w:val="right" w:pos="9360"/>
      </w:tabs>
      <w:spacing w:after="0" w:line="240" w:lineRule="auto"/>
      <w:ind w:firstLine="270"/>
      <w:jc w:val="both"/>
    </w:pPr>
    <w:rPr>
      <w:rFonts w:asciiTheme="minorHAnsi" w:eastAsiaTheme="minorHAnsi" w:hAnsiTheme="minorHAnsi" w:cstheme="minorBidi"/>
      <w:color w:val="auto"/>
      <w:szCs w:val="22"/>
      <w:lang w:bidi="en-US"/>
    </w:rPr>
  </w:style>
  <w:style w:type="character" w:customStyle="1" w:styleId="HeaderChar">
    <w:name w:val="Header Char"/>
    <w:basedOn w:val="DefaultParagraphFont"/>
    <w:link w:val="Header"/>
    <w:uiPriority w:val="99"/>
    <w:rsid w:val="00847E7A"/>
    <w:rPr>
      <w:rFonts w:asciiTheme="minorHAnsi" w:eastAsiaTheme="minorHAnsi" w:hAnsiTheme="minorHAnsi" w:cstheme="minorBidi"/>
      <w:sz w:val="22"/>
      <w:szCs w:val="22"/>
      <w:lang w:bidi="en-US"/>
    </w:rPr>
  </w:style>
  <w:style w:type="paragraph" w:styleId="Footer">
    <w:name w:val="footer"/>
    <w:basedOn w:val="Normal"/>
    <w:link w:val="FooterChar"/>
    <w:uiPriority w:val="99"/>
    <w:unhideWhenUsed/>
    <w:locked/>
    <w:rsid w:val="00847E7A"/>
    <w:pPr>
      <w:tabs>
        <w:tab w:val="center" w:pos="4680"/>
        <w:tab w:val="right" w:pos="9360"/>
      </w:tabs>
      <w:spacing w:after="0" w:line="240" w:lineRule="auto"/>
      <w:ind w:firstLine="270"/>
      <w:jc w:val="both"/>
    </w:pPr>
    <w:rPr>
      <w:rFonts w:asciiTheme="minorHAnsi" w:eastAsiaTheme="minorHAnsi" w:hAnsiTheme="minorHAnsi" w:cstheme="minorBidi"/>
      <w:color w:val="auto"/>
      <w:szCs w:val="22"/>
      <w:lang w:bidi="en-US"/>
    </w:rPr>
  </w:style>
  <w:style w:type="character" w:customStyle="1" w:styleId="FooterChar">
    <w:name w:val="Footer Char"/>
    <w:basedOn w:val="DefaultParagraphFont"/>
    <w:link w:val="Footer"/>
    <w:uiPriority w:val="99"/>
    <w:rsid w:val="00847E7A"/>
    <w:rPr>
      <w:rFonts w:asciiTheme="minorHAnsi" w:eastAsiaTheme="minorHAnsi" w:hAnsiTheme="minorHAnsi" w:cstheme="minorBidi"/>
      <w:sz w:val="22"/>
      <w:szCs w:val="22"/>
      <w:lang w:bidi="en-US"/>
    </w:rPr>
  </w:style>
  <w:style w:type="character" w:styleId="FollowedHyperlink">
    <w:name w:val="FollowedHyperlink"/>
    <w:basedOn w:val="DefaultParagraphFont"/>
    <w:uiPriority w:val="99"/>
    <w:unhideWhenUsed/>
    <w:locked/>
    <w:rsid w:val="00847E7A"/>
    <w:rPr>
      <w:color w:val="800080" w:themeColor="followedHyperlink"/>
      <w:u w:val="single"/>
    </w:rPr>
  </w:style>
  <w:style w:type="table" w:styleId="LightList-Accent1">
    <w:name w:val="Light List Accent 1"/>
    <w:basedOn w:val="TableNormal"/>
    <w:uiPriority w:val="61"/>
    <w:rsid w:val="00847E7A"/>
    <w:rPr>
      <w:rFonts w:asciiTheme="minorHAnsi" w:eastAsiaTheme="minorHAnsi" w:hAnsiTheme="minorHAnsi" w:cstheme="minorBidi"/>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unhideWhenUsed/>
    <w:locked/>
    <w:rsid w:val="00847E7A"/>
    <w:pPr>
      <w:spacing w:before="200" w:after="120"/>
      <w:jc w:val="both"/>
    </w:pPr>
    <w:rPr>
      <w:rFonts w:asciiTheme="minorHAnsi" w:eastAsiaTheme="minorEastAsia" w:hAnsiTheme="minorHAnsi" w:cstheme="minorBidi"/>
      <w:color w:val="auto"/>
      <w:sz w:val="24"/>
      <w:szCs w:val="20"/>
      <w:lang w:bidi="en-US"/>
    </w:rPr>
  </w:style>
  <w:style w:type="character" w:customStyle="1" w:styleId="BodyTextChar">
    <w:name w:val="Body Text Char"/>
    <w:basedOn w:val="DefaultParagraphFont"/>
    <w:link w:val="BodyText"/>
    <w:uiPriority w:val="99"/>
    <w:rsid w:val="00847E7A"/>
    <w:rPr>
      <w:rFonts w:asciiTheme="minorHAnsi" w:eastAsiaTheme="minorEastAsia" w:hAnsiTheme="minorHAnsi" w:cstheme="minorBidi"/>
      <w:sz w:val="24"/>
      <w:lang w:bidi="en-US"/>
    </w:rPr>
  </w:style>
  <w:style w:type="paragraph" w:customStyle="1" w:styleId="Default">
    <w:name w:val="Default"/>
    <w:rsid w:val="00847E7A"/>
    <w:pPr>
      <w:autoSpaceDE w:val="0"/>
      <w:autoSpaceDN w:val="0"/>
      <w:adjustRightInd w:val="0"/>
    </w:pPr>
    <w:rPr>
      <w:rFonts w:ascii="Gill Sans MT" w:eastAsiaTheme="minorHAnsi"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tsd.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ec.europa.eu/trade" TargetMode="Externa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trade.ec.europa.eu/doclib/docs/2014/july/tradoc_152694.pdf" TargetMode="Externa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cdpm.org" TargetMode="Externa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mailto:jvonuexkull@worldbank.org" TargetMode="External"/><Relationship Id="rId1" Type="http://schemas.openxmlformats.org/officeDocument/2006/relationships/hyperlink" Target="mailto:acoste@worldbank.org"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130071769197882"/>
          <c:y val="9.9616858237547942E-2"/>
          <c:w val="0.48047677138949213"/>
          <c:h val="0.75699822005008044"/>
        </c:manualLayout>
      </c:layout>
      <c:barChart>
        <c:barDir val="bar"/>
        <c:grouping val="clustered"/>
        <c:varyColors val="0"/>
        <c:ser>
          <c:idx val="4"/>
          <c:order val="0"/>
          <c:tx>
            <c:strRef>
              <c:f>'New household effects 2'!$N$104</c:f>
              <c:strCache>
                <c:ptCount val="1"/>
                <c:pt idx="0">
                  <c:v>EPA (net effect)</c:v>
                </c:pt>
              </c:strCache>
            </c:strRef>
          </c:tx>
          <c:spPr>
            <a:pattFill prst="narVert">
              <a:fgClr>
                <a:schemeClr val="accent2"/>
              </a:fgClr>
              <a:bgClr>
                <a:schemeClr val="bg1"/>
              </a:bgClr>
            </a:pattFill>
            <a:ln>
              <a:solidFill>
                <a:sysClr val="windowText" lastClr="000000"/>
              </a:solidFill>
            </a:ln>
          </c:spPr>
          <c:invertIfNegative val="0"/>
          <c:cat>
            <c:strRef>
              <c:f>'C:\Users\wb404167\Box Sync\My documents\CET and EPA\Policy note CET-EPA\[rawdata Nigeria EPA analysis presentation FINAL May 6.xlsx]NEW household effects'!$O$2:$S$2</c:f>
              <c:strCache>
                <c:ptCount val="5"/>
                <c:pt idx="0">
                  <c:v>1st quintile</c:v>
                </c:pt>
                <c:pt idx="1">
                  <c:v>2nd quintile</c:v>
                </c:pt>
                <c:pt idx="2">
                  <c:v>3rd quintile</c:v>
                </c:pt>
                <c:pt idx="3">
                  <c:v>4th quintile</c:v>
                </c:pt>
                <c:pt idx="4">
                  <c:v>5th quintile</c:v>
                </c:pt>
              </c:strCache>
            </c:strRef>
          </c:cat>
          <c:val>
            <c:numRef>
              <c:f>'New household effects 2'!$O$104:$S$104</c:f>
              <c:numCache>
                <c:formatCode>0.0%</c:formatCode>
                <c:ptCount val="5"/>
                <c:pt idx="0">
                  <c:v>-2.627947416493638E-3</c:v>
                </c:pt>
                <c:pt idx="1">
                  <c:v>-2.6222180423782779E-3</c:v>
                </c:pt>
                <c:pt idx="2">
                  <c:v>-2.6618255175855383E-3</c:v>
                </c:pt>
                <c:pt idx="3">
                  <c:v>-2.7436128432783997E-3</c:v>
                </c:pt>
                <c:pt idx="4">
                  <c:v>-2.9918446296666179E-3</c:v>
                </c:pt>
              </c:numCache>
            </c:numRef>
          </c:val>
        </c:ser>
        <c:ser>
          <c:idx val="0"/>
          <c:order val="1"/>
          <c:tx>
            <c:strRef>
              <c:f>'New household effects 2'!$N$100</c:f>
              <c:strCache>
                <c:ptCount val="1"/>
                <c:pt idx="0">
                  <c:v>CET</c:v>
                </c:pt>
              </c:strCache>
            </c:strRef>
          </c:tx>
          <c:spPr>
            <a:pattFill prst="dkUpDiag">
              <a:fgClr>
                <a:schemeClr val="accent1">
                  <a:lumMod val="60000"/>
                  <a:lumOff val="40000"/>
                </a:schemeClr>
              </a:fgClr>
              <a:bgClr>
                <a:schemeClr val="bg1"/>
              </a:bgClr>
            </a:pattFill>
            <a:ln>
              <a:solidFill>
                <a:sysClr val="windowText" lastClr="000000"/>
              </a:solidFill>
            </a:ln>
          </c:spPr>
          <c:invertIfNegative val="0"/>
          <c:cat>
            <c:strRef>
              <c:f>'C:\Users\wb404167\Box Sync\My documents\CET and EPA\Policy note CET-EPA\[rawdata Nigeria EPA analysis presentation FINAL May 6.xlsx]NEW household effects'!$O$2:$S$2</c:f>
              <c:strCache>
                <c:ptCount val="5"/>
                <c:pt idx="0">
                  <c:v>1st quintile</c:v>
                </c:pt>
                <c:pt idx="1">
                  <c:v>2nd quintile</c:v>
                </c:pt>
                <c:pt idx="2">
                  <c:v>3rd quintile</c:v>
                </c:pt>
                <c:pt idx="3">
                  <c:v>4th quintile</c:v>
                </c:pt>
                <c:pt idx="4">
                  <c:v>5th quintile</c:v>
                </c:pt>
              </c:strCache>
            </c:strRef>
          </c:cat>
          <c:val>
            <c:numRef>
              <c:f>'New household effects 2'!$O$100:$S$100</c:f>
              <c:numCache>
                <c:formatCode>0.0%</c:formatCode>
                <c:ptCount val="5"/>
                <c:pt idx="0">
                  <c:v>-2.4016173241117593E-2</c:v>
                </c:pt>
                <c:pt idx="1">
                  <c:v>-2.5924986658317661E-2</c:v>
                </c:pt>
                <c:pt idx="2">
                  <c:v>-2.7278410800119075E-2</c:v>
                </c:pt>
                <c:pt idx="3">
                  <c:v>-2.3240306438260149E-2</c:v>
                </c:pt>
                <c:pt idx="4">
                  <c:v>-2.3673993515408009E-2</c:v>
                </c:pt>
              </c:numCache>
            </c:numRef>
          </c:val>
        </c:ser>
        <c:dLbls>
          <c:showLegendKey val="0"/>
          <c:showVal val="0"/>
          <c:showCatName val="0"/>
          <c:showSerName val="0"/>
          <c:showPercent val="0"/>
          <c:showBubbleSize val="0"/>
        </c:dLbls>
        <c:gapWidth val="150"/>
        <c:axId val="424363672"/>
        <c:axId val="424364064"/>
      </c:barChart>
      <c:catAx>
        <c:axId val="424363672"/>
        <c:scaling>
          <c:orientation val="minMax"/>
        </c:scaling>
        <c:delete val="0"/>
        <c:axPos val="l"/>
        <c:numFmt formatCode="General" sourceLinked="0"/>
        <c:majorTickMark val="out"/>
        <c:minorTickMark val="none"/>
        <c:tickLblPos val="low"/>
        <c:spPr>
          <a:solidFill>
            <a:schemeClr val="bg1"/>
          </a:solidFill>
        </c:spPr>
        <c:crossAx val="424364064"/>
        <c:crosses val="autoZero"/>
        <c:auto val="1"/>
        <c:lblAlgn val="ctr"/>
        <c:lblOffset val="100"/>
        <c:noMultiLvlLbl val="0"/>
      </c:catAx>
      <c:valAx>
        <c:axId val="424364064"/>
        <c:scaling>
          <c:orientation val="minMax"/>
          <c:max val="0"/>
          <c:min val="-3.500000000000001E-2"/>
        </c:scaling>
        <c:delete val="0"/>
        <c:axPos val="b"/>
        <c:majorGridlines>
          <c:spPr>
            <a:ln>
              <a:solidFill>
                <a:sysClr val="window" lastClr="FFFFFF">
                  <a:lumMod val="85000"/>
                </a:sysClr>
              </a:solidFill>
            </a:ln>
          </c:spPr>
        </c:majorGridlines>
        <c:numFmt formatCode="0.0%" sourceLinked="1"/>
        <c:majorTickMark val="out"/>
        <c:minorTickMark val="none"/>
        <c:tickLblPos val="nextTo"/>
        <c:crossAx val="424363672"/>
        <c:crosses val="autoZero"/>
        <c:crossBetween val="between"/>
        <c:majorUnit val="1.0000000000000005E-2"/>
        <c:minorUnit val="2.0000000000000013E-3"/>
      </c:valAx>
    </c:plotArea>
    <c:legend>
      <c:legendPos val="r"/>
      <c:layout>
        <c:manualLayout>
          <c:xMode val="edge"/>
          <c:yMode val="edge"/>
          <c:x val="0.77178409036898599"/>
          <c:y val="0.35392162186623233"/>
          <c:w val="0.2255331463848709"/>
          <c:h val="0.29981959151657778"/>
        </c:manualLayout>
      </c:layout>
      <c:overlay val="1"/>
    </c:legend>
    <c:plotVisOnly val="1"/>
    <c:dispBlanksAs val="gap"/>
    <c:showDLblsOverMax val="0"/>
  </c:chart>
  <c:spPr>
    <a:ln>
      <a:noFill/>
    </a:ln>
  </c:spPr>
  <c:txPr>
    <a:bodyPr/>
    <a:lstStyle/>
    <a:p>
      <a:pPr>
        <a:defRPr>
          <a:latin typeface="Baskerville Old Face" pitchFamily="18" charset="0"/>
          <a:cs typeface="Arial" panose="020B0604020202020204" pitchFamily="34"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552204783925824E-2"/>
          <c:y val="0.10495047415555468"/>
          <c:w val="0.5237911366848379"/>
          <c:h val="0.76967778525171793"/>
        </c:manualLayout>
      </c:layout>
      <c:barChart>
        <c:barDir val="col"/>
        <c:grouping val="percentStacked"/>
        <c:varyColors val="0"/>
        <c:ser>
          <c:idx val="0"/>
          <c:order val="0"/>
          <c:tx>
            <c:strRef>
              <c:f>'firm level for combined note'!$A$3</c:f>
              <c:strCache>
                <c:ptCount val="1"/>
                <c:pt idx="0">
                  <c:v>Exporter</c:v>
                </c:pt>
              </c:strCache>
            </c:strRef>
          </c:tx>
          <c:spPr>
            <a:pattFill prst="narHorz">
              <a:fgClr>
                <a:srgbClr val="00B0F0"/>
              </a:fgClr>
              <a:bgClr>
                <a:schemeClr val="bg1"/>
              </a:bgClr>
            </a:pattFill>
            <a:ln>
              <a:solidFill>
                <a:sysClr val="windowText" lastClr="000000"/>
              </a:solidFill>
            </a:ln>
          </c:spPr>
          <c:invertIfNegative val="0"/>
          <c:dLbls>
            <c:spPr>
              <a:solidFill>
                <a:schemeClr val="bg1"/>
              </a:solidFill>
              <a:ln>
                <a:solidFill>
                  <a:sysClr val="windowText" lastClr="000000"/>
                </a:solid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'firm level for combined note'!$I$2:$J$2</c:f>
              <c:strCache>
                <c:ptCount val="2"/>
                <c:pt idx="0">
                  <c:v>CET</c:v>
                </c:pt>
                <c:pt idx="1">
                  <c:v>EPA (net effect)</c:v>
                </c:pt>
              </c:strCache>
            </c:strRef>
          </c:cat>
          <c:val>
            <c:numRef>
              <c:f>'firm level for combined note'!$I$3:$J$3</c:f>
              <c:numCache>
                <c:formatCode>0.0%</c:formatCode>
                <c:ptCount val="2"/>
                <c:pt idx="0">
                  <c:v>3.1726411207251753E-2</c:v>
                </c:pt>
                <c:pt idx="1">
                  <c:v>3.1726411207251753E-2</c:v>
                </c:pt>
              </c:numCache>
            </c:numRef>
          </c:val>
        </c:ser>
        <c:ser>
          <c:idx val="1"/>
          <c:order val="1"/>
          <c:tx>
            <c:strRef>
              <c:f>'firm level for combined note'!$A$4</c:f>
              <c:strCache>
                <c:ptCount val="1"/>
                <c:pt idx="0">
                  <c:v>Profit increases</c:v>
                </c:pt>
              </c:strCache>
            </c:strRef>
          </c:tx>
          <c:spPr>
            <a:pattFill prst="dkUpDiag">
              <a:fgClr>
                <a:srgbClr val="00B050"/>
              </a:fgClr>
              <a:bgClr>
                <a:schemeClr val="bg1"/>
              </a:bgClr>
            </a:pattFill>
            <a:ln>
              <a:solidFill>
                <a:sysClr val="windowText" lastClr="000000"/>
              </a:solidFill>
            </a:ln>
          </c:spPr>
          <c:invertIfNegative val="0"/>
          <c:dLbls>
            <c:spPr>
              <a:solidFill>
                <a:schemeClr val="bg1"/>
              </a:solidFill>
              <a:ln>
                <a:solidFill>
                  <a:sysClr val="windowText" lastClr="000000"/>
                </a:solid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'firm level for combined note'!$I$2:$J$2</c:f>
              <c:strCache>
                <c:ptCount val="2"/>
                <c:pt idx="0">
                  <c:v>CET</c:v>
                </c:pt>
                <c:pt idx="1">
                  <c:v>EPA (net effect)</c:v>
                </c:pt>
              </c:strCache>
            </c:strRef>
          </c:cat>
          <c:val>
            <c:numRef>
              <c:f>'firm level for combined note'!$I$4:$J$4</c:f>
              <c:numCache>
                <c:formatCode>0.0%</c:formatCode>
                <c:ptCount val="2"/>
                <c:pt idx="0">
                  <c:v>0.51545117428924581</c:v>
                </c:pt>
                <c:pt idx="1">
                  <c:v>0.6295838483724765</c:v>
                </c:pt>
              </c:numCache>
            </c:numRef>
          </c:val>
        </c:ser>
        <c:ser>
          <c:idx val="2"/>
          <c:order val="2"/>
          <c:tx>
            <c:strRef>
              <c:f>'firm level for combined note'!$A$5</c:f>
              <c:strCache>
                <c:ptCount val="1"/>
                <c:pt idx="0">
                  <c:v>Profit decreases, still profitable</c:v>
                </c:pt>
              </c:strCache>
            </c:strRef>
          </c:tx>
          <c:spPr>
            <a:pattFill prst="dkDnDiag">
              <a:fgClr>
                <a:srgbClr val="FFC000"/>
              </a:fgClr>
              <a:bgClr>
                <a:sysClr val="window" lastClr="FFFFFF"/>
              </a:bgClr>
            </a:pattFill>
            <a:ln>
              <a:solidFill>
                <a:sysClr val="windowText" lastClr="000000"/>
              </a:solidFill>
            </a:ln>
          </c:spPr>
          <c:invertIfNegative val="0"/>
          <c:dLbls>
            <c:spPr>
              <a:solidFill>
                <a:schemeClr val="bg1"/>
              </a:solidFill>
              <a:ln>
                <a:solidFill>
                  <a:sysClr val="windowText" lastClr="000000"/>
                </a:solid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'firm level for combined note'!$I$2:$J$2</c:f>
              <c:strCache>
                <c:ptCount val="2"/>
                <c:pt idx="0">
                  <c:v>CET</c:v>
                </c:pt>
                <c:pt idx="1">
                  <c:v>EPA (net effect)</c:v>
                </c:pt>
              </c:strCache>
            </c:strRef>
          </c:cat>
          <c:val>
            <c:numRef>
              <c:f>'firm level for combined note'!$I$5:$J$5</c:f>
              <c:numCache>
                <c:formatCode>0.0%</c:formatCode>
                <c:ptCount val="2"/>
                <c:pt idx="0">
                  <c:v>0.32344458178821611</c:v>
                </c:pt>
                <c:pt idx="1">
                  <c:v>0.3106716110424394</c:v>
                </c:pt>
              </c:numCache>
            </c:numRef>
          </c:val>
        </c:ser>
        <c:ser>
          <c:idx val="3"/>
          <c:order val="3"/>
          <c:tx>
            <c:strRef>
              <c:f>'firm level for combined note'!$A$6</c:f>
              <c:strCache>
                <c:ptCount val="1"/>
                <c:pt idx="0">
                  <c:v>Profit decreases, no longer profitable</c:v>
                </c:pt>
              </c:strCache>
            </c:strRef>
          </c:tx>
          <c:spPr>
            <a:pattFill prst="narVert">
              <a:fgClr>
                <a:srgbClr val="FF0000"/>
              </a:fgClr>
              <a:bgClr>
                <a:schemeClr val="bg1"/>
              </a:bgClr>
            </a:pattFill>
            <a:ln>
              <a:solidFill>
                <a:sysClr val="windowText" lastClr="000000"/>
              </a:solidFill>
            </a:ln>
          </c:spPr>
          <c:invertIfNegative val="0"/>
          <c:dLbls>
            <c:spPr>
              <a:solidFill>
                <a:schemeClr val="bg1"/>
              </a:solidFill>
              <a:ln>
                <a:solidFill>
                  <a:sysClr val="windowText" lastClr="000000"/>
                </a:solid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'firm level for combined note'!$I$2:$J$2</c:f>
              <c:strCache>
                <c:ptCount val="2"/>
                <c:pt idx="0">
                  <c:v>CET</c:v>
                </c:pt>
                <c:pt idx="1">
                  <c:v>EPA (net effect)</c:v>
                </c:pt>
              </c:strCache>
            </c:strRef>
          </c:cat>
          <c:val>
            <c:numRef>
              <c:f>'firm level for combined note'!$I$6:$J$6</c:f>
              <c:numCache>
                <c:formatCode>0.0%</c:formatCode>
                <c:ptCount val="2"/>
                <c:pt idx="0">
                  <c:v>0.10177173465183358</c:v>
                </c:pt>
                <c:pt idx="1">
                  <c:v>4.5323444581788237E-3</c:v>
                </c:pt>
              </c:numCache>
            </c:numRef>
          </c:val>
        </c:ser>
        <c:ser>
          <c:idx val="4"/>
          <c:order val="4"/>
          <c:tx>
            <c:strRef>
              <c:f>'firm level for combined note'!$A$7</c:f>
              <c:strCache>
                <c:ptCount val="1"/>
                <c:pt idx="0">
                  <c:v>Never profitable</c:v>
                </c:pt>
              </c:strCache>
            </c:strRef>
          </c:tx>
          <c:spPr>
            <a:pattFill prst="pct30">
              <a:fgClr>
                <a:schemeClr val="tx1">
                  <a:lumMod val="50000"/>
                  <a:lumOff val="50000"/>
                </a:schemeClr>
              </a:fgClr>
              <a:bgClr>
                <a:schemeClr val="bg1"/>
              </a:bgClr>
            </a:pattFill>
            <a:ln>
              <a:solidFill>
                <a:sysClr val="windowText" lastClr="000000"/>
              </a:solidFill>
            </a:ln>
          </c:spPr>
          <c:invertIfNegative val="0"/>
          <c:cat>
            <c:strRef>
              <c:f>'firm level for combined note'!$I$2:$J$2</c:f>
              <c:strCache>
                <c:ptCount val="2"/>
                <c:pt idx="0">
                  <c:v>CET</c:v>
                </c:pt>
                <c:pt idx="1">
                  <c:v>EPA (net effect)</c:v>
                </c:pt>
              </c:strCache>
            </c:strRef>
          </c:cat>
          <c:val>
            <c:numRef>
              <c:f>'firm level for combined note'!$I$7:$J$7</c:f>
              <c:numCache>
                <c:formatCode>0.0%</c:formatCode>
                <c:ptCount val="2"/>
                <c:pt idx="0">
                  <c:v>2.7606098063452829E-2</c:v>
                </c:pt>
                <c:pt idx="1">
                  <c:v>2.3485784919653894E-2</c:v>
                </c:pt>
              </c:numCache>
            </c:numRef>
          </c:val>
        </c:ser>
        <c:dLbls>
          <c:showLegendKey val="0"/>
          <c:showVal val="0"/>
          <c:showCatName val="0"/>
          <c:showSerName val="0"/>
          <c:showPercent val="0"/>
          <c:showBubbleSize val="0"/>
        </c:dLbls>
        <c:gapWidth val="150"/>
        <c:overlap val="100"/>
        <c:axId val="424364848"/>
        <c:axId val="425531528"/>
      </c:barChart>
      <c:catAx>
        <c:axId val="424364848"/>
        <c:scaling>
          <c:orientation val="minMax"/>
        </c:scaling>
        <c:delete val="0"/>
        <c:axPos val="b"/>
        <c:numFmt formatCode="General" sourceLinked="0"/>
        <c:majorTickMark val="out"/>
        <c:minorTickMark val="none"/>
        <c:tickLblPos val="nextTo"/>
        <c:crossAx val="425531528"/>
        <c:crosses val="autoZero"/>
        <c:auto val="1"/>
        <c:lblAlgn val="ctr"/>
        <c:lblOffset val="100"/>
        <c:noMultiLvlLbl val="0"/>
      </c:catAx>
      <c:valAx>
        <c:axId val="425531528"/>
        <c:scaling>
          <c:orientation val="minMax"/>
          <c:max val="1"/>
        </c:scaling>
        <c:delete val="0"/>
        <c:axPos val="l"/>
        <c:numFmt formatCode="0%" sourceLinked="1"/>
        <c:majorTickMark val="out"/>
        <c:minorTickMark val="none"/>
        <c:tickLblPos val="nextTo"/>
        <c:crossAx val="424364848"/>
        <c:crosses val="autoZero"/>
        <c:crossBetween val="between"/>
        <c:majorUnit val="0.2"/>
      </c:valAx>
    </c:plotArea>
    <c:legend>
      <c:legendPos val="r"/>
      <c:layout>
        <c:manualLayout>
          <c:xMode val="edge"/>
          <c:yMode val="edge"/>
          <c:x val="0.60464920250353404"/>
          <c:y val="0.14209488874131704"/>
          <c:w val="0.38178359916548915"/>
          <c:h val="0.63441039749549388"/>
        </c:manualLayout>
      </c:layout>
      <c:overlay val="1"/>
    </c:legend>
    <c:plotVisOnly val="1"/>
    <c:dispBlanksAs val="gap"/>
    <c:showDLblsOverMax val="0"/>
  </c:chart>
  <c:spPr>
    <a:ln>
      <a:noFill/>
    </a:ln>
  </c:spPr>
  <c:txPr>
    <a:bodyPr/>
    <a:lstStyle/>
    <a:p>
      <a:pPr>
        <a:defRPr>
          <a:latin typeface="Baskerville Old Face" pitchFamily="18" charset="0"/>
          <a:cs typeface="Arial" panose="020B060402020202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23433340790237"/>
          <c:y val="7.7772044451890343E-2"/>
          <c:w val="0.59100202664540369"/>
          <c:h val="0.76719182442620226"/>
        </c:manualLayout>
      </c:layout>
      <c:barChart>
        <c:barDir val="col"/>
        <c:grouping val="stacked"/>
        <c:varyColors val="0"/>
        <c:ser>
          <c:idx val="0"/>
          <c:order val="0"/>
          <c:tx>
            <c:strRef>
              <c:f>'firm level for combined note'!$A$20</c:f>
              <c:strCache>
                <c:ptCount val="1"/>
                <c:pt idx="0">
                  <c:v>Change in output price</c:v>
                </c:pt>
              </c:strCache>
            </c:strRef>
          </c:tx>
          <c:spPr>
            <a:pattFill prst="narHorz">
              <a:fgClr>
                <a:schemeClr val="accent6">
                  <a:lumMod val="75000"/>
                </a:schemeClr>
              </a:fgClr>
              <a:bgClr>
                <a:schemeClr val="bg1"/>
              </a:bgClr>
            </a:pattFill>
            <a:ln>
              <a:solidFill>
                <a:sysClr val="windowText" lastClr="000000"/>
              </a:solidFill>
            </a:ln>
          </c:spPr>
          <c:invertIfNegative val="0"/>
          <c:dLbls>
            <c:dLbl>
              <c:idx val="0"/>
              <c:layout>
                <c:manualLayout>
                  <c:x val="2.0171457387796279E-3"/>
                  <c:y val="1.7021276595744678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solidFill>
                <a:schemeClr val="bg1"/>
              </a:solidFill>
              <a:ln>
                <a:solidFill>
                  <a:sysClr val="windowText" lastClr="000000"/>
                </a:solid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'firm level for combined note'!$B$18:$E$18</c:f>
              <c:strCache>
                <c:ptCount val="4"/>
                <c:pt idx="0">
                  <c:v>CET</c:v>
                </c:pt>
                <c:pt idx="1">
                  <c:v>EPA (net effect)</c:v>
                </c:pt>
                <c:pt idx="2">
                  <c:v>50% fewer power outages</c:v>
                </c:pt>
                <c:pt idx="3">
                  <c:v>50% lower transport costs</c:v>
                </c:pt>
              </c:strCache>
            </c:strRef>
          </c:cat>
          <c:val>
            <c:numRef>
              <c:f>'firm level for combined note'!$B$20:$E$20</c:f>
              <c:numCache>
                <c:formatCode>0.00%</c:formatCode>
                <c:ptCount val="4"/>
                <c:pt idx="0">
                  <c:v>-8.893300000000005E-3</c:v>
                </c:pt>
                <c:pt idx="1">
                  <c:v>-4.0444000000000001E-3</c:v>
                </c:pt>
              </c:numCache>
            </c:numRef>
          </c:val>
        </c:ser>
        <c:ser>
          <c:idx val="1"/>
          <c:order val="1"/>
          <c:tx>
            <c:strRef>
              <c:f>'firm level for combined note'!$A$21</c:f>
              <c:strCache>
                <c:ptCount val="1"/>
                <c:pt idx="0">
                  <c:v>Change in input prices</c:v>
                </c:pt>
              </c:strCache>
            </c:strRef>
          </c:tx>
          <c:spPr>
            <a:pattFill prst="dkDnDiag">
              <a:fgClr>
                <a:srgbClr val="00B0F0"/>
              </a:fgClr>
              <a:bgClr>
                <a:schemeClr val="bg1"/>
              </a:bgClr>
            </a:pattFill>
            <a:ln>
              <a:solidFill>
                <a:sysClr val="windowText" lastClr="000000"/>
              </a:solidFill>
            </a:ln>
          </c:spPr>
          <c:invertIfNegative val="0"/>
          <c:dLbls>
            <c:dLbl>
              <c:idx val="0"/>
              <c:layout>
                <c:manualLayout>
                  <c:x val="7.6063865693036504E-4"/>
                  <c:y val="3.9649299156754355E-3"/>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solidFill>
                <a:schemeClr val="bg1"/>
              </a:solidFill>
              <a:ln>
                <a:solidFill>
                  <a:sysClr val="windowText" lastClr="000000"/>
                </a:solid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'firm level for combined note'!$B$18:$E$18</c:f>
              <c:strCache>
                <c:ptCount val="4"/>
                <c:pt idx="0">
                  <c:v>CET</c:v>
                </c:pt>
                <c:pt idx="1">
                  <c:v>EPA (net effect)</c:v>
                </c:pt>
                <c:pt idx="2">
                  <c:v>50% fewer power outages</c:v>
                </c:pt>
                <c:pt idx="3">
                  <c:v>50% lower transport costs</c:v>
                </c:pt>
              </c:strCache>
            </c:strRef>
          </c:cat>
          <c:val>
            <c:numRef>
              <c:f>'firm level for combined note'!$B$21:$E$21</c:f>
              <c:numCache>
                <c:formatCode>0.00%</c:formatCode>
                <c:ptCount val="4"/>
                <c:pt idx="0">
                  <c:v>1.00304E-2</c:v>
                </c:pt>
                <c:pt idx="1">
                  <c:v>9.4486000000000049E-3</c:v>
                </c:pt>
              </c:numCache>
            </c:numRef>
          </c:val>
        </c:ser>
        <c:ser>
          <c:idx val="2"/>
          <c:order val="2"/>
          <c:tx>
            <c:strRef>
              <c:f>'firm level for combined note'!$A$22</c:f>
              <c:strCache>
                <c:ptCount val="1"/>
                <c:pt idx="0">
                  <c:v>Change in capital goods prices</c:v>
                </c:pt>
              </c:strCache>
            </c:strRef>
          </c:tx>
          <c:spPr>
            <a:pattFill prst="narVert">
              <a:fgClr>
                <a:srgbClr val="7030A0"/>
              </a:fgClr>
              <a:bgClr>
                <a:schemeClr val="bg1"/>
              </a:bgClr>
            </a:pattFill>
            <a:ln>
              <a:solidFill>
                <a:sysClr val="windowText" lastClr="000000"/>
              </a:solidFill>
            </a:ln>
          </c:spPr>
          <c:invertIfNegative val="0"/>
          <c:dLbls>
            <c:numFmt formatCode="0.0%" sourceLinked="0"/>
            <c:spPr>
              <a:solidFill>
                <a:schemeClr val="bg1"/>
              </a:solidFill>
              <a:ln>
                <a:solidFill>
                  <a:sysClr val="windowText" lastClr="000000"/>
                </a:solid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'firm level for combined note'!$B$18:$E$18</c:f>
              <c:strCache>
                <c:ptCount val="4"/>
                <c:pt idx="0">
                  <c:v>CET</c:v>
                </c:pt>
                <c:pt idx="1">
                  <c:v>EPA (net effect)</c:v>
                </c:pt>
                <c:pt idx="2">
                  <c:v>50% fewer power outages</c:v>
                </c:pt>
                <c:pt idx="3">
                  <c:v>50% lower transport costs</c:v>
                </c:pt>
              </c:strCache>
            </c:strRef>
          </c:cat>
          <c:val>
            <c:numRef>
              <c:f>'firm level for combined note'!$B$22:$E$22</c:f>
              <c:numCache>
                <c:formatCode>0.00%</c:formatCode>
                <c:ptCount val="4"/>
                <c:pt idx="0">
                  <c:v>-1.8450000000000009E-4</c:v>
                </c:pt>
                <c:pt idx="1">
                  <c:v>8.8380000000000034E-4</c:v>
                </c:pt>
              </c:numCache>
            </c:numRef>
          </c:val>
        </c:ser>
        <c:ser>
          <c:idx val="3"/>
          <c:order val="3"/>
          <c:tx>
            <c:strRef>
              <c:f>'firm level for combined note'!$A$23</c:f>
              <c:strCache>
                <c:ptCount val="1"/>
                <c:pt idx="0">
                  <c:v>Accompanying competitiveness measures </c:v>
                </c:pt>
              </c:strCache>
            </c:strRef>
          </c:tx>
          <c:spPr>
            <a:pattFill prst="dkUpDiag">
              <a:fgClr>
                <a:srgbClr val="92D050"/>
              </a:fgClr>
              <a:bgClr>
                <a:schemeClr val="bg1"/>
              </a:bgClr>
            </a:pattFill>
            <a:ln>
              <a:solidFill>
                <a:sysClr val="windowText" lastClr="000000"/>
              </a:solidFill>
            </a:ln>
          </c:spPr>
          <c:invertIfNegative val="0"/>
          <c:dLbls>
            <c:numFmt formatCode="0.0%" sourceLinked="0"/>
            <c:spPr>
              <a:solidFill>
                <a:schemeClr val="bg1"/>
              </a:solidFill>
              <a:ln>
                <a:solidFill>
                  <a:sysClr val="windowText" lastClr="000000"/>
                </a:solid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'firm level for combined note'!$B$18:$E$18</c:f>
              <c:strCache>
                <c:ptCount val="4"/>
                <c:pt idx="0">
                  <c:v>CET</c:v>
                </c:pt>
                <c:pt idx="1">
                  <c:v>EPA (net effect)</c:v>
                </c:pt>
                <c:pt idx="2">
                  <c:v>50% fewer power outages</c:v>
                </c:pt>
                <c:pt idx="3">
                  <c:v>50% lower transport costs</c:v>
                </c:pt>
              </c:strCache>
            </c:strRef>
          </c:cat>
          <c:val>
            <c:numRef>
              <c:f>'firm level for combined note'!$B$23:$E$23</c:f>
              <c:numCache>
                <c:formatCode>General</c:formatCode>
                <c:ptCount val="4"/>
                <c:pt idx="2" formatCode="0.00%">
                  <c:v>3.3452099999999999E-2</c:v>
                </c:pt>
                <c:pt idx="3" formatCode="0.00%">
                  <c:v>1.3369000000000001E-2</c:v>
                </c:pt>
              </c:numCache>
            </c:numRef>
          </c:val>
        </c:ser>
        <c:dLbls>
          <c:showLegendKey val="0"/>
          <c:showVal val="0"/>
          <c:showCatName val="0"/>
          <c:showSerName val="0"/>
          <c:showPercent val="0"/>
          <c:showBubbleSize val="0"/>
        </c:dLbls>
        <c:gapWidth val="150"/>
        <c:overlap val="100"/>
        <c:axId val="425532312"/>
        <c:axId val="425532704"/>
      </c:barChart>
      <c:catAx>
        <c:axId val="425532312"/>
        <c:scaling>
          <c:orientation val="minMax"/>
        </c:scaling>
        <c:delete val="0"/>
        <c:axPos val="b"/>
        <c:numFmt formatCode="General" sourceLinked="0"/>
        <c:majorTickMark val="out"/>
        <c:minorTickMark val="none"/>
        <c:tickLblPos val="low"/>
        <c:crossAx val="425532704"/>
        <c:crosses val="autoZero"/>
        <c:auto val="1"/>
        <c:lblAlgn val="ctr"/>
        <c:lblOffset val="100"/>
        <c:noMultiLvlLbl val="0"/>
      </c:catAx>
      <c:valAx>
        <c:axId val="425532704"/>
        <c:scaling>
          <c:orientation val="minMax"/>
          <c:max val="3.500000000000001E-2"/>
          <c:min val="-1.0000000000000005E-2"/>
        </c:scaling>
        <c:delete val="0"/>
        <c:axPos val="l"/>
        <c:numFmt formatCode="0.0%" sourceLinked="0"/>
        <c:majorTickMark val="out"/>
        <c:minorTickMark val="none"/>
        <c:tickLblPos val="nextTo"/>
        <c:crossAx val="425532312"/>
        <c:crosses val="autoZero"/>
        <c:crossBetween val="between"/>
      </c:valAx>
    </c:plotArea>
    <c:legend>
      <c:legendPos val="r"/>
      <c:layout>
        <c:manualLayout>
          <c:xMode val="edge"/>
          <c:yMode val="edge"/>
          <c:x val="0.70831945552948128"/>
          <c:y val="0.14046380004968514"/>
          <c:w val="0.27957767003784156"/>
          <c:h val="0.66258470777572553"/>
        </c:manualLayout>
      </c:layout>
      <c:overlay val="0"/>
    </c:legend>
    <c:plotVisOnly val="1"/>
    <c:dispBlanksAs val="gap"/>
    <c:showDLblsOverMax val="0"/>
  </c:chart>
  <c:spPr>
    <a:ln>
      <a:noFill/>
    </a:ln>
  </c:spPr>
  <c:txPr>
    <a:bodyPr/>
    <a:lstStyle/>
    <a:p>
      <a:pPr>
        <a:defRPr sz="900">
          <a:latin typeface="Baskerville Old Face" pitchFamily="18" charset="0"/>
          <a:cs typeface="Arial" panose="020B0604020202020204" pitchFamily="34" charset="0"/>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0.02389</cdr:x>
      <cdr:y>0.22003</cdr:y>
    </cdr:from>
    <cdr:to>
      <cdr:x>0.11809</cdr:x>
      <cdr:y>0.9099</cdr:y>
    </cdr:to>
    <cdr:sp macro="" textlink="">
      <cdr:nvSpPr>
        <cdr:cNvPr id="2" name="TextBox 1"/>
        <cdr:cNvSpPr txBox="1"/>
      </cdr:nvSpPr>
      <cdr:spPr>
        <a:xfrm xmlns:a="http://schemas.openxmlformats.org/drawingml/2006/main" rot="16200000">
          <a:off x="-235636" y="713372"/>
          <a:ext cx="1143356" cy="4459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a:latin typeface="Arial" panose="020B0604020202020204" pitchFamily="34" charset="0"/>
              <a:cs typeface="Arial" panose="020B0604020202020204" pitchFamily="34" charset="0"/>
            </a:rPr>
            <a:t>Poorest </a:t>
          </a:r>
          <a:r>
            <a:rPr lang="en-US" sz="1000" baseline="0">
              <a:latin typeface="Arial" panose="020B0604020202020204" pitchFamily="34" charset="0"/>
              <a:cs typeface="Arial" panose="020B0604020202020204" pitchFamily="34" charset="0"/>
            </a:rPr>
            <a:t>&gt; &gt; &gt; Richest</a:t>
          </a:r>
          <a:endParaRPr lang="en-US" sz="10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9F79D-6DFA-43F9-98C6-A360EA71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5442</Words>
  <Characters>31026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Domestic Obstacles to Trade and Transport in Nigeria and their Impact on Competitiveness</vt:lpstr>
    </vt:vector>
  </TitlesOfParts>
  <Company>The World Bank Group</Company>
  <LinksUpToDate>false</LinksUpToDate>
  <CharactersWithSpaces>36396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Obstacles to Trade and Transport in Nigeria and their Impact on Competitiveness</dc:title>
  <dc:creator>Antoine Coste</dc:creator>
  <cp:lastModifiedBy>Jurgita Campbell</cp:lastModifiedBy>
  <cp:revision>3</cp:revision>
  <cp:lastPrinted>2015-01-14T15:43:00Z</cp:lastPrinted>
  <dcterms:created xsi:type="dcterms:W3CDTF">2015-01-14T16:10:00Z</dcterms:created>
  <dcterms:modified xsi:type="dcterms:W3CDTF">2015-01-14T16:16:00Z</dcterms:modified>
</cp:coreProperties>
</file>